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060"/>
        <w:spacing w:after="0"/>
        <w:rPr>
          <w:sz w:val="20"/>
          <w:szCs w:val="20"/>
          <w:color w:val="auto"/>
        </w:rPr>
      </w:pPr>
      <w:r>
        <w:rPr>
          <w:rFonts w:ascii="Arial" w:cs="Arial" w:eastAsia="Arial" w:hAnsi="Arial"/>
          <w:sz w:val="14"/>
          <w:szCs w:val="14"/>
          <w:color w:val="auto"/>
        </w:rPr>
        <w:t>UNITED STATES</w:t>
      </w:r>
    </w:p>
    <w:p>
      <w:pPr>
        <w:spacing w:after="0" w:line="29" w:lineRule="exact"/>
        <w:rPr>
          <w:sz w:val="24"/>
          <w:szCs w:val="24"/>
          <w:color w:val="auto"/>
        </w:rPr>
      </w:pPr>
    </w:p>
    <w:p>
      <w:pPr>
        <w:ind w:left="4100"/>
        <w:spacing w:after="0"/>
        <w:rPr>
          <w:sz w:val="20"/>
          <w:szCs w:val="20"/>
          <w:color w:val="auto"/>
        </w:rPr>
      </w:pPr>
      <w:r>
        <w:rPr>
          <w:rFonts w:ascii="Arial" w:cs="Arial" w:eastAsia="Arial" w:hAnsi="Arial"/>
          <w:sz w:val="14"/>
          <w:szCs w:val="14"/>
          <w:color w:val="auto"/>
        </w:rPr>
        <w:t>SECURITIES AND EXCHANGE COMMISSION</w:t>
      </w:r>
    </w:p>
    <w:p>
      <w:pPr>
        <w:spacing w:after="0" w:line="15" w:lineRule="exact"/>
        <w:rPr>
          <w:sz w:val="24"/>
          <w:szCs w:val="24"/>
          <w:color w:val="auto"/>
        </w:rPr>
      </w:pPr>
    </w:p>
    <w:p>
      <w:pPr>
        <w:ind w:left="4840"/>
        <w:spacing w:after="0"/>
        <w:rPr>
          <w:sz w:val="20"/>
          <w:szCs w:val="20"/>
          <w:color w:val="auto"/>
        </w:rPr>
      </w:pPr>
      <w:r>
        <w:rPr>
          <w:rFonts w:ascii="Arial" w:cs="Arial" w:eastAsia="Arial" w:hAnsi="Arial"/>
          <w:sz w:val="14"/>
          <w:szCs w:val="14"/>
          <w:color w:val="auto"/>
        </w:rPr>
        <w:t>Washington, D.C. 20549</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 10-Q</w:t>
      </w:r>
    </w:p>
    <w:p>
      <w:pPr>
        <w:spacing w:after="0" w:line="15" w:lineRule="exact"/>
        <w:rPr>
          <w:sz w:val="24"/>
          <w:szCs w:val="24"/>
          <w:color w:val="auto"/>
        </w:rPr>
      </w:pPr>
    </w:p>
    <w:p>
      <w:pPr>
        <w:ind w:left="4900"/>
        <w:spacing w:after="0"/>
        <w:rPr>
          <w:sz w:val="20"/>
          <w:szCs w:val="20"/>
          <w:color w:val="auto"/>
        </w:rPr>
      </w:pPr>
      <w:r>
        <w:rPr>
          <w:rFonts w:ascii="Arial" w:cs="Arial" w:eastAsia="Arial" w:hAnsi="Arial"/>
          <w:sz w:val="14"/>
          <w:szCs w:val="14"/>
          <w:color w:val="auto"/>
        </w:rPr>
        <w:t>__________________</w:t>
      </w:r>
    </w:p>
    <w:p>
      <w:pPr>
        <w:spacing w:after="0" w:line="11" w:lineRule="exact"/>
        <w:rPr>
          <w:sz w:val="24"/>
          <w:szCs w:val="24"/>
          <w:color w:val="auto"/>
        </w:rPr>
      </w:pPr>
    </w:p>
    <w:p>
      <w:pPr>
        <w:ind w:left="3680" w:hanging="185"/>
        <w:spacing w:after="0"/>
        <w:tabs>
          <w:tab w:leader="none" w:pos="36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QUARTERLY REPORT PURSUANT TO SECTION 13 OR 15(d)</w:t>
      </w:r>
    </w:p>
    <w:p>
      <w:pPr>
        <w:spacing w:after="0" w:line="17" w:lineRule="exact"/>
        <w:rPr>
          <w:rFonts w:ascii="MS PGothic" w:cs="MS PGothic" w:eastAsia="MS PGothic" w:hAnsi="MS PGothic"/>
          <w:sz w:val="14"/>
          <w:szCs w:val="14"/>
          <w:color w:val="auto"/>
        </w:rPr>
      </w:pPr>
    </w:p>
    <w:p>
      <w:pPr>
        <w:jc w:val="center"/>
        <w:ind w:left="4140" w:right="4020" w:hanging="115"/>
        <w:spacing w:after="0" w:line="271" w:lineRule="auto"/>
        <w:rPr>
          <w:rFonts w:ascii="MS PGothic" w:cs="MS PGothic" w:eastAsia="MS PGothic" w:hAnsi="MS PGothic"/>
          <w:sz w:val="14"/>
          <w:szCs w:val="14"/>
          <w:color w:val="auto"/>
        </w:rPr>
      </w:pPr>
      <w:r>
        <w:rPr>
          <w:rFonts w:ascii="Arial" w:cs="Arial" w:eastAsia="Arial" w:hAnsi="Arial"/>
          <w:sz w:val="14"/>
          <w:szCs w:val="14"/>
          <w:color w:val="auto"/>
        </w:rPr>
        <w:t xml:space="preserve">OF THE SECURITIES EXCHANGE ACT OF 1934 For the quarterly period ended </w:t>
      </w:r>
      <w:r>
        <w:rPr>
          <w:rFonts w:ascii="Arial" w:cs="Arial" w:eastAsia="Arial" w:hAnsi="Arial"/>
          <w:sz w:val="14"/>
          <w:szCs w:val="14"/>
          <w:u w:val="single" w:color="auto"/>
          <w:color w:val="auto"/>
        </w:rPr>
        <w:t>March 31, 2024</w:t>
      </w:r>
    </w:p>
    <w:p>
      <w:pPr>
        <w:jc w:val="center"/>
        <w:ind w:right="-19"/>
        <w:spacing w:after="0"/>
        <w:rPr>
          <w:sz w:val="20"/>
          <w:szCs w:val="20"/>
          <w:color w:val="auto"/>
        </w:rPr>
      </w:pPr>
      <w:r>
        <w:rPr>
          <w:rFonts w:ascii="Arial" w:cs="Arial" w:eastAsia="Arial" w:hAnsi="Arial"/>
          <w:sz w:val="14"/>
          <w:szCs w:val="14"/>
          <w:color w:val="auto"/>
        </w:rPr>
        <w:t>OR</w:t>
      </w:r>
    </w:p>
    <w:p>
      <w:pPr>
        <w:spacing w:after="0" w:line="25" w:lineRule="exact"/>
        <w:rPr>
          <w:sz w:val="24"/>
          <w:szCs w:val="24"/>
          <w:color w:val="auto"/>
        </w:rPr>
      </w:pPr>
    </w:p>
    <w:p>
      <w:pPr>
        <w:ind w:left="3660" w:hanging="167"/>
        <w:spacing w:after="0"/>
        <w:tabs>
          <w:tab w:leader="none" w:pos="3660"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TRANSITION REPORT PURSUANT TO SECTION 13 OR 15(d)</w:t>
      </w:r>
    </w:p>
    <w:p>
      <w:pPr>
        <w:spacing w:after="0" w:line="17" w:lineRule="exact"/>
        <w:rPr>
          <w:rFonts w:ascii="MS PGothic" w:cs="MS PGothic" w:eastAsia="MS PGothic" w:hAnsi="MS PGothic"/>
          <w:sz w:val="14"/>
          <w:szCs w:val="14"/>
          <w:color w:val="auto"/>
        </w:rPr>
      </w:pPr>
    </w:p>
    <w:p>
      <w:pPr>
        <w:jc w:val="center"/>
        <w:ind w:left="4140" w:right="4020" w:hanging="119"/>
        <w:spacing w:after="0" w:line="241" w:lineRule="auto"/>
        <w:rPr>
          <w:rFonts w:ascii="MS PGothic" w:cs="MS PGothic" w:eastAsia="MS PGothic" w:hAnsi="MS PGothic"/>
          <w:sz w:val="14"/>
          <w:szCs w:val="14"/>
          <w:color w:val="auto"/>
        </w:rPr>
      </w:pPr>
      <w:r>
        <w:rPr>
          <w:rFonts w:ascii="Arial" w:cs="Arial" w:eastAsia="Arial" w:hAnsi="Arial"/>
          <w:sz w:val="14"/>
          <w:szCs w:val="14"/>
          <w:color w:val="auto"/>
        </w:rPr>
        <w:t>OF THE SECURITIES EXCHANGE ACT OF 1934 For the transition period from ______ to _____</w:t>
      </w:r>
    </w:p>
    <w:p>
      <w:pPr>
        <w:ind w:left="4600"/>
        <w:spacing w:after="0"/>
        <w:rPr>
          <w:rFonts w:ascii="MS PGothic" w:cs="MS PGothic" w:eastAsia="MS PGothic" w:hAnsi="MS PGothic"/>
          <w:sz w:val="14"/>
          <w:szCs w:val="14"/>
          <w:color w:val="auto"/>
        </w:rPr>
      </w:pPr>
      <w:r>
        <w:rPr>
          <w:rFonts w:ascii="Arial" w:cs="Arial" w:eastAsia="Arial" w:hAnsi="Arial"/>
          <w:sz w:val="14"/>
          <w:szCs w:val="14"/>
          <w:color w:val="auto"/>
        </w:rPr>
        <w:t xml:space="preserve">Commission file number </w:t>
      </w:r>
      <w:r>
        <w:rPr>
          <w:rFonts w:ascii="Arial" w:cs="Arial" w:eastAsia="Arial" w:hAnsi="Arial"/>
          <w:sz w:val="14"/>
          <w:szCs w:val="14"/>
          <w:u w:val="single" w:color="auto"/>
          <w:color w:val="auto"/>
        </w:rPr>
        <w:t>1-8974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6350</wp:posOffset>
            </wp:positionV>
            <wp:extent cx="1757045" cy="3511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57045" cy="3511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38"/>
          <w:szCs w:val="38"/>
          <w:b w:val="1"/>
          <w:bCs w:val="1"/>
          <w:color w:val="auto"/>
        </w:rPr>
        <w:t>Honeywell International Inc.</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194"/>
        </w:trPr>
        <w:tc>
          <w:tcPr>
            <w:tcW w:w="12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2"/>
          </w:tcPr>
          <w:p>
            <w:pPr>
              <w:jc w:val="center"/>
              <w:ind w:left="648"/>
              <w:spacing w:after="0"/>
              <w:rPr>
                <w:sz w:val="20"/>
                <w:szCs w:val="20"/>
                <w:color w:val="auto"/>
              </w:rPr>
            </w:pPr>
            <w:r>
              <w:rPr>
                <w:rFonts w:ascii="Arial" w:cs="Arial" w:eastAsia="Arial" w:hAnsi="Arial"/>
                <w:sz w:val="14"/>
                <w:szCs w:val="14"/>
                <w:color w:val="auto"/>
              </w:rPr>
              <w:t>Delaware</w:t>
            </w:r>
          </w:p>
        </w:tc>
        <w:tc>
          <w:tcPr>
            <w:tcW w:w="11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tcPr>
          <w:p>
            <w:pPr>
              <w:jc w:val="right"/>
              <w:ind w:right="988"/>
              <w:spacing w:after="0"/>
              <w:rPr>
                <w:sz w:val="20"/>
                <w:szCs w:val="20"/>
                <w:color w:val="auto"/>
              </w:rPr>
            </w:pPr>
            <w:r>
              <w:rPr>
                <w:rFonts w:ascii="Arial" w:cs="Arial" w:eastAsia="Arial" w:hAnsi="Arial"/>
                <w:sz w:val="14"/>
                <w:szCs w:val="14"/>
                <w:color w:val="auto"/>
              </w:rPr>
              <w:t>22-2640650</w:t>
            </w:r>
          </w:p>
        </w:tc>
        <w:tc>
          <w:tcPr>
            <w:tcW w:w="720" w:type="dxa"/>
            <w:vAlign w:val="bottom"/>
            <w:tcBorders>
              <w:bottom w:val="single" w:sz="8" w:color="auto"/>
            </w:tcBorders>
          </w:tcPr>
          <w:p>
            <w:pPr>
              <w:spacing w:after="0"/>
              <w:rPr>
                <w:sz w:val="16"/>
                <w:szCs w:val="16"/>
                <w:color w:val="auto"/>
              </w:rPr>
            </w:pPr>
          </w:p>
        </w:tc>
        <w:tc>
          <w:tcPr>
            <w:tcW w:w="1040" w:type="dxa"/>
            <w:vAlign w:val="bottom"/>
          </w:tcPr>
          <w:p>
            <w:pPr>
              <w:spacing w:after="0"/>
              <w:rPr>
                <w:sz w:val="16"/>
                <w:szCs w:val="16"/>
                <w:color w:val="auto"/>
              </w:rPr>
            </w:pPr>
          </w:p>
        </w:tc>
      </w:tr>
      <w:tr>
        <w:trPr>
          <w:trHeight w:val="150"/>
        </w:trPr>
        <w:tc>
          <w:tcPr>
            <w:tcW w:w="1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40" w:type="dxa"/>
            <w:vAlign w:val="bottom"/>
            <w:gridSpan w:val="2"/>
          </w:tcPr>
          <w:p>
            <w:pPr>
              <w:jc w:val="center"/>
              <w:ind w:left="648"/>
              <w:spacing w:after="0" w:line="151" w:lineRule="exact"/>
              <w:rPr>
                <w:sz w:val="20"/>
                <w:szCs w:val="20"/>
                <w:color w:val="auto"/>
              </w:rPr>
            </w:pPr>
            <w:r>
              <w:rPr>
                <w:rFonts w:ascii="Arial" w:cs="Arial" w:eastAsia="Arial" w:hAnsi="Arial"/>
                <w:sz w:val="14"/>
                <w:szCs w:val="14"/>
                <w:color w:val="auto"/>
              </w:rPr>
              <w:t>(State or other jurisdiction of</w:t>
            </w: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140" w:type="dxa"/>
            <w:vAlign w:val="bottom"/>
            <w:gridSpan w:val="2"/>
          </w:tcPr>
          <w:p>
            <w:pPr>
              <w:jc w:val="center"/>
              <w:ind w:right="160"/>
              <w:spacing w:after="0" w:line="151" w:lineRule="exact"/>
              <w:rPr>
                <w:sz w:val="20"/>
                <w:szCs w:val="20"/>
                <w:color w:val="auto"/>
              </w:rPr>
            </w:pPr>
            <w:r>
              <w:rPr>
                <w:rFonts w:ascii="Arial" w:cs="Arial" w:eastAsia="Arial" w:hAnsi="Arial"/>
                <w:sz w:val="14"/>
                <w:szCs w:val="14"/>
                <w:color w:val="auto"/>
              </w:rPr>
              <w:t>(I.R.S. Employer</w:t>
            </w:r>
          </w:p>
        </w:tc>
        <w:tc>
          <w:tcPr>
            <w:tcW w:w="1040" w:type="dxa"/>
            <w:vAlign w:val="bottom"/>
          </w:tcPr>
          <w:p>
            <w:pPr>
              <w:spacing w:after="0"/>
              <w:rPr>
                <w:sz w:val="13"/>
                <w:szCs w:val="13"/>
                <w:color w:val="auto"/>
              </w:rPr>
            </w:pPr>
          </w:p>
        </w:tc>
      </w:tr>
      <w:tr>
        <w:trPr>
          <w:trHeight w:val="190"/>
        </w:trPr>
        <w:tc>
          <w:tcPr>
            <w:tcW w:w="1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40" w:type="dxa"/>
            <w:vAlign w:val="bottom"/>
            <w:gridSpan w:val="2"/>
          </w:tcPr>
          <w:p>
            <w:pPr>
              <w:jc w:val="center"/>
              <w:ind w:left="648"/>
              <w:spacing w:after="0"/>
              <w:rPr>
                <w:sz w:val="20"/>
                <w:szCs w:val="20"/>
                <w:color w:val="auto"/>
              </w:rPr>
            </w:pPr>
            <w:r>
              <w:rPr>
                <w:rFonts w:ascii="Arial" w:cs="Arial" w:eastAsia="Arial" w:hAnsi="Arial"/>
                <w:sz w:val="14"/>
                <w:szCs w:val="14"/>
                <w:color w:val="auto"/>
              </w:rPr>
              <w:t>incorporation or organization)</w:t>
            </w: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140" w:type="dxa"/>
            <w:vAlign w:val="bottom"/>
            <w:gridSpan w:val="2"/>
          </w:tcPr>
          <w:p>
            <w:pPr>
              <w:jc w:val="center"/>
              <w:ind w:right="180"/>
              <w:spacing w:after="0"/>
              <w:rPr>
                <w:sz w:val="20"/>
                <w:szCs w:val="20"/>
                <w:color w:val="auto"/>
              </w:rPr>
            </w:pPr>
            <w:r>
              <w:rPr>
                <w:rFonts w:ascii="Arial" w:cs="Arial" w:eastAsia="Arial" w:hAnsi="Arial"/>
                <w:sz w:val="14"/>
                <w:szCs w:val="14"/>
                <w:color w:val="auto"/>
              </w:rPr>
              <w:t>Identification No.)</w:t>
            </w:r>
          </w:p>
        </w:tc>
        <w:tc>
          <w:tcPr>
            <w:tcW w:w="1040" w:type="dxa"/>
            <w:vAlign w:val="bottom"/>
          </w:tcPr>
          <w:p>
            <w:pPr>
              <w:spacing w:after="0"/>
              <w:rPr>
                <w:sz w:val="16"/>
                <w:szCs w:val="16"/>
                <w:color w:val="auto"/>
              </w:rPr>
            </w:pPr>
          </w:p>
        </w:tc>
      </w:tr>
      <w:tr>
        <w:trPr>
          <w:trHeight w:val="297"/>
        </w:trPr>
        <w:tc>
          <w:tcPr>
            <w:tcW w:w="1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40" w:type="dxa"/>
            <w:vAlign w:val="bottom"/>
            <w:gridSpan w:val="2"/>
          </w:tcPr>
          <w:p>
            <w:pPr>
              <w:jc w:val="center"/>
              <w:ind w:left="648"/>
              <w:spacing w:after="0"/>
              <w:rPr>
                <w:sz w:val="20"/>
                <w:szCs w:val="20"/>
                <w:color w:val="auto"/>
              </w:rPr>
            </w:pPr>
            <w:r>
              <w:rPr>
                <w:rFonts w:ascii="Arial" w:cs="Arial" w:eastAsia="Arial" w:hAnsi="Arial"/>
                <w:sz w:val="14"/>
                <w:szCs w:val="14"/>
                <w:color w:val="auto"/>
              </w:rPr>
              <w:t>855 South Mint Street</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61"/>
        </w:trPr>
        <w:tc>
          <w:tcPr>
            <w:tcW w:w="128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2640" w:type="dxa"/>
            <w:vAlign w:val="bottom"/>
            <w:tcBorders>
              <w:bottom w:val="single" w:sz="8" w:color="auto"/>
            </w:tcBorders>
            <w:gridSpan w:val="2"/>
          </w:tcPr>
          <w:p>
            <w:pPr>
              <w:ind w:left="820"/>
              <w:spacing w:after="0"/>
              <w:rPr>
                <w:sz w:val="20"/>
                <w:szCs w:val="20"/>
                <w:color w:val="auto"/>
              </w:rPr>
            </w:pPr>
            <w:r>
              <w:rPr>
                <w:rFonts w:ascii="Arial" w:cs="Arial" w:eastAsia="Arial" w:hAnsi="Arial"/>
                <w:sz w:val="14"/>
                <w:szCs w:val="14"/>
                <w:color w:val="auto"/>
              </w:rPr>
              <w:t>Charlotte, North Carolina</w:t>
            </w:r>
          </w:p>
        </w:tc>
        <w:tc>
          <w:tcPr>
            <w:tcW w:w="11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420" w:type="dxa"/>
            <w:vAlign w:val="bottom"/>
            <w:tcBorders>
              <w:bottom w:val="single" w:sz="8" w:color="auto"/>
            </w:tcBorders>
          </w:tcPr>
          <w:p>
            <w:pPr>
              <w:jc w:val="right"/>
              <w:ind w:right="1168"/>
              <w:spacing w:after="0"/>
              <w:rPr>
                <w:sz w:val="20"/>
                <w:szCs w:val="20"/>
                <w:color w:val="auto"/>
              </w:rPr>
            </w:pPr>
            <w:r>
              <w:rPr>
                <w:rFonts w:ascii="Arial" w:cs="Arial" w:eastAsia="Arial" w:hAnsi="Arial"/>
                <w:sz w:val="14"/>
                <w:szCs w:val="14"/>
                <w:color w:val="auto"/>
              </w:rPr>
              <w:t>28202</w:t>
            </w:r>
          </w:p>
        </w:tc>
        <w:tc>
          <w:tcPr>
            <w:tcW w:w="720" w:type="dxa"/>
            <w:vAlign w:val="bottom"/>
            <w:tcBorders>
              <w:bottom w:val="single" w:sz="8" w:color="auto"/>
            </w:tcBorders>
          </w:tcPr>
          <w:p>
            <w:pPr>
              <w:spacing w:after="0"/>
              <w:rPr>
                <w:sz w:val="22"/>
                <w:szCs w:val="22"/>
                <w:color w:val="auto"/>
              </w:rPr>
            </w:pPr>
          </w:p>
        </w:tc>
        <w:tc>
          <w:tcPr>
            <w:tcW w:w="1040" w:type="dxa"/>
            <w:vAlign w:val="bottom"/>
          </w:tcPr>
          <w:p>
            <w:pPr>
              <w:spacing w:after="0"/>
              <w:rPr>
                <w:sz w:val="22"/>
                <w:szCs w:val="22"/>
                <w:color w:val="auto"/>
              </w:rPr>
            </w:pPr>
          </w:p>
        </w:tc>
      </w:tr>
      <w:tr>
        <w:trPr>
          <w:trHeight w:val="192"/>
        </w:trPr>
        <w:tc>
          <w:tcPr>
            <w:tcW w:w="1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100" w:type="dxa"/>
            <w:vAlign w:val="bottom"/>
            <w:gridSpan w:val="6"/>
          </w:tcPr>
          <w:p>
            <w:pPr>
              <w:jc w:val="center"/>
              <w:ind w:right="720"/>
              <w:spacing w:after="0"/>
              <w:rPr>
                <w:sz w:val="20"/>
                <w:szCs w:val="20"/>
                <w:color w:val="auto"/>
              </w:rPr>
            </w:pPr>
            <w:r>
              <w:rPr>
                <w:rFonts w:ascii="Arial" w:cs="Arial" w:eastAsia="Arial" w:hAnsi="Arial"/>
                <w:sz w:val="14"/>
                <w:szCs w:val="14"/>
                <w:color w:val="auto"/>
              </w:rPr>
              <w:t>(Address of principal executive offices)</w:t>
            </w:r>
          </w:p>
        </w:tc>
        <w:tc>
          <w:tcPr>
            <w:tcW w:w="4140" w:type="dxa"/>
            <w:vAlign w:val="bottom"/>
            <w:gridSpan w:val="2"/>
          </w:tcPr>
          <w:p>
            <w:pPr>
              <w:jc w:val="center"/>
              <w:ind w:right="180"/>
              <w:spacing w:after="0"/>
              <w:rPr>
                <w:sz w:val="20"/>
                <w:szCs w:val="20"/>
                <w:color w:val="auto"/>
              </w:rPr>
            </w:pPr>
            <w:r>
              <w:rPr>
                <w:rFonts w:ascii="Arial" w:cs="Arial" w:eastAsia="Arial" w:hAnsi="Arial"/>
                <w:sz w:val="14"/>
                <w:szCs w:val="14"/>
                <w:color w:val="auto"/>
              </w:rPr>
              <w:t>(Zip Code)</w:t>
            </w:r>
          </w:p>
        </w:tc>
        <w:tc>
          <w:tcPr>
            <w:tcW w:w="1040" w:type="dxa"/>
            <w:vAlign w:val="bottom"/>
          </w:tcPr>
          <w:p>
            <w:pPr>
              <w:spacing w:after="0"/>
              <w:rPr>
                <w:sz w:val="16"/>
                <w:szCs w:val="16"/>
                <w:color w:val="auto"/>
              </w:rPr>
            </w:pPr>
          </w:p>
        </w:tc>
      </w:tr>
      <w:tr>
        <w:trPr>
          <w:trHeight w:val="328"/>
        </w:trPr>
        <w:tc>
          <w:tcPr>
            <w:tcW w:w="1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(704) 627-6200</w:t>
            </w:r>
          </w:p>
        </w:tc>
        <w:tc>
          <w:tcPr>
            <w:tcW w:w="3420" w:type="dxa"/>
            <w:vAlign w:val="bottom"/>
            <w:tcBorders>
              <w:bottom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2"/>
        </w:trPr>
        <w:tc>
          <w:tcPr>
            <w:tcW w:w="1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40" w:type="dxa"/>
            <w:vAlign w:val="bottom"/>
            <w:gridSpan w:val="8"/>
          </w:tcPr>
          <w:p>
            <w:pPr>
              <w:ind w:left="2080"/>
              <w:spacing w:after="0"/>
              <w:rPr>
                <w:sz w:val="20"/>
                <w:szCs w:val="20"/>
                <w:color w:val="auto"/>
              </w:rPr>
            </w:pPr>
            <w:r>
              <w:rPr>
                <w:rFonts w:ascii="Arial" w:cs="Arial" w:eastAsia="Arial" w:hAnsi="Arial"/>
                <w:sz w:val="14"/>
                <w:szCs w:val="14"/>
                <w:color w:val="auto"/>
              </w:rPr>
              <w:t>(Registrant’s telephone number, including area code)</w:t>
            </w:r>
          </w:p>
        </w:tc>
        <w:tc>
          <w:tcPr>
            <w:tcW w:w="1040" w:type="dxa"/>
            <w:vAlign w:val="bottom"/>
          </w:tcPr>
          <w:p>
            <w:pPr>
              <w:spacing w:after="0"/>
              <w:rPr>
                <w:sz w:val="16"/>
                <w:szCs w:val="16"/>
                <w:color w:val="auto"/>
              </w:rPr>
            </w:pPr>
          </w:p>
        </w:tc>
      </w:tr>
      <w:tr>
        <w:trPr>
          <w:trHeight w:val="283"/>
        </w:trPr>
        <w:tc>
          <w:tcPr>
            <w:tcW w:w="4380" w:type="dxa"/>
            <w:vAlign w:val="bottom"/>
            <w:gridSpan w:val="4"/>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7"/>
        </w:trPr>
        <w:tc>
          <w:tcPr>
            <w:tcW w:w="128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2"/>
          </w:tcPr>
          <w:p>
            <w:pPr>
              <w:jc w:val="center"/>
              <w:ind w:right="1208"/>
              <w:spacing w:after="0"/>
              <w:rPr>
                <w:sz w:val="20"/>
                <w:szCs w:val="20"/>
                <w:color w:val="auto"/>
              </w:rPr>
            </w:pPr>
            <w:r>
              <w:rPr>
                <w:rFonts w:ascii="Arial" w:cs="Arial" w:eastAsia="Arial" w:hAnsi="Arial"/>
                <w:sz w:val="14"/>
                <w:szCs w:val="14"/>
                <w:color w:val="auto"/>
              </w:rPr>
              <w:t>Title of each class</w:t>
            </w:r>
          </w:p>
        </w:tc>
        <w:tc>
          <w:tcPr>
            <w:tcW w:w="100" w:type="dxa"/>
            <w:vAlign w:val="bottom"/>
          </w:tcPr>
          <w:p>
            <w:pPr>
              <w:spacing w:after="0"/>
              <w:rPr>
                <w:sz w:val="17"/>
                <w:szCs w:val="17"/>
                <w:color w:val="auto"/>
              </w:rPr>
            </w:pPr>
          </w:p>
        </w:tc>
        <w:tc>
          <w:tcPr>
            <w:tcW w:w="13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rPr>
              <w:t>Trading Symbol(s)</w:t>
            </w:r>
          </w:p>
        </w:tc>
        <w:tc>
          <w:tcPr>
            <w:tcW w:w="100" w:type="dxa"/>
            <w:vAlign w:val="bottom"/>
          </w:tcPr>
          <w:p>
            <w:pPr>
              <w:spacing w:after="0"/>
              <w:rPr>
                <w:sz w:val="17"/>
                <w:szCs w:val="17"/>
                <w:color w:val="auto"/>
              </w:rPr>
            </w:pPr>
          </w:p>
        </w:tc>
        <w:tc>
          <w:tcPr>
            <w:tcW w:w="4140" w:type="dxa"/>
            <w:vAlign w:val="bottom"/>
            <w:tcBorders>
              <w:bottom w:val="single" w:sz="8" w:color="auto"/>
            </w:tcBorders>
            <w:gridSpan w:val="2"/>
          </w:tcPr>
          <w:p>
            <w:pPr>
              <w:jc w:val="center"/>
              <w:ind w:left="968"/>
              <w:spacing w:after="0"/>
              <w:rPr>
                <w:sz w:val="20"/>
                <w:szCs w:val="20"/>
                <w:color w:val="auto"/>
              </w:rPr>
            </w:pPr>
            <w:r>
              <w:rPr>
                <w:rFonts w:ascii="Arial" w:cs="Arial" w:eastAsia="Arial" w:hAnsi="Arial"/>
                <w:sz w:val="14"/>
                <w:szCs w:val="14"/>
                <w:color w:val="auto"/>
              </w:rPr>
              <w:t>Name of each exchange on which registered</w:t>
            </w:r>
          </w:p>
        </w:tc>
        <w:tc>
          <w:tcPr>
            <w:tcW w:w="1040" w:type="dxa"/>
            <w:vAlign w:val="bottom"/>
            <w:tcBorders>
              <w:bottom w:val="single" w:sz="8" w:color="auto"/>
            </w:tcBorders>
          </w:tcPr>
          <w:p>
            <w:pPr>
              <w:spacing w:after="0"/>
              <w:rPr>
                <w:sz w:val="17"/>
                <w:szCs w:val="17"/>
                <w:color w:val="auto"/>
              </w:rPr>
            </w:pPr>
          </w:p>
        </w:tc>
      </w:tr>
      <w:tr>
        <w:trPr>
          <w:trHeight w:val="192"/>
        </w:trPr>
        <w:tc>
          <w:tcPr>
            <w:tcW w:w="4380" w:type="dxa"/>
            <w:vAlign w:val="bottom"/>
            <w:gridSpan w:val="4"/>
          </w:tcPr>
          <w:p>
            <w:pPr>
              <w:jc w:val="center"/>
              <w:ind w:right="100"/>
              <w:spacing w:after="0"/>
              <w:rPr>
                <w:sz w:val="20"/>
                <w:szCs w:val="20"/>
                <w:color w:val="auto"/>
              </w:rPr>
            </w:pPr>
            <w:r>
              <w:rPr>
                <w:rFonts w:ascii="Arial" w:cs="Arial" w:eastAsia="Arial" w:hAnsi="Arial"/>
                <w:sz w:val="14"/>
                <w:szCs w:val="14"/>
                <w:color w:val="auto"/>
              </w:rPr>
              <w:t>Common Stock, par value $1 per share</w:t>
            </w:r>
          </w:p>
        </w:tc>
        <w:tc>
          <w:tcPr>
            <w:tcW w:w="1460" w:type="dxa"/>
            <w:vAlign w:val="bottom"/>
            <w:gridSpan w:val="4"/>
          </w:tcPr>
          <w:p>
            <w:pPr>
              <w:jc w:val="center"/>
              <w:ind w:right="100"/>
              <w:spacing w:after="0"/>
              <w:rPr>
                <w:sz w:val="20"/>
                <w:szCs w:val="20"/>
                <w:color w:val="auto"/>
              </w:rPr>
            </w:pPr>
            <w:r>
              <w:rPr>
                <w:rFonts w:ascii="Arial" w:cs="Arial" w:eastAsia="Arial" w:hAnsi="Arial"/>
                <w:sz w:val="14"/>
                <w:szCs w:val="14"/>
                <w:color w:val="auto"/>
              </w:rPr>
              <w:t>HON</w:t>
            </w:r>
          </w:p>
        </w:tc>
        <w:tc>
          <w:tcPr>
            <w:tcW w:w="4140" w:type="dxa"/>
            <w:vAlign w:val="bottom"/>
            <w:gridSpan w:val="2"/>
          </w:tcPr>
          <w:p>
            <w:pPr>
              <w:jc w:val="center"/>
              <w:ind w:left="968"/>
              <w:spacing w:after="0"/>
              <w:rPr>
                <w:sz w:val="20"/>
                <w:szCs w:val="20"/>
                <w:color w:val="auto"/>
              </w:rPr>
            </w:pPr>
            <w:r>
              <w:rPr>
                <w:rFonts w:ascii="Arial" w:cs="Arial" w:eastAsia="Arial" w:hAnsi="Arial"/>
                <w:sz w:val="14"/>
                <w:szCs w:val="14"/>
                <w:color w:val="auto"/>
              </w:rPr>
              <w:t>The Nasdaq Stock Market LLC</w:t>
            </w:r>
          </w:p>
        </w:tc>
        <w:tc>
          <w:tcPr>
            <w:tcW w:w="1040" w:type="dxa"/>
            <w:vAlign w:val="bottom"/>
          </w:tcPr>
          <w:p>
            <w:pPr>
              <w:spacing w:after="0"/>
              <w:rPr>
                <w:sz w:val="16"/>
                <w:szCs w:val="16"/>
                <w:color w:val="auto"/>
              </w:rPr>
            </w:pPr>
          </w:p>
        </w:tc>
      </w:tr>
      <w:tr>
        <w:trPr>
          <w:trHeight w:val="203"/>
        </w:trPr>
        <w:tc>
          <w:tcPr>
            <w:tcW w:w="4380" w:type="dxa"/>
            <w:vAlign w:val="bottom"/>
            <w:gridSpan w:val="4"/>
          </w:tcPr>
          <w:p>
            <w:pPr>
              <w:jc w:val="center"/>
              <w:ind w:right="100"/>
              <w:spacing w:after="0"/>
              <w:rPr>
                <w:sz w:val="20"/>
                <w:szCs w:val="20"/>
                <w:color w:val="auto"/>
              </w:rPr>
            </w:pPr>
            <w:r>
              <w:rPr>
                <w:rFonts w:ascii="Arial" w:cs="Arial" w:eastAsia="Arial" w:hAnsi="Arial"/>
                <w:sz w:val="14"/>
                <w:szCs w:val="14"/>
                <w:color w:val="auto"/>
              </w:rPr>
              <w:t>3.500% Senior Notes due 2027</w:t>
            </w:r>
          </w:p>
        </w:tc>
        <w:tc>
          <w:tcPr>
            <w:tcW w:w="1460" w:type="dxa"/>
            <w:vAlign w:val="bottom"/>
            <w:gridSpan w:val="4"/>
          </w:tcPr>
          <w:p>
            <w:pPr>
              <w:jc w:val="center"/>
              <w:ind w:right="100"/>
              <w:spacing w:after="0"/>
              <w:rPr>
                <w:sz w:val="20"/>
                <w:szCs w:val="20"/>
                <w:color w:val="auto"/>
              </w:rPr>
            </w:pPr>
            <w:r>
              <w:rPr>
                <w:rFonts w:ascii="Arial" w:cs="Arial" w:eastAsia="Arial" w:hAnsi="Arial"/>
                <w:sz w:val="14"/>
                <w:szCs w:val="14"/>
                <w:color w:val="auto"/>
              </w:rPr>
              <w:t>HON 27</w:t>
            </w:r>
          </w:p>
        </w:tc>
        <w:tc>
          <w:tcPr>
            <w:tcW w:w="4140" w:type="dxa"/>
            <w:vAlign w:val="bottom"/>
            <w:gridSpan w:val="2"/>
          </w:tcPr>
          <w:p>
            <w:pPr>
              <w:jc w:val="center"/>
              <w:ind w:left="968"/>
              <w:spacing w:after="0"/>
              <w:rPr>
                <w:sz w:val="20"/>
                <w:szCs w:val="20"/>
                <w:color w:val="auto"/>
              </w:rPr>
            </w:pPr>
            <w:r>
              <w:rPr>
                <w:rFonts w:ascii="Arial" w:cs="Arial" w:eastAsia="Arial" w:hAnsi="Arial"/>
                <w:sz w:val="14"/>
                <w:szCs w:val="14"/>
                <w:color w:val="auto"/>
              </w:rPr>
              <w:t>The Nasdaq Stock Market LLC</w:t>
            </w:r>
          </w:p>
        </w:tc>
        <w:tc>
          <w:tcPr>
            <w:tcW w:w="1040" w:type="dxa"/>
            <w:vAlign w:val="bottom"/>
          </w:tcPr>
          <w:p>
            <w:pPr>
              <w:spacing w:after="0"/>
              <w:rPr>
                <w:sz w:val="17"/>
                <w:szCs w:val="17"/>
                <w:color w:val="auto"/>
              </w:rPr>
            </w:pPr>
          </w:p>
        </w:tc>
      </w:tr>
      <w:tr>
        <w:trPr>
          <w:trHeight w:val="203"/>
        </w:trPr>
        <w:tc>
          <w:tcPr>
            <w:tcW w:w="4380" w:type="dxa"/>
            <w:vAlign w:val="bottom"/>
            <w:gridSpan w:val="4"/>
          </w:tcPr>
          <w:p>
            <w:pPr>
              <w:jc w:val="center"/>
              <w:ind w:right="100"/>
              <w:spacing w:after="0"/>
              <w:rPr>
                <w:sz w:val="20"/>
                <w:szCs w:val="20"/>
                <w:color w:val="auto"/>
              </w:rPr>
            </w:pPr>
            <w:r>
              <w:rPr>
                <w:rFonts w:ascii="Arial" w:cs="Arial" w:eastAsia="Arial" w:hAnsi="Arial"/>
                <w:sz w:val="14"/>
                <w:szCs w:val="14"/>
                <w:color w:val="auto"/>
              </w:rPr>
              <w:t>2.250% Senior Notes due 2028</w:t>
            </w:r>
          </w:p>
        </w:tc>
        <w:tc>
          <w:tcPr>
            <w:tcW w:w="1460" w:type="dxa"/>
            <w:vAlign w:val="bottom"/>
            <w:gridSpan w:val="4"/>
          </w:tcPr>
          <w:p>
            <w:pPr>
              <w:jc w:val="center"/>
              <w:ind w:right="120"/>
              <w:spacing w:after="0"/>
              <w:rPr>
                <w:sz w:val="20"/>
                <w:szCs w:val="20"/>
                <w:color w:val="auto"/>
              </w:rPr>
            </w:pPr>
            <w:r>
              <w:rPr>
                <w:rFonts w:ascii="Arial" w:cs="Arial" w:eastAsia="Arial" w:hAnsi="Arial"/>
                <w:sz w:val="14"/>
                <w:szCs w:val="14"/>
                <w:color w:val="auto"/>
              </w:rPr>
              <w:t>HON 28A</w:t>
            </w:r>
          </w:p>
        </w:tc>
        <w:tc>
          <w:tcPr>
            <w:tcW w:w="4140" w:type="dxa"/>
            <w:vAlign w:val="bottom"/>
            <w:gridSpan w:val="2"/>
          </w:tcPr>
          <w:p>
            <w:pPr>
              <w:jc w:val="center"/>
              <w:ind w:left="968"/>
              <w:spacing w:after="0"/>
              <w:rPr>
                <w:sz w:val="20"/>
                <w:szCs w:val="20"/>
                <w:color w:val="auto"/>
              </w:rPr>
            </w:pPr>
            <w:r>
              <w:rPr>
                <w:rFonts w:ascii="Arial" w:cs="Arial" w:eastAsia="Arial" w:hAnsi="Arial"/>
                <w:sz w:val="14"/>
                <w:szCs w:val="14"/>
                <w:color w:val="auto"/>
              </w:rPr>
              <w:t>The Nasdaq Stock Market LLC</w:t>
            </w:r>
          </w:p>
        </w:tc>
        <w:tc>
          <w:tcPr>
            <w:tcW w:w="1040" w:type="dxa"/>
            <w:vAlign w:val="bottom"/>
          </w:tcPr>
          <w:p>
            <w:pPr>
              <w:spacing w:after="0"/>
              <w:rPr>
                <w:sz w:val="17"/>
                <w:szCs w:val="17"/>
                <w:color w:val="auto"/>
              </w:rPr>
            </w:pPr>
          </w:p>
        </w:tc>
      </w:tr>
      <w:tr>
        <w:trPr>
          <w:trHeight w:val="203"/>
        </w:trPr>
        <w:tc>
          <w:tcPr>
            <w:tcW w:w="4380" w:type="dxa"/>
            <w:vAlign w:val="bottom"/>
            <w:gridSpan w:val="4"/>
          </w:tcPr>
          <w:p>
            <w:pPr>
              <w:jc w:val="center"/>
              <w:ind w:right="100"/>
              <w:spacing w:after="0"/>
              <w:rPr>
                <w:sz w:val="20"/>
                <w:szCs w:val="20"/>
                <w:color w:val="auto"/>
              </w:rPr>
            </w:pPr>
            <w:r>
              <w:rPr>
                <w:rFonts w:ascii="Arial" w:cs="Arial" w:eastAsia="Arial" w:hAnsi="Arial"/>
                <w:sz w:val="14"/>
                <w:szCs w:val="14"/>
                <w:color w:val="auto"/>
              </w:rPr>
              <w:t>3.375% Senior Notes due 2030</w:t>
            </w:r>
          </w:p>
        </w:tc>
        <w:tc>
          <w:tcPr>
            <w:tcW w:w="1460" w:type="dxa"/>
            <w:vAlign w:val="bottom"/>
            <w:gridSpan w:val="4"/>
          </w:tcPr>
          <w:p>
            <w:pPr>
              <w:jc w:val="center"/>
              <w:ind w:right="100"/>
              <w:spacing w:after="0"/>
              <w:rPr>
                <w:sz w:val="20"/>
                <w:szCs w:val="20"/>
                <w:color w:val="auto"/>
              </w:rPr>
            </w:pPr>
            <w:r>
              <w:rPr>
                <w:rFonts w:ascii="Arial" w:cs="Arial" w:eastAsia="Arial" w:hAnsi="Arial"/>
                <w:sz w:val="14"/>
                <w:szCs w:val="14"/>
                <w:color w:val="auto"/>
              </w:rPr>
              <w:t>HON 30</w:t>
            </w:r>
          </w:p>
        </w:tc>
        <w:tc>
          <w:tcPr>
            <w:tcW w:w="4140" w:type="dxa"/>
            <w:vAlign w:val="bottom"/>
            <w:gridSpan w:val="2"/>
          </w:tcPr>
          <w:p>
            <w:pPr>
              <w:jc w:val="center"/>
              <w:ind w:left="968"/>
              <w:spacing w:after="0"/>
              <w:rPr>
                <w:sz w:val="20"/>
                <w:szCs w:val="20"/>
                <w:color w:val="auto"/>
              </w:rPr>
            </w:pPr>
            <w:r>
              <w:rPr>
                <w:rFonts w:ascii="Arial" w:cs="Arial" w:eastAsia="Arial" w:hAnsi="Arial"/>
                <w:sz w:val="14"/>
                <w:szCs w:val="14"/>
                <w:color w:val="auto"/>
              </w:rPr>
              <w:t>The Nasdaq Stock Market LLC</w:t>
            </w:r>
          </w:p>
        </w:tc>
        <w:tc>
          <w:tcPr>
            <w:tcW w:w="1040" w:type="dxa"/>
            <w:vAlign w:val="bottom"/>
          </w:tcPr>
          <w:p>
            <w:pPr>
              <w:spacing w:after="0"/>
              <w:rPr>
                <w:sz w:val="17"/>
                <w:szCs w:val="17"/>
                <w:color w:val="auto"/>
              </w:rPr>
            </w:pPr>
          </w:p>
        </w:tc>
      </w:tr>
      <w:tr>
        <w:trPr>
          <w:trHeight w:val="203"/>
        </w:trPr>
        <w:tc>
          <w:tcPr>
            <w:tcW w:w="4380" w:type="dxa"/>
            <w:vAlign w:val="bottom"/>
            <w:gridSpan w:val="4"/>
          </w:tcPr>
          <w:p>
            <w:pPr>
              <w:jc w:val="center"/>
              <w:ind w:right="100"/>
              <w:spacing w:after="0"/>
              <w:rPr>
                <w:sz w:val="20"/>
                <w:szCs w:val="20"/>
                <w:color w:val="auto"/>
              </w:rPr>
            </w:pPr>
            <w:r>
              <w:rPr>
                <w:rFonts w:ascii="Arial" w:cs="Arial" w:eastAsia="Arial" w:hAnsi="Arial"/>
                <w:sz w:val="14"/>
                <w:szCs w:val="14"/>
                <w:color w:val="auto"/>
              </w:rPr>
              <w:t>0.750% Senior Notes due 2032</w:t>
            </w:r>
          </w:p>
        </w:tc>
        <w:tc>
          <w:tcPr>
            <w:tcW w:w="1460" w:type="dxa"/>
            <w:vAlign w:val="bottom"/>
            <w:gridSpan w:val="4"/>
          </w:tcPr>
          <w:p>
            <w:pPr>
              <w:jc w:val="center"/>
              <w:ind w:right="100"/>
              <w:spacing w:after="0"/>
              <w:rPr>
                <w:sz w:val="20"/>
                <w:szCs w:val="20"/>
                <w:color w:val="auto"/>
              </w:rPr>
            </w:pPr>
            <w:r>
              <w:rPr>
                <w:rFonts w:ascii="Arial" w:cs="Arial" w:eastAsia="Arial" w:hAnsi="Arial"/>
                <w:sz w:val="14"/>
                <w:szCs w:val="14"/>
                <w:color w:val="auto"/>
              </w:rPr>
              <w:t>HON 32</w:t>
            </w:r>
          </w:p>
        </w:tc>
        <w:tc>
          <w:tcPr>
            <w:tcW w:w="4140" w:type="dxa"/>
            <w:vAlign w:val="bottom"/>
            <w:gridSpan w:val="2"/>
          </w:tcPr>
          <w:p>
            <w:pPr>
              <w:jc w:val="center"/>
              <w:ind w:left="968"/>
              <w:spacing w:after="0"/>
              <w:rPr>
                <w:sz w:val="20"/>
                <w:szCs w:val="20"/>
                <w:color w:val="auto"/>
              </w:rPr>
            </w:pPr>
            <w:r>
              <w:rPr>
                <w:rFonts w:ascii="Arial" w:cs="Arial" w:eastAsia="Arial" w:hAnsi="Arial"/>
                <w:sz w:val="14"/>
                <w:szCs w:val="14"/>
                <w:color w:val="auto"/>
              </w:rPr>
              <w:t>The Nasdaq Stock Market LLC</w:t>
            </w:r>
          </w:p>
        </w:tc>
        <w:tc>
          <w:tcPr>
            <w:tcW w:w="1040" w:type="dxa"/>
            <w:vAlign w:val="bottom"/>
          </w:tcPr>
          <w:p>
            <w:pPr>
              <w:spacing w:after="0"/>
              <w:rPr>
                <w:sz w:val="17"/>
                <w:szCs w:val="17"/>
                <w:color w:val="auto"/>
              </w:rPr>
            </w:pPr>
          </w:p>
        </w:tc>
      </w:tr>
      <w:tr>
        <w:trPr>
          <w:trHeight w:val="203"/>
        </w:trPr>
        <w:tc>
          <w:tcPr>
            <w:tcW w:w="4380" w:type="dxa"/>
            <w:vAlign w:val="bottom"/>
            <w:gridSpan w:val="4"/>
          </w:tcPr>
          <w:p>
            <w:pPr>
              <w:jc w:val="center"/>
              <w:ind w:right="100"/>
              <w:spacing w:after="0"/>
              <w:rPr>
                <w:sz w:val="20"/>
                <w:szCs w:val="20"/>
                <w:color w:val="auto"/>
              </w:rPr>
            </w:pPr>
            <w:r>
              <w:rPr>
                <w:rFonts w:ascii="Arial" w:cs="Arial" w:eastAsia="Arial" w:hAnsi="Arial"/>
                <w:sz w:val="14"/>
                <w:szCs w:val="14"/>
                <w:color w:val="auto"/>
              </w:rPr>
              <w:t>3.750% Senior Notes due 2032</w:t>
            </w:r>
          </w:p>
        </w:tc>
        <w:tc>
          <w:tcPr>
            <w:tcW w:w="1460" w:type="dxa"/>
            <w:vAlign w:val="bottom"/>
            <w:gridSpan w:val="4"/>
          </w:tcPr>
          <w:p>
            <w:pPr>
              <w:jc w:val="center"/>
              <w:ind w:right="120"/>
              <w:spacing w:after="0"/>
              <w:rPr>
                <w:sz w:val="20"/>
                <w:szCs w:val="20"/>
                <w:color w:val="auto"/>
              </w:rPr>
            </w:pPr>
            <w:r>
              <w:rPr>
                <w:rFonts w:ascii="Arial" w:cs="Arial" w:eastAsia="Arial" w:hAnsi="Arial"/>
                <w:sz w:val="14"/>
                <w:szCs w:val="14"/>
                <w:color w:val="auto"/>
              </w:rPr>
              <w:t>HON 32A</w:t>
            </w:r>
          </w:p>
        </w:tc>
        <w:tc>
          <w:tcPr>
            <w:tcW w:w="4140" w:type="dxa"/>
            <w:vAlign w:val="bottom"/>
            <w:gridSpan w:val="2"/>
          </w:tcPr>
          <w:p>
            <w:pPr>
              <w:jc w:val="center"/>
              <w:ind w:left="968"/>
              <w:spacing w:after="0"/>
              <w:rPr>
                <w:sz w:val="20"/>
                <w:szCs w:val="20"/>
                <w:color w:val="auto"/>
              </w:rPr>
            </w:pPr>
            <w:r>
              <w:rPr>
                <w:rFonts w:ascii="Arial" w:cs="Arial" w:eastAsia="Arial" w:hAnsi="Arial"/>
                <w:sz w:val="14"/>
                <w:szCs w:val="14"/>
                <w:color w:val="auto"/>
              </w:rPr>
              <w:t>The Nasdaq Stock Market LLC</w:t>
            </w:r>
          </w:p>
        </w:tc>
        <w:tc>
          <w:tcPr>
            <w:tcW w:w="1040" w:type="dxa"/>
            <w:vAlign w:val="bottom"/>
          </w:tcPr>
          <w:p>
            <w:pPr>
              <w:spacing w:after="0"/>
              <w:rPr>
                <w:sz w:val="17"/>
                <w:szCs w:val="17"/>
                <w:color w:val="auto"/>
              </w:rPr>
            </w:pPr>
          </w:p>
        </w:tc>
      </w:tr>
      <w:tr>
        <w:trPr>
          <w:trHeight w:val="203"/>
        </w:trPr>
        <w:tc>
          <w:tcPr>
            <w:tcW w:w="4380" w:type="dxa"/>
            <w:vAlign w:val="bottom"/>
            <w:gridSpan w:val="4"/>
          </w:tcPr>
          <w:p>
            <w:pPr>
              <w:jc w:val="center"/>
              <w:ind w:right="100"/>
              <w:spacing w:after="0"/>
              <w:rPr>
                <w:sz w:val="20"/>
                <w:szCs w:val="20"/>
                <w:color w:val="auto"/>
              </w:rPr>
            </w:pPr>
            <w:r>
              <w:rPr>
                <w:rFonts w:ascii="Arial" w:cs="Arial" w:eastAsia="Arial" w:hAnsi="Arial"/>
                <w:sz w:val="14"/>
                <w:szCs w:val="14"/>
                <w:color w:val="auto"/>
              </w:rPr>
              <w:t>4.125% Senior Notes due 2034</w:t>
            </w:r>
          </w:p>
        </w:tc>
        <w:tc>
          <w:tcPr>
            <w:tcW w:w="1460" w:type="dxa"/>
            <w:vAlign w:val="bottom"/>
            <w:gridSpan w:val="4"/>
          </w:tcPr>
          <w:p>
            <w:pPr>
              <w:jc w:val="center"/>
              <w:ind w:right="100"/>
              <w:spacing w:after="0"/>
              <w:rPr>
                <w:sz w:val="20"/>
                <w:szCs w:val="20"/>
                <w:color w:val="auto"/>
              </w:rPr>
            </w:pPr>
            <w:r>
              <w:rPr>
                <w:rFonts w:ascii="Arial" w:cs="Arial" w:eastAsia="Arial" w:hAnsi="Arial"/>
                <w:sz w:val="14"/>
                <w:szCs w:val="14"/>
                <w:color w:val="auto"/>
              </w:rPr>
              <w:t>HON 34</w:t>
            </w:r>
          </w:p>
        </w:tc>
        <w:tc>
          <w:tcPr>
            <w:tcW w:w="4140" w:type="dxa"/>
            <w:vAlign w:val="bottom"/>
            <w:gridSpan w:val="2"/>
          </w:tcPr>
          <w:p>
            <w:pPr>
              <w:jc w:val="center"/>
              <w:ind w:left="968"/>
              <w:spacing w:after="0"/>
              <w:rPr>
                <w:sz w:val="20"/>
                <w:szCs w:val="20"/>
                <w:color w:val="auto"/>
              </w:rPr>
            </w:pPr>
            <w:r>
              <w:rPr>
                <w:rFonts w:ascii="Arial" w:cs="Arial" w:eastAsia="Arial" w:hAnsi="Arial"/>
                <w:sz w:val="14"/>
                <w:szCs w:val="14"/>
                <w:color w:val="auto"/>
              </w:rPr>
              <w:t>The Nasdaq Stock Market LLC</w:t>
            </w:r>
          </w:p>
        </w:tc>
        <w:tc>
          <w:tcPr>
            <w:tcW w:w="1040" w:type="dxa"/>
            <w:vAlign w:val="bottom"/>
          </w:tcPr>
          <w:p>
            <w:pPr>
              <w:spacing w:after="0"/>
              <w:rPr>
                <w:sz w:val="17"/>
                <w:szCs w:val="17"/>
                <w:color w:val="auto"/>
              </w:rPr>
            </w:pPr>
          </w:p>
        </w:tc>
      </w:tr>
      <w:tr>
        <w:trPr>
          <w:trHeight w:val="203"/>
        </w:trPr>
        <w:tc>
          <w:tcPr>
            <w:tcW w:w="4380" w:type="dxa"/>
            <w:vAlign w:val="bottom"/>
            <w:gridSpan w:val="4"/>
          </w:tcPr>
          <w:p>
            <w:pPr>
              <w:jc w:val="center"/>
              <w:ind w:right="100"/>
              <w:spacing w:after="0"/>
              <w:rPr>
                <w:sz w:val="20"/>
                <w:szCs w:val="20"/>
                <w:color w:val="auto"/>
              </w:rPr>
            </w:pPr>
            <w:r>
              <w:rPr>
                <w:rFonts w:ascii="Arial" w:cs="Arial" w:eastAsia="Arial" w:hAnsi="Arial"/>
                <w:sz w:val="14"/>
                <w:szCs w:val="14"/>
                <w:color w:val="auto"/>
              </w:rPr>
              <w:t>3.750% Senior Notes due 2036</w:t>
            </w:r>
          </w:p>
        </w:tc>
        <w:tc>
          <w:tcPr>
            <w:tcW w:w="1460" w:type="dxa"/>
            <w:vAlign w:val="bottom"/>
            <w:gridSpan w:val="4"/>
          </w:tcPr>
          <w:p>
            <w:pPr>
              <w:jc w:val="center"/>
              <w:ind w:right="100"/>
              <w:spacing w:after="0"/>
              <w:rPr>
                <w:sz w:val="20"/>
                <w:szCs w:val="20"/>
                <w:color w:val="auto"/>
              </w:rPr>
            </w:pPr>
            <w:r>
              <w:rPr>
                <w:rFonts w:ascii="Arial" w:cs="Arial" w:eastAsia="Arial" w:hAnsi="Arial"/>
                <w:sz w:val="14"/>
                <w:szCs w:val="14"/>
                <w:color w:val="auto"/>
              </w:rPr>
              <w:t>HON 36</w:t>
            </w:r>
          </w:p>
        </w:tc>
        <w:tc>
          <w:tcPr>
            <w:tcW w:w="4140" w:type="dxa"/>
            <w:vAlign w:val="bottom"/>
            <w:gridSpan w:val="2"/>
          </w:tcPr>
          <w:p>
            <w:pPr>
              <w:jc w:val="center"/>
              <w:ind w:left="968"/>
              <w:spacing w:after="0"/>
              <w:rPr>
                <w:sz w:val="20"/>
                <w:szCs w:val="20"/>
                <w:color w:val="auto"/>
              </w:rPr>
            </w:pPr>
            <w:r>
              <w:rPr>
                <w:rFonts w:ascii="Arial" w:cs="Arial" w:eastAsia="Arial" w:hAnsi="Arial"/>
                <w:sz w:val="14"/>
                <w:szCs w:val="14"/>
                <w:color w:val="auto"/>
              </w:rPr>
              <w:t>The Nasdaq Stock Market LLC</w:t>
            </w:r>
          </w:p>
        </w:tc>
        <w:tc>
          <w:tcPr>
            <w:tcW w:w="1040" w:type="dxa"/>
            <w:vAlign w:val="bottom"/>
          </w:tcPr>
          <w:p>
            <w:pPr>
              <w:spacing w:after="0"/>
              <w:rPr>
                <w:sz w:val="17"/>
                <w:szCs w:val="17"/>
                <w:color w:val="auto"/>
              </w:rPr>
            </w:pPr>
          </w:p>
        </w:tc>
      </w:tr>
    </w:tbl>
    <w:p>
      <w:pPr>
        <w:spacing w:after="0" w:line="147" w:lineRule="exact"/>
        <w:rPr>
          <w:sz w:val="24"/>
          <w:szCs w:val="24"/>
          <w:color w:val="auto"/>
        </w:rPr>
      </w:pPr>
    </w:p>
    <w:p>
      <w:pPr>
        <w:ind w:right="60"/>
        <w:spacing w:after="0" w:line="19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6"/>
          <w:szCs w:val="16"/>
          <w:b w:val="1"/>
          <w:bCs w:val="1"/>
          <w:color w:val="auto"/>
        </w:rPr>
        <w:t>x</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3" w:lineRule="exact"/>
        <w:rPr>
          <w:sz w:val="24"/>
          <w:szCs w:val="24"/>
          <w:color w:val="auto"/>
        </w:rPr>
      </w:pPr>
    </w:p>
    <w:p>
      <w:pPr>
        <w:spacing w:after="0" w:line="18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4" w:lineRule="exact"/>
        <w:rPr>
          <w:sz w:val="24"/>
          <w:szCs w:val="24"/>
          <w:color w:val="auto"/>
        </w:rPr>
      </w:pPr>
    </w:p>
    <w:p>
      <w:pPr>
        <w:ind w:right="20"/>
        <w:spacing w:after="0" w:line="28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99" w:lineRule="exact"/>
        <w:rPr>
          <w:sz w:val="24"/>
          <w:szCs w:val="24"/>
          <w:color w:val="auto"/>
        </w:rPr>
      </w:pPr>
    </w:p>
    <w:tbl>
      <w:tblPr>
        <w:tblLayout w:type="fixed"/>
        <w:tblInd w:w="20" w:type="dxa"/>
        <w:tblCellMar>
          <w:top w:w="0" w:type="dxa"/>
          <w:left w:w="0" w:type="dxa"/>
          <w:bottom w:w="0" w:type="dxa"/>
          <w:right w:w="0" w:type="dxa"/>
        </w:tblCellMar>
      </w:tblPr>
      <w:tr>
        <w:trPr>
          <w:trHeight w:val="242"/>
        </w:trPr>
        <w:tc>
          <w:tcPr>
            <w:tcW w:w="18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020" w:type="dxa"/>
            <w:vAlign w:val="bottom"/>
          </w:tcPr>
          <w:p>
            <w:pPr>
              <w:ind w:left="460"/>
              <w:spacing w:after="0"/>
              <w:rPr>
                <w:sz w:val="20"/>
                <w:szCs w:val="20"/>
                <w:color w:val="auto"/>
              </w:rPr>
            </w:pPr>
            <w:r>
              <w:rPr>
                <w:rFonts w:ascii="Wingdings" w:cs="Wingdings" w:eastAsia="Wingdings" w:hAnsi="Wingdings"/>
                <w:sz w:val="14"/>
                <w:szCs w:val="14"/>
                <w:b w:val="1"/>
                <w:bCs w:val="1"/>
                <w:color w:val="auto"/>
              </w:rPr>
              <w:t>x</w:t>
            </w:r>
          </w:p>
        </w:tc>
        <w:tc>
          <w:tcPr>
            <w:tcW w:w="3640" w:type="dxa"/>
            <w:vAlign w:val="bottom"/>
          </w:tcPr>
          <w:p>
            <w:pPr>
              <w:ind w:left="1420"/>
              <w:spacing w:after="0"/>
              <w:rPr>
                <w:sz w:val="20"/>
                <w:szCs w:val="20"/>
                <w:color w:val="auto"/>
              </w:rPr>
            </w:pPr>
            <w:r>
              <w:rPr>
                <w:rFonts w:ascii="Arial" w:cs="Arial" w:eastAsia="Arial" w:hAnsi="Arial"/>
                <w:sz w:val="14"/>
                <w:szCs w:val="14"/>
                <w:color w:val="auto"/>
              </w:rPr>
              <w:t>Accelerated filer</w:t>
            </w:r>
          </w:p>
        </w:tc>
        <w:tc>
          <w:tcPr>
            <w:tcW w:w="62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84"/>
        </w:trPr>
        <w:tc>
          <w:tcPr>
            <w:tcW w:w="1880" w:type="dxa"/>
            <w:vAlign w:val="bottom"/>
          </w:tcPr>
          <w:p>
            <w:pPr>
              <w:spacing w:after="0"/>
              <w:rPr>
                <w:sz w:val="20"/>
                <w:szCs w:val="20"/>
                <w:color w:val="auto"/>
              </w:rPr>
            </w:pPr>
            <w:r>
              <w:rPr>
                <w:rFonts w:ascii="Arial" w:cs="Arial" w:eastAsia="Arial" w:hAnsi="Arial"/>
                <w:sz w:val="14"/>
                <w:szCs w:val="14"/>
                <w:color w:val="auto"/>
              </w:rPr>
              <w:t>Non-accelerated filer</w:t>
            </w:r>
          </w:p>
        </w:tc>
        <w:tc>
          <w:tcPr>
            <w:tcW w:w="202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c>
          <w:tcPr>
            <w:tcW w:w="3640" w:type="dxa"/>
            <w:vAlign w:val="bottom"/>
          </w:tcPr>
          <w:p>
            <w:pPr>
              <w:ind w:left="1420"/>
              <w:spacing w:after="0"/>
              <w:rPr>
                <w:sz w:val="20"/>
                <w:szCs w:val="20"/>
                <w:color w:val="auto"/>
              </w:rPr>
            </w:pPr>
            <w:r>
              <w:rPr>
                <w:rFonts w:ascii="Arial" w:cs="Arial" w:eastAsia="Arial" w:hAnsi="Arial"/>
                <w:sz w:val="14"/>
                <w:szCs w:val="14"/>
                <w:color w:val="auto"/>
              </w:rPr>
              <w:t>Smaller reporting company</w:t>
            </w:r>
          </w:p>
        </w:tc>
        <w:tc>
          <w:tcPr>
            <w:tcW w:w="62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83"/>
        </w:trPr>
        <w:tc>
          <w:tcPr>
            <w:tcW w:w="18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640" w:type="dxa"/>
            <w:vAlign w:val="bottom"/>
          </w:tcPr>
          <w:p>
            <w:pPr>
              <w:ind w:left="1420"/>
              <w:spacing w:after="0"/>
              <w:rPr>
                <w:sz w:val="20"/>
                <w:szCs w:val="20"/>
                <w:color w:val="auto"/>
              </w:rPr>
            </w:pPr>
            <w:r>
              <w:rPr>
                <w:rFonts w:ascii="Arial" w:cs="Arial" w:eastAsia="Arial" w:hAnsi="Arial"/>
                <w:sz w:val="14"/>
                <w:szCs w:val="14"/>
                <w:color w:val="auto"/>
              </w:rPr>
              <w:t>Emerging growth company</w:t>
            </w:r>
          </w:p>
        </w:tc>
        <w:tc>
          <w:tcPr>
            <w:tcW w:w="62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41"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highlight w:val="black"/>
        </w:rPr>
        <w:t>☐</w:t>
      </w:r>
    </w:p>
    <w:p>
      <w:pPr>
        <w:spacing w:after="0" w:line="2" w:lineRule="exact"/>
        <w:rPr>
          <w:sz w:val="24"/>
          <w:szCs w:val="24"/>
          <w:color w:val="auto"/>
        </w:rPr>
      </w:pPr>
    </w:p>
    <w:p>
      <w:pPr>
        <w:ind w:right="3100"/>
        <w:spacing w:after="0" w:line="253"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highlight w:val="black"/>
        </w:rPr>
        <w:t>☐</w:t>
      </w:r>
      <w:r>
        <w:rPr>
          <w:rFonts w:ascii="Arial" w:cs="Arial" w:eastAsia="Arial" w:hAnsi="Arial"/>
          <w:sz w:val="14"/>
          <w:szCs w:val="14"/>
          <w:color w:val="auto"/>
        </w:rPr>
        <w:t xml:space="preserve"> No </w:t>
      </w:r>
      <w:r>
        <w:rPr>
          <w:rFonts w:ascii="Wingdings" w:cs="Wingdings" w:eastAsia="Wingdings" w:hAnsi="Wingdings"/>
          <w:sz w:val="16"/>
          <w:szCs w:val="16"/>
          <w:b w:val="1"/>
          <w:bCs w:val="1"/>
          <w:color w:val="auto"/>
        </w:rPr>
        <w:t>x</w:t>
      </w:r>
      <w:r>
        <w:rPr>
          <w:rFonts w:ascii="Arial" w:cs="Arial" w:eastAsia="Arial" w:hAnsi="Arial"/>
          <w:sz w:val="14"/>
          <w:szCs w:val="14"/>
          <w:color w:val="auto"/>
        </w:rPr>
        <w:t xml:space="preserve"> There were 651,185,513 shares of Common Stock outstanding at March 31,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507365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8" w:right="339" w:bottom="1440" w:gutter="0" w:footer="0" w:header="0"/>
        </w:sectPr>
      </w:pPr>
    </w:p>
    <w:bookmarkStart w:id="1" w:name="page2"/>
    <w:bookmarkEnd w:id="1"/>
    <w:p>
      <w:pPr>
        <w:spacing w:after="0"/>
        <w:rPr>
          <w:sz w:val="20"/>
          <w:szCs w:val="20"/>
          <w:color w:val="auto"/>
        </w:rPr>
      </w:pPr>
      <w:r>
        <w:rPr>
          <w:rFonts w:ascii="Arial" w:cs="Arial" w:eastAsia="Arial" w:hAnsi="Arial"/>
          <w:sz w:val="36"/>
          <w:szCs w:val="36"/>
          <w:b w:val="1"/>
          <w:bCs w:val="1"/>
          <w:color w:val="auto"/>
        </w:rPr>
        <w:t>TABLE OF CONTENTS</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 w:type="dxa"/>
            <w:vAlign w:val="bottom"/>
          </w:tcPr>
          <w:p>
            <w:pPr>
              <w:spacing w:after="0"/>
              <w:rPr>
                <w:sz w:val="19"/>
                <w:szCs w:val="19"/>
                <w:color w:val="auto"/>
              </w:rPr>
            </w:pPr>
          </w:p>
        </w:tc>
        <w:tc>
          <w:tcPr>
            <w:tcW w:w="780" w:type="dxa"/>
            <w:vAlign w:val="bottom"/>
            <w:tcBorders>
              <w:top w:val="single" w:sz="8" w:color="61656A"/>
              <w:bottom w:val="single" w:sz="8" w:color="61656A"/>
            </w:tcBorders>
          </w:tcPr>
          <w:p>
            <w:pPr>
              <w:spacing w:after="0"/>
              <w:rPr>
                <w:sz w:val="19"/>
                <w:szCs w:val="19"/>
                <w:color w:val="auto"/>
              </w:rPr>
            </w:pPr>
          </w:p>
        </w:tc>
        <w:tc>
          <w:tcPr>
            <w:tcW w:w="9240" w:type="dxa"/>
            <w:vAlign w:val="bottom"/>
            <w:tcBorders>
              <w:top w:val="single" w:sz="8" w:color="61656A"/>
              <w:bottom w:val="single" w:sz="8" w:color="61656A"/>
            </w:tcBorders>
          </w:tcPr>
          <w:p>
            <w:pPr>
              <w:ind w:left="120"/>
              <w:spacing w:after="0"/>
              <w:rPr>
                <w:sz w:val="20"/>
                <w:szCs w:val="20"/>
                <w:color w:val="auto"/>
              </w:rPr>
            </w:pPr>
            <w:r>
              <w:rPr>
                <w:rFonts w:ascii="Arial" w:cs="Arial" w:eastAsia="Arial" w:hAnsi="Arial"/>
                <w:sz w:val="16"/>
                <w:szCs w:val="16"/>
                <w:color w:val="auto"/>
              </w:rPr>
              <w:t>Cautionary Statement about Forward-Looking Statements</w:t>
            </w:r>
          </w:p>
        </w:tc>
        <w:tc>
          <w:tcPr>
            <w:tcW w:w="1160" w:type="dxa"/>
            <w:vAlign w:val="bottom"/>
            <w:tcBorders>
              <w:top w:val="single" w:sz="8" w:color="61656A"/>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1</w:t>
            </w:r>
          </w:p>
        </w:tc>
        <w:tc>
          <w:tcPr>
            <w:tcW w:w="20" w:type="dxa"/>
            <w:vAlign w:val="bottom"/>
          </w:tcPr>
          <w:p>
            <w:pPr>
              <w:spacing w:after="0"/>
              <w:rPr>
                <w:sz w:val="19"/>
                <w:szCs w:val="19"/>
                <w:color w:val="auto"/>
              </w:rPr>
            </w:pPr>
          </w:p>
        </w:tc>
      </w:tr>
      <w:tr>
        <w:trPr>
          <w:trHeight w:val="210"/>
        </w:trPr>
        <w:tc>
          <w:tcPr>
            <w:tcW w:w="40" w:type="dxa"/>
            <w:vAlign w:val="bottom"/>
          </w:tcPr>
          <w:p>
            <w:pPr>
              <w:spacing w:after="0"/>
              <w:rPr>
                <w:sz w:val="18"/>
                <w:szCs w:val="18"/>
                <w:color w:val="auto"/>
              </w:rPr>
            </w:pPr>
          </w:p>
        </w:tc>
        <w:tc>
          <w:tcPr>
            <w:tcW w:w="780" w:type="dxa"/>
            <w:vAlign w:val="bottom"/>
            <w:tcBorders>
              <w:bottom w:val="single" w:sz="8" w:color="D7282F"/>
            </w:tcBorders>
          </w:tcPr>
          <w:p>
            <w:pPr>
              <w:spacing w:after="0"/>
              <w:rPr>
                <w:sz w:val="18"/>
                <w:szCs w:val="18"/>
                <w:color w:val="auto"/>
              </w:rPr>
            </w:pPr>
          </w:p>
        </w:tc>
        <w:tc>
          <w:tcPr>
            <w:tcW w:w="9240" w:type="dxa"/>
            <w:vAlign w:val="bottom"/>
            <w:tcBorders>
              <w:bottom w:val="single" w:sz="8" w:color="D7282F"/>
            </w:tcBorders>
          </w:tcPr>
          <w:p>
            <w:pPr>
              <w:ind w:left="120"/>
              <w:spacing w:after="0"/>
              <w:rPr>
                <w:sz w:val="20"/>
                <w:szCs w:val="20"/>
                <w:color w:val="auto"/>
              </w:rPr>
            </w:pPr>
            <w:r>
              <w:rPr>
                <w:rFonts w:ascii="Arial" w:cs="Arial" w:eastAsia="Arial" w:hAnsi="Arial"/>
                <w:sz w:val="16"/>
                <w:szCs w:val="16"/>
                <w:color w:val="auto"/>
              </w:rPr>
              <w:t>About Honeywell</w:t>
            </w:r>
          </w:p>
        </w:tc>
        <w:tc>
          <w:tcPr>
            <w:tcW w:w="1160" w:type="dxa"/>
            <w:vAlign w:val="bottom"/>
            <w:tcBorders>
              <w:bottom w:val="single" w:sz="8" w:color="D7282F"/>
            </w:tcBorders>
          </w:tcPr>
          <w:p>
            <w:pPr>
              <w:jc w:val="right"/>
              <w:spacing w:after="0"/>
              <w:rPr>
                <w:sz w:val="20"/>
                <w:szCs w:val="20"/>
                <w:color w:val="auto"/>
              </w:rPr>
            </w:pPr>
            <w:r>
              <w:rPr>
                <w:rFonts w:ascii="Arial" w:cs="Arial" w:eastAsia="Arial" w:hAnsi="Arial"/>
                <w:sz w:val="16"/>
                <w:szCs w:val="16"/>
                <w:b w:val="1"/>
                <w:bCs w:val="1"/>
                <w:color w:val="D7282F"/>
              </w:rPr>
              <w:t>2</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780" w:type="dxa"/>
            <w:vAlign w:val="bottom"/>
            <w:tcBorders>
              <w:bottom w:val="single" w:sz="8" w:color="D7282F"/>
            </w:tcBorders>
          </w:tcPr>
          <w:p>
            <w:pPr>
              <w:ind w:left="20"/>
              <w:spacing w:after="0"/>
              <w:rPr>
                <w:sz w:val="20"/>
                <w:szCs w:val="20"/>
                <w:color w:val="auto"/>
              </w:rPr>
            </w:pPr>
            <w:r>
              <w:rPr>
                <w:rFonts w:ascii="Arial" w:cs="Arial" w:eastAsia="Arial" w:hAnsi="Arial"/>
                <w:sz w:val="16"/>
                <w:szCs w:val="16"/>
                <w:b w:val="1"/>
                <w:bCs w:val="1"/>
                <w:color w:val="D7282F"/>
              </w:rPr>
              <w:t>PART I</w:t>
            </w:r>
          </w:p>
        </w:tc>
        <w:tc>
          <w:tcPr>
            <w:tcW w:w="9240" w:type="dxa"/>
            <w:vAlign w:val="bottom"/>
            <w:tcBorders>
              <w:bottom w:val="single" w:sz="8" w:color="D7282F"/>
            </w:tcBorders>
          </w:tcPr>
          <w:p>
            <w:pPr>
              <w:ind w:left="120"/>
              <w:spacing w:after="0"/>
              <w:rPr>
                <w:sz w:val="20"/>
                <w:szCs w:val="20"/>
                <w:color w:val="auto"/>
              </w:rPr>
            </w:pPr>
            <w:r>
              <w:rPr>
                <w:rFonts w:ascii="Arial" w:cs="Arial" w:eastAsia="Arial" w:hAnsi="Arial"/>
                <w:sz w:val="16"/>
                <w:szCs w:val="16"/>
                <w:b w:val="1"/>
                <w:bCs w:val="1"/>
                <w:color w:val="D7282F"/>
              </w:rPr>
              <w:t>Financial Information</w:t>
            </w:r>
          </w:p>
        </w:tc>
        <w:tc>
          <w:tcPr>
            <w:tcW w:w="1160" w:type="dxa"/>
            <w:vAlign w:val="bottom"/>
            <w:tcBorders>
              <w:bottom w:val="single" w:sz="8" w:color="D7282F"/>
            </w:tcBorders>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80" w:type="dxa"/>
            <w:vAlign w:val="bottom"/>
            <w:tcBorders>
              <w:bottom w:val="single" w:sz="8" w:color="61656A"/>
            </w:tcBorders>
          </w:tcPr>
          <w:p>
            <w:pPr>
              <w:ind w:left="20"/>
              <w:spacing w:after="0"/>
              <w:rPr>
                <w:sz w:val="20"/>
                <w:szCs w:val="20"/>
                <w:color w:val="auto"/>
              </w:rPr>
            </w:pPr>
            <w:r>
              <w:rPr>
                <w:rFonts w:ascii="Arial" w:cs="Arial" w:eastAsia="Arial" w:hAnsi="Arial"/>
                <w:sz w:val="16"/>
                <w:szCs w:val="16"/>
                <w:b w:val="1"/>
                <w:bCs w:val="1"/>
                <w:color w:val="auto"/>
              </w:rPr>
              <w:t>ITEM 1</w:t>
            </w:r>
          </w:p>
        </w:tc>
        <w:tc>
          <w:tcPr>
            <w:tcW w:w="924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Financial Statements and Supplementary Data (unaudited):</w:t>
            </w:r>
          </w:p>
        </w:tc>
        <w:tc>
          <w:tcPr>
            <w:tcW w:w="11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3</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780" w:type="dxa"/>
            <w:vAlign w:val="bottom"/>
            <w:tcBorders>
              <w:bottom w:val="single" w:sz="8" w:color="61656A"/>
            </w:tcBorders>
          </w:tcPr>
          <w:p>
            <w:pPr>
              <w:spacing w:after="0"/>
              <w:rPr>
                <w:sz w:val="18"/>
                <w:szCs w:val="18"/>
                <w:color w:val="auto"/>
              </w:rPr>
            </w:pPr>
          </w:p>
        </w:tc>
        <w:tc>
          <w:tcPr>
            <w:tcW w:w="924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Consolidated Statement of Operations (unaudited) – Three Months Ended March 31, 2024, and 2023</w:t>
            </w:r>
          </w:p>
        </w:tc>
        <w:tc>
          <w:tcPr>
            <w:tcW w:w="11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3</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780" w:type="dxa"/>
            <w:vAlign w:val="bottom"/>
            <w:tcBorders>
              <w:bottom w:val="single" w:sz="8" w:color="61656A"/>
            </w:tcBorders>
          </w:tcPr>
          <w:p>
            <w:pPr>
              <w:spacing w:after="0"/>
              <w:rPr>
                <w:sz w:val="18"/>
                <w:szCs w:val="18"/>
                <w:color w:val="auto"/>
              </w:rPr>
            </w:pPr>
          </w:p>
        </w:tc>
        <w:tc>
          <w:tcPr>
            <w:tcW w:w="924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Consolidated Statement of Comprehensive Income (unaudited) – Three Months Ended March 31, 2024, and 2023</w:t>
            </w:r>
          </w:p>
        </w:tc>
        <w:tc>
          <w:tcPr>
            <w:tcW w:w="11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4</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80" w:type="dxa"/>
            <w:vAlign w:val="bottom"/>
            <w:tcBorders>
              <w:bottom w:val="single" w:sz="8" w:color="61656A"/>
            </w:tcBorders>
          </w:tcPr>
          <w:p>
            <w:pPr>
              <w:spacing w:after="0"/>
              <w:rPr>
                <w:sz w:val="18"/>
                <w:szCs w:val="18"/>
                <w:color w:val="auto"/>
              </w:rPr>
            </w:pPr>
          </w:p>
        </w:tc>
        <w:tc>
          <w:tcPr>
            <w:tcW w:w="924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Consolidated Balance Sheet (unaudited) – March 31, 2024, and December 31, 2023</w:t>
            </w:r>
          </w:p>
        </w:tc>
        <w:tc>
          <w:tcPr>
            <w:tcW w:w="11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5</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780" w:type="dxa"/>
            <w:vAlign w:val="bottom"/>
            <w:tcBorders>
              <w:bottom w:val="single" w:sz="8" w:color="61656A"/>
            </w:tcBorders>
          </w:tcPr>
          <w:p>
            <w:pPr>
              <w:spacing w:after="0"/>
              <w:rPr>
                <w:sz w:val="18"/>
                <w:szCs w:val="18"/>
                <w:color w:val="auto"/>
              </w:rPr>
            </w:pPr>
          </w:p>
        </w:tc>
        <w:tc>
          <w:tcPr>
            <w:tcW w:w="924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Consolidated Statement of Cash Flows (unaudited) – Three Months Ended March 31, 2024, and 2023</w:t>
            </w:r>
          </w:p>
        </w:tc>
        <w:tc>
          <w:tcPr>
            <w:tcW w:w="11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6</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780" w:type="dxa"/>
            <w:vAlign w:val="bottom"/>
            <w:tcBorders>
              <w:bottom w:val="single" w:sz="8" w:color="61656A"/>
            </w:tcBorders>
          </w:tcPr>
          <w:p>
            <w:pPr>
              <w:spacing w:after="0"/>
              <w:rPr>
                <w:sz w:val="18"/>
                <w:szCs w:val="18"/>
                <w:color w:val="auto"/>
              </w:rPr>
            </w:pPr>
          </w:p>
        </w:tc>
        <w:tc>
          <w:tcPr>
            <w:tcW w:w="924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Consolidated Statement of Shareowners' Equity (unaudited) – Three Months Ended March 31, 2024, and 2023</w:t>
            </w:r>
          </w:p>
        </w:tc>
        <w:tc>
          <w:tcPr>
            <w:tcW w:w="11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7</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80" w:type="dxa"/>
            <w:vAlign w:val="bottom"/>
            <w:tcBorders>
              <w:bottom w:val="single" w:sz="8" w:color="61656A"/>
            </w:tcBorders>
          </w:tcPr>
          <w:p>
            <w:pPr>
              <w:spacing w:after="0"/>
              <w:rPr>
                <w:sz w:val="18"/>
                <w:szCs w:val="18"/>
                <w:color w:val="auto"/>
              </w:rPr>
            </w:pPr>
          </w:p>
        </w:tc>
        <w:tc>
          <w:tcPr>
            <w:tcW w:w="924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Note 1 – Basis of Presentation</w:t>
            </w:r>
          </w:p>
        </w:tc>
        <w:tc>
          <w:tcPr>
            <w:tcW w:w="11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8</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780" w:type="dxa"/>
            <w:vAlign w:val="bottom"/>
            <w:tcBorders>
              <w:bottom w:val="single" w:sz="8" w:color="61656A"/>
            </w:tcBorders>
          </w:tcPr>
          <w:p>
            <w:pPr>
              <w:spacing w:after="0"/>
              <w:rPr>
                <w:sz w:val="18"/>
                <w:szCs w:val="18"/>
                <w:color w:val="auto"/>
              </w:rPr>
            </w:pPr>
          </w:p>
        </w:tc>
        <w:tc>
          <w:tcPr>
            <w:tcW w:w="924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Note 2 – Summary of Significant Accounting Policies</w:t>
            </w:r>
          </w:p>
        </w:tc>
        <w:tc>
          <w:tcPr>
            <w:tcW w:w="11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8</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80" w:type="dxa"/>
            <w:vAlign w:val="bottom"/>
            <w:tcBorders>
              <w:bottom w:val="single" w:sz="8" w:color="61656A"/>
            </w:tcBorders>
          </w:tcPr>
          <w:p>
            <w:pPr>
              <w:spacing w:after="0"/>
              <w:rPr>
                <w:sz w:val="18"/>
                <w:szCs w:val="18"/>
                <w:color w:val="auto"/>
              </w:rPr>
            </w:pPr>
          </w:p>
        </w:tc>
        <w:tc>
          <w:tcPr>
            <w:tcW w:w="924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Note 3 – Acquisitions and Divestitures</w:t>
            </w:r>
          </w:p>
        </w:tc>
        <w:tc>
          <w:tcPr>
            <w:tcW w:w="11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9</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780" w:type="dxa"/>
            <w:vAlign w:val="bottom"/>
            <w:tcBorders>
              <w:bottom w:val="single" w:sz="8" w:color="61656A"/>
            </w:tcBorders>
          </w:tcPr>
          <w:p>
            <w:pPr>
              <w:spacing w:after="0"/>
              <w:rPr>
                <w:sz w:val="18"/>
                <w:szCs w:val="18"/>
                <w:color w:val="auto"/>
              </w:rPr>
            </w:pPr>
          </w:p>
        </w:tc>
        <w:tc>
          <w:tcPr>
            <w:tcW w:w="924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Note 4 – Revenue Recognition and Contracts with Customers</w:t>
            </w:r>
          </w:p>
        </w:tc>
        <w:tc>
          <w:tcPr>
            <w:tcW w:w="11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10</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780" w:type="dxa"/>
            <w:vAlign w:val="bottom"/>
            <w:tcBorders>
              <w:bottom w:val="single" w:sz="8" w:color="61656A"/>
            </w:tcBorders>
          </w:tcPr>
          <w:p>
            <w:pPr>
              <w:spacing w:after="0"/>
              <w:rPr>
                <w:sz w:val="18"/>
                <w:szCs w:val="18"/>
                <w:color w:val="auto"/>
              </w:rPr>
            </w:pPr>
          </w:p>
        </w:tc>
        <w:tc>
          <w:tcPr>
            <w:tcW w:w="924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Note 5 – Repositioning and Other Charges</w:t>
            </w:r>
          </w:p>
        </w:tc>
        <w:tc>
          <w:tcPr>
            <w:tcW w:w="11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13</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80" w:type="dxa"/>
            <w:vAlign w:val="bottom"/>
            <w:tcBorders>
              <w:bottom w:val="single" w:sz="8" w:color="61656A"/>
            </w:tcBorders>
          </w:tcPr>
          <w:p>
            <w:pPr>
              <w:spacing w:after="0"/>
              <w:rPr>
                <w:sz w:val="18"/>
                <w:szCs w:val="18"/>
                <w:color w:val="auto"/>
              </w:rPr>
            </w:pPr>
          </w:p>
        </w:tc>
        <w:tc>
          <w:tcPr>
            <w:tcW w:w="924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Note 6 – Income Taxes</w:t>
            </w:r>
          </w:p>
        </w:tc>
        <w:tc>
          <w:tcPr>
            <w:tcW w:w="11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15</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780" w:type="dxa"/>
            <w:vAlign w:val="bottom"/>
            <w:tcBorders>
              <w:bottom w:val="single" w:sz="8" w:color="61656A"/>
            </w:tcBorders>
          </w:tcPr>
          <w:p>
            <w:pPr>
              <w:spacing w:after="0"/>
              <w:rPr>
                <w:sz w:val="18"/>
                <w:szCs w:val="18"/>
                <w:color w:val="auto"/>
              </w:rPr>
            </w:pPr>
          </w:p>
        </w:tc>
        <w:tc>
          <w:tcPr>
            <w:tcW w:w="924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Note 7 – Inventories</w:t>
            </w:r>
          </w:p>
        </w:tc>
        <w:tc>
          <w:tcPr>
            <w:tcW w:w="11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15</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780" w:type="dxa"/>
            <w:vAlign w:val="bottom"/>
            <w:tcBorders>
              <w:bottom w:val="single" w:sz="8" w:color="61656A"/>
            </w:tcBorders>
          </w:tcPr>
          <w:p>
            <w:pPr>
              <w:spacing w:after="0"/>
              <w:rPr>
                <w:sz w:val="18"/>
                <w:szCs w:val="18"/>
                <w:color w:val="auto"/>
              </w:rPr>
            </w:pPr>
          </w:p>
        </w:tc>
        <w:tc>
          <w:tcPr>
            <w:tcW w:w="924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Note 8 – Goodwill and Other Intangible Assets—Net</w:t>
            </w:r>
          </w:p>
        </w:tc>
        <w:tc>
          <w:tcPr>
            <w:tcW w:w="11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15</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80" w:type="dxa"/>
            <w:vAlign w:val="bottom"/>
            <w:tcBorders>
              <w:bottom w:val="single" w:sz="8" w:color="61656A"/>
            </w:tcBorders>
          </w:tcPr>
          <w:p>
            <w:pPr>
              <w:spacing w:after="0"/>
              <w:rPr>
                <w:sz w:val="18"/>
                <w:szCs w:val="18"/>
                <w:color w:val="auto"/>
              </w:rPr>
            </w:pPr>
          </w:p>
        </w:tc>
        <w:tc>
          <w:tcPr>
            <w:tcW w:w="924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Note 9 – Long-term Debt and Credit Agreements</w:t>
            </w:r>
          </w:p>
        </w:tc>
        <w:tc>
          <w:tcPr>
            <w:tcW w:w="11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17</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780" w:type="dxa"/>
            <w:vAlign w:val="bottom"/>
            <w:tcBorders>
              <w:bottom w:val="single" w:sz="8" w:color="61656A"/>
            </w:tcBorders>
          </w:tcPr>
          <w:p>
            <w:pPr>
              <w:spacing w:after="0"/>
              <w:rPr>
                <w:sz w:val="18"/>
                <w:szCs w:val="18"/>
                <w:color w:val="auto"/>
              </w:rPr>
            </w:pPr>
          </w:p>
        </w:tc>
        <w:tc>
          <w:tcPr>
            <w:tcW w:w="924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Note 10 – Leases</w:t>
            </w:r>
          </w:p>
        </w:tc>
        <w:tc>
          <w:tcPr>
            <w:tcW w:w="11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18</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80" w:type="dxa"/>
            <w:vAlign w:val="bottom"/>
            <w:tcBorders>
              <w:bottom w:val="single" w:sz="8" w:color="61656A"/>
            </w:tcBorders>
          </w:tcPr>
          <w:p>
            <w:pPr>
              <w:spacing w:after="0"/>
              <w:rPr>
                <w:sz w:val="18"/>
                <w:szCs w:val="18"/>
                <w:color w:val="auto"/>
              </w:rPr>
            </w:pPr>
          </w:p>
        </w:tc>
        <w:tc>
          <w:tcPr>
            <w:tcW w:w="924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Note 11 – Derivative Instruments and Hedging Transactions</w:t>
            </w:r>
          </w:p>
        </w:tc>
        <w:tc>
          <w:tcPr>
            <w:tcW w:w="11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19</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80" w:type="dxa"/>
            <w:vAlign w:val="bottom"/>
            <w:tcBorders>
              <w:bottom w:val="single" w:sz="8" w:color="61656A"/>
            </w:tcBorders>
          </w:tcPr>
          <w:p>
            <w:pPr>
              <w:spacing w:after="0"/>
              <w:rPr>
                <w:sz w:val="18"/>
                <w:szCs w:val="18"/>
                <w:color w:val="auto"/>
              </w:rPr>
            </w:pPr>
          </w:p>
        </w:tc>
        <w:tc>
          <w:tcPr>
            <w:tcW w:w="924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Note 12 – Fair Value Measurements</w:t>
            </w:r>
          </w:p>
        </w:tc>
        <w:tc>
          <w:tcPr>
            <w:tcW w:w="11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21</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80" w:type="dxa"/>
            <w:vAlign w:val="bottom"/>
            <w:tcBorders>
              <w:bottom w:val="single" w:sz="8" w:color="61656A"/>
            </w:tcBorders>
          </w:tcPr>
          <w:p>
            <w:pPr>
              <w:spacing w:after="0"/>
              <w:rPr>
                <w:sz w:val="18"/>
                <w:szCs w:val="18"/>
                <w:color w:val="auto"/>
              </w:rPr>
            </w:pPr>
          </w:p>
        </w:tc>
        <w:tc>
          <w:tcPr>
            <w:tcW w:w="924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Note 13 – Earnings Per Share</w:t>
            </w:r>
          </w:p>
        </w:tc>
        <w:tc>
          <w:tcPr>
            <w:tcW w:w="11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23</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780" w:type="dxa"/>
            <w:vAlign w:val="bottom"/>
            <w:tcBorders>
              <w:bottom w:val="single" w:sz="8" w:color="61656A"/>
            </w:tcBorders>
          </w:tcPr>
          <w:p>
            <w:pPr>
              <w:spacing w:after="0"/>
              <w:rPr>
                <w:sz w:val="18"/>
                <w:szCs w:val="18"/>
                <w:color w:val="auto"/>
              </w:rPr>
            </w:pPr>
          </w:p>
        </w:tc>
        <w:tc>
          <w:tcPr>
            <w:tcW w:w="924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Note 14 – Accumulated Other Comprehensive Income (Loss)</w:t>
            </w:r>
          </w:p>
        </w:tc>
        <w:tc>
          <w:tcPr>
            <w:tcW w:w="11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24</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80" w:type="dxa"/>
            <w:vAlign w:val="bottom"/>
            <w:tcBorders>
              <w:bottom w:val="single" w:sz="8" w:color="61656A"/>
            </w:tcBorders>
          </w:tcPr>
          <w:p>
            <w:pPr>
              <w:spacing w:after="0"/>
              <w:rPr>
                <w:sz w:val="18"/>
                <w:szCs w:val="18"/>
                <w:color w:val="auto"/>
              </w:rPr>
            </w:pPr>
          </w:p>
        </w:tc>
        <w:tc>
          <w:tcPr>
            <w:tcW w:w="924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Note 15 – Commitments and Contingencies</w:t>
            </w:r>
          </w:p>
        </w:tc>
        <w:tc>
          <w:tcPr>
            <w:tcW w:w="11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24</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80" w:type="dxa"/>
            <w:vAlign w:val="bottom"/>
            <w:tcBorders>
              <w:bottom w:val="single" w:sz="8" w:color="61656A"/>
            </w:tcBorders>
          </w:tcPr>
          <w:p>
            <w:pPr>
              <w:spacing w:after="0"/>
              <w:rPr>
                <w:sz w:val="18"/>
                <w:szCs w:val="18"/>
                <w:color w:val="auto"/>
              </w:rPr>
            </w:pPr>
          </w:p>
        </w:tc>
        <w:tc>
          <w:tcPr>
            <w:tcW w:w="924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Note 16 – Pension Benefits</w:t>
            </w:r>
          </w:p>
        </w:tc>
        <w:tc>
          <w:tcPr>
            <w:tcW w:w="11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29</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80" w:type="dxa"/>
            <w:vAlign w:val="bottom"/>
            <w:tcBorders>
              <w:bottom w:val="single" w:sz="8" w:color="61656A"/>
            </w:tcBorders>
          </w:tcPr>
          <w:p>
            <w:pPr>
              <w:spacing w:after="0"/>
              <w:rPr>
                <w:sz w:val="18"/>
                <w:szCs w:val="18"/>
                <w:color w:val="auto"/>
              </w:rPr>
            </w:pPr>
          </w:p>
        </w:tc>
        <w:tc>
          <w:tcPr>
            <w:tcW w:w="924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Note 17 – Other (Income) Expense</w:t>
            </w:r>
          </w:p>
        </w:tc>
        <w:tc>
          <w:tcPr>
            <w:tcW w:w="11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29</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780" w:type="dxa"/>
            <w:vAlign w:val="bottom"/>
            <w:tcBorders>
              <w:bottom w:val="single" w:sz="8" w:color="61656A"/>
            </w:tcBorders>
          </w:tcPr>
          <w:p>
            <w:pPr>
              <w:spacing w:after="0"/>
              <w:rPr>
                <w:sz w:val="18"/>
                <w:szCs w:val="18"/>
                <w:color w:val="auto"/>
              </w:rPr>
            </w:pPr>
          </w:p>
        </w:tc>
        <w:tc>
          <w:tcPr>
            <w:tcW w:w="924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Note 18 – Segment Financial Data</w:t>
            </w:r>
          </w:p>
        </w:tc>
        <w:tc>
          <w:tcPr>
            <w:tcW w:w="11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30</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80" w:type="dxa"/>
            <w:vAlign w:val="bottom"/>
            <w:tcBorders>
              <w:bottom w:val="single" w:sz="8" w:color="61656A"/>
            </w:tcBorders>
          </w:tcPr>
          <w:p>
            <w:pPr>
              <w:ind w:left="20"/>
              <w:spacing w:after="0"/>
              <w:rPr>
                <w:sz w:val="20"/>
                <w:szCs w:val="20"/>
                <w:color w:val="auto"/>
              </w:rPr>
            </w:pPr>
            <w:r>
              <w:rPr>
                <w:rFonts w:ascii="Arial" w:cs="Arial" w:eastAsia="Arial" w:hAnsi="Arial"/>
                <w:sz w:val="16"/>
                <w:szCs w:val="16"/>
                <w:b w:val="1"/>
                <w:bCs w:val="1"/>
                <w:color w:val="auto"/>
              </w:rPr>
              <w:t>ITEM 2</w:t>
            </w:r>
          </w:p>
        </w:tc>
        <w:tc>
          <w:tcPr>
            <w:tcW w:w="924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Management’s Discussion and Analysis of Financial Condition and Results of Operations</w:t>
            </w:r>
          </w:p>
        </w:tc>
        <w:tc>
          <w:tcPr>
            <w:tcW w:w="11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32</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80" w:type="dxa"/>
            <w:vAlign w:val="bottom"/>
            <w:tcBorders>
              <w:bottom w:val="single" w:sz="8" w:color="61656A"/>
            </w:tcBorders>
          </w:tcPr>
          <w:p>
            <w:pPr>
              <w:ind w:left="20"/>
              <w:spacing w:after="0"/>
              <w:rPr>
                <w:sz w:val="20"/>
                <w:szCs w:val="20"/>
                <w:color w:val="auto"/>
              </w:rPr>
            </w:pPr>
            <w:r>
              <w:rPr>
                <w:rFonts w:ascii="Arial" w:cs="Arial" w:eastAsia="Arial" w:hAnsi="Arial"/>
                <w:sz w:val="16"/>
                <w:szCs w:val="16"/>
                <w:b w:val="1"/>
                <w:bCs w:val="1"/>
                <w:color w:val="auto"/>
              </w:rPr>
              <w:t>ITEM 3</w:t>
            </w:r>
          </w:p>
        </w:tc>
        <w:tc>
          <w:tcPr>
            <w:tcW w:w="924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Quantitative and Qualitative Disclosures about Market Risks</w:t>
            </w:r>
          </w:p>
        </w:tc>
        <w:tc>
          <w:tcPr>
            <w:tcW w:w="11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47</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80" w:type="dxa"/>
            <w:vAlign w:val="bottom"/>
            <w:tcBorders>
              <w:bottom w:val="single" w:sz="8" w:color="D7282F"/>
            </w:tcBorders>
          </w:tcPr>
          <w:p>
            <w:pPr>
              <w:ind w:left="20"/>
              <w:spacing w:after="0"/>
              <w:rPr>
                <w:sz w:val="20"/>
                <w:szCs w:val="20"/>
                <w:color w:val="auto"/>
              </w:rPr>
            </w:pPr>
            <w:r>
              <w:rPr>
                <w:rFonts w:ascii="Arial" w:cs="Arial" w:eastAsia="Arial" w:hAnsi="Arial"/>
                <w:sz w:val="16"/>
                <w:szCs w:val="16"/>
                <w:b w:val="1"/>
                <w:bCs w:val="1"/>
                <w:color w:val="auto"/>
              </w:rPr>
              <w:t>ITEM 4</w:t>
            </w:r>
          </w:p>
        </w:tc>
        <w:tc>
          <w:tcPr>
            <w:tcW w:w="9240" w:type="dxa"/>
            <w:vAlign w:val="bottom"/>
            <w:tcBorders>
              <w:bottom w:val="single" w:sz="8" w:color="D7282F"/>
            </w:tcBorders>
          </w:tcPr>
          <w:p>
            <w:pPr>
              <w:ind w:left="120"/>
              <w:spacing w:after="0"/>
              <w:rPr>
                <w:sz w:val="20"/>
                <w:szCs w:val="20"/>
                <w:color w:val="auto"/>
              </w:rPr>
            </w:pPr>
            <w:r>
              <w:rPr>
                <w:rFonts w:ascii="Arial" w:cs="Arial" w:eastAsia="Arial" w:hAnsi="Arial"/>
                <w:sz w:val="16"/>
                <w:szCs w:val="16"/>
                <w:color w:val="auto"/>
              </w:rPr>
              <w:t>Controls and Procedures</w:t>
            </w:r>
          </w:p>
        </w:tc>
        <w:tc>
          <w:tcPr>
            <w:tcW w:w="1160" w:type="dxa"/>
            <w:vAlign w:val="bottom"/>
            <w:tcBorders>
              <w:bottom w:val="single" w:sz="8" w:color="D7282F"/>
            </w:tcBorders>
          </w:tcPr>
          <w:p>
            <w:pPr>
              <w:jc w:val="right"/>
              <w:spacing w:after="0"/>
              <w:rPr>
                <w:sz w:val="20"/>
                <w:szCs w:val="20"/>
                <w:color w:val="auto"/>
              </w:rPr>
            </w:pPr>
            <w:r>
              <w:rPr>
                <w:rFonts w:ascii="Arial" w:cs="Arial" w:eastAsia="Arial" w:hAnsi="Arial"/>
                <w:sz w:val="16"/>
                <w:szCs w:val="16"/>
                <w:b w:val="1"/>
                <w:bCs w:val="1"/>
                <w:color w:val="D7282F"/>
              </w:rPr>
              <w:t>47</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780" w:type="dxa"/>
            <w:vAlign w:val="bottom"/>
            <w:tcBorders>
              <w:bottom w:val="single" w:sz="8" w:color="D7282F"/>
            </w:tcBorders>
          </w:tcPr>
          <w:p>
            <w:pPr>
              <w:ind w:left="20"/>
              <w:spacing w:after="0"/>
              <w:rPr>
                <w:sz w:val="20"/>
                <w:szCs w:val="20"/>
                <w:color w:val="auto"/>
              </w:rPr>
            </w:pPr>
            <w:r>
              <w:rPr>
                <w:rFonts w:ascii="Arial" w:cs="Arial" w:eastAsia="Arial" w:hAnsi="Arial"/>
                <w:sz w:val="16"/>
                <w:szCs w:val="16"/>
                <w:b w:val="1"/>
                <w:bCs w:val="1"/>
                <w:color w:val="D7282F"/>
              </w:rPr>
              <w:t>PART II</w:t>
            </w:r>
          </w:p>
        </w:tc>
        <w:tc>
          <w:tcPr>
            <w:tcW w:w="9240" w:type="dxa"/>
            <w:vAlign w:val="bottom"/>
            <w:tcBorders>
              <w:bottom w:val="single" w:sz="8" w:color="D7282F"/>
            </w:tcBorders>
          </w:tcPr>
          <w:p>
            <w:pPr>
              <w:ind w:left="120"/>
              <w:spacing w:after="0"/>
              <w:rPr>
                <w:sz w:val="20"/>
                <w:szCs w:val="20"/>
                <w:color w:val="auto"/>
              </w:rPr>
            </w:pPr>
            <w:r>
              <w:rPr>
                <w:rFonts w:ascii="Arial" w:cs="Arial" w:eastAsia="Arial" w:hAnsi="Arial"/>
                <w:sz w:val="16"/>
                <w:szCs w:val="16"/>
                <w:b w:val="1"/>
                <w:bCs w:val="1"/>
                <w:color w:val="D7282F"/>
              </w:rPr>
              <w:t>Other Information</w:t>
            </w:r>
          </w:p>
        </w:tc>
        <w:tc>
          <w:tcPr>
            <w:tcW w:w="1160" w:type="dxa"/>
            <w:vAlign w:val="bottom"/>
            <w:tcBorders>
              <w:bottom w:val="single" w:sz="8" w:color="D7282F"/>
            </w:tcBorders>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80" w:type="dxa"/>
            <w:vAlign w:val="bottom"/>
            <w:tcBorders>
              <w:bottom w:val="single" w:sz="8" w:color="61656A"/>
            </w:tcBorders>
          </w:tcPr>
          <w:p>
            <w:pPr>
              <w:ind w:left="20"/>
              <w:spacing w:after="0"/>
              <w:rPr>
                <w:sz w:val="20"/>
                <w:szCs w:val="20"/>
                <w:color w:val="auto"/>
              </w:rPr>
            </w:pPr>
            <w:r>
              <w:rPr>
                <w:rFonts w:ascii="Arial" w:cs="Arial" w:eastAsia="Arial" w:hAnsi="Arial"/>
                <w:sz w:val="16"/>
                <w:szCs w:val="16"/>
                <w:b w:val="1"/>
                <w:bCs w:val="1"/>
                <w:color w:val="auto"/>
              </w:rPr>
              <w:t>ITEM 1</w:t>
            </w:r>
          </w:p>
        </w:tc>
        <w:tc>
          <w:tcPr>
            <w:tcW w:w="924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Legal Proceedings</w:t>
            </w:r>
          </w:p>
        </w:tc>
        <w:tc>
          <w:tcPr>
            <w:tcW w:w="11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48</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80" w:type="dxa"/>
            <w:vAlign w:val="bottom"/>
            <w:tcBorders>
              <w:bottom w:val="single" w:sz="8" w:color="61656A"/>
            </w:tcBorders>
          </w:tcPr>
          <w:p>
            <w:pPr>
              <w:ind w:left="20"/>
              <w:spacing w:after="0"/>
              <w:rPr>
                <w:sz w:val="20"/>
                <w:szCs w:val="20"/>
                <w:color w:val="auto"/>
              </w:rPr>
            </w:pPr>
            <w:r>
              <w:rPr>
                <w:rFonts w:ascii="Arial" w:cs="Arial" w:eastAsia="Arial" w:hAnsi="Arial"/>
                <w:sz w:val="16"/>
                <w:szCs w:val="16"/>
                <w:b w:val="1"/>
                <w:bCs w:val="1"/>
                <w:color w:val="auto"/>
              </w:rPr>
              <w:t>ITEM 1A</w:t>
            </w:r>
          </w:p>
        </w:tc>
        <w:tc>
          <w:tcPr>
            <w:tcW w:w="924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Risk Factors</w:t>
            </w:r>
          </w:p>
        </w:tc>
        <w:tc>
          <w:tcPr>
            <w:tcW w:w="11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48</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80" w:type="dxa"/>
            <w:vAlign w:val="bottom"/>
            <w:tcBorders>
              <w:bottom w:val="single" w:sz="8" w:color="61656A"/>
            </w:tcBorders>
          </w:tcPr>
          <w:p>
            <w:pPr>
              <w:ind w:left="20"/>
              <w:spacing w:after="0"/>
              <w:rPr>
                <w:sz w:val="20"/>
                <w:szCs w:val="20"/>
                <w:color w:val="auto"/>
              </w:rPr>
            </w:pPr>
            <w:r>
              <w:rPr>
                <w:rFonts w:ascii="Arial" w:cs="Arial" w:eastAsia="Arial" w:hAnsi="Arial"/>
                <w:sz w:val="16"/>
                <w:szCs w:val="16"/>
                <w:b w:val="1"/>
                <w:bCs w:val="1"/>
                <w:color w:val="auto"/>
              </w:rPr>
              <w:t>ITEM 2</w:t>
            </w:r>
          </w:p>
        </w:tc>
        <w:tc>
          <w:tcPr>
            <w:tcW w:w="924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Unregistered Sales of Equity Securities and Use of Proceeds</w:t>
            </w:r>
          </w:p>
        </w:tc>
        <w:tc>
          <w:tcPr>
            <w:tcW w:w="11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48</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80" w:type="dxa"/>
            <w:vAlign w:val="bottom"/>
            <w:tcBorders>
              <w:bottom w:val="single" w:sz="8" w:color="61656A"/>
            </w:tcBorders>
          </w:tcPr>
          <w:p>
            <w:pPr>
              <w:ind w:left="20"/>
              <w:spacing w:after="0"/>
              <w:rPr>
                <w:sz w:val="20"/>
                <w:szCs w:val="20"/>
                <w:color w:val="auto"/>
              </w:rPr>
            </w:pPr>
            <w:r>
              <w:rPr>
                <w:rFonts w:ascii="Arial" w:cs="Arial" w:eastAsia="Arial" w:hAnsi="Arial"/>
                <w:sz w:val="16"/>
                <w:szCs w:val="16"/>
                <w:b w:val="1"/>
                <w:bCs w:val="1"/>
                <w:color w:val="auto"/>
              </w:rPr>
              <w:t>ITEM 4</w:t>
            </w:r>
          </w:p>
        </w:tc>
        <w:tc>
          <w:tcPr>
            <w:tcW w:w="924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Mine Safety Disclosures</w:t>
            </w:r>
          </w:p>
        </w:tc>
        <w:tc>
          <w:tcPr>
            <w:tcW w:w="11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49</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780" w:type="dxa"/>
            <w:vAlign w:val="bottom"/>
            <w:tcBorders>
              <w:bottom w:val="single" w:sz="8" w:color="61656A"/>
            </w:tcBorders>
          </w:tcPr>
          <w:p>
            <w:pPr>
              <w:ind w:left="20"/>
              <w:spacing w:after="0"/>
              <w:rPr>
                <w:sz w:val="20"/>
                <w:szCs w:val="20"/>
                <w:color w:val="auto"/>
              </w:rPr>
            </w:pPr>
            <w:r>
              <w:rPr>
                <w:rFonts w:ascii="Arial" w:cs="Arial" w:eastAsia="Arial" w:hAnsi="Arial"/>
                <w:sz w:val="16"/>
                <w:szCs w:val="16"/>
                <w:b w:val="1"/>
                <w:bCs w:val="1"/>
                <w:color w:val="auto"/>
              </w:rPr>
              <w:t>ITEM 5</w:t>
            </w:r>
          </w:p>
        </w:tc>
        <w:tc>
          <w:tcPr>
            <w:tcW w:w="924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Other Information</w:t>
            </w:r>
          </w:p>
        </w:tc>
        <w:tc>
          <w:tcPr>
            <w:tcW w:w="11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49</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80" w:type="dxa"/>
            <w:vAlign w:val="bottom"/>
            <w:tcBorders>
              <w:bottom w:val="single" w:sz="8" w:color="61656A"/>
            </w:tcBorders>
          </w:tcPr>
          <w:p>
            <w:pPr>
              <w:ind w:left="20"/>
              <w:spacing w:after="0"/>
              <w:rPr>
                <w:sz w:val="20"/>
                <w:szCs w:val="20"/>
                <w:color w:val="auto"/>
              </w:rPr>
            </w:pPr>
            <w:r>
              <w:rPr>
                <w:rFonts w:ascii="Arial" w:cs="Arial" w:eastAsia="Arial" w:hAnsi="Arial"/>
                <w:sz w:val="16"/>
                <w:szCs w:val="16"/>
                <w:b w:val="1"/>
                <w:bCs w:val="1"/>
                <w:color w:val="auto"/>
              </w:rPr>
              <w:t>ITEM 6</w:t>
            </w:r>
          </w:p>
        </w:tc>
        <w:tc>
          <w:tcPr>
            <w:tcW w:w="924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Exhibits</w:t>
            </w:r>
          </w:p>
        </w:tc>
        <w:tc>
          <w:tcPr>
            <w:tcW w:w="11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50</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80" w:type="dxa"/>
            <w:vAlign w:val="bottom"/>
            <w:tcBorders>
              <w:bottom w:val="single" w:sz="8" w:color="61656A"/>
            </w:tcBorders>
          </w:tcPr>
          <w:p>
            <w:pPr>
              <w:spacing w:after="0"/>
              <w:rPr>
                <w:sz w:val="18"/>
                <w:szCs w:val="18"/>
                <w:color w:val="auto"/>
              </w:rPr>
            </w:pPr>
          </w:p>
        </w:tc>
        <w:tc>
          <w:tcPr>
            <w:tcW w:w="924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Signatures</w:t>
            </w:r>
          </w:p>
        </w:tc>
        <w:tc>
          <w:tcPr>
            <w:tcW w:w="11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51</w:t>
            </w:r>
          </w:p>
        </w:tc>
        <w:tc>
          <w:tcPr>
            <w:tcW w:w="20" w:type="dxa"/>
            <w:vAlign w:val="bottom"/>
          </w:tcPr>
          <w:p>
            <w:pPr>
              <w:spacing w:after="0"/>
              <w:rPr>
                <w:sz w:val="18"/>
                <w:szCs w:val="18"/>
                <w:color w:val="auto"/>
              </w:rPr>
            </w:pPr>
          </w:p>
        </w:tc>
      </w:tr>
      <w:tr>
        <w:trPr>
          <w:trHeight w:val="1850"/>
        </w:trPr>
        <w:tc>
          <w:tcPr>
            <w:tcW w:w="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92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3" w:right="339" w:bottom="1440" w:gutter="0" w:footer="0" w:header="0"/>
        </w:sectPr>
      </w:pPr>
    </w:p>
    <w:bookmarkStart w:id="2" w:name="page3"/>
    <w:bookmarkEnd w:id="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1460"/>
        <w:spacing w:after="0" w:line="297" w:lineRule="auto"/>
        <w:rPr>
          <w:sz w:val="20"/>
          <w:szCs w:val="20"/>
          <w:color w:val="auto"/>
        </w:rPr>
      </w:pPr>
      <w:r>
        <w:rPr>
          <w:rFonts w:ascii="Arial" w:cs="Arial" w:eastAsia="Arial" w:hAnsi="Arial"/>
          <w:sz w:val="36"/>
          <w:szCs w:val="36"/>
          <w:b w:val="1"/>
          <w:bCs w:val="1"/>
          <w:color w:val="auto"/>
        </w:rPr>
        <w:t>CAUTIONARY STATEMENT ABOUT FORWARD-LOOKING STATEMENTS</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We describe many of the trends and other factors that drive our business and future results in the section titled Management’s Discussion and Analysis of Financial Condition and Results of Operations and in other parts of this report (including Part II, Item 1A Risk Factors). Such discussions contain forward-looking statements within the meaning of Section 21E of the Securities Exchange Act of 1934, as amended (the Exchange Act). Forward-looking statements are those that address activities, events, or developments that management intends, expects, projects, believes, or anticipates will or may occur in the future. They are based on management’s assumptions and assessments in light of past experience and trends, current economic and industry conditions, expected future developments, and other relevant factors, many of which are difficult to predict and outside of our control. They are not guarantees of future performance, and actual results, developments, and business decisions may differ significantly from those envisaged by our forward-looking statements. We do not undertake to update or revise any of our forward-looking statements, except as required by applicable securities law. Our forward-looking statements are also subject to material risks and uncertainties, including ongoing macroeconomic and geopolitical risks, such as lower GDP growth or recession, capital markets volatility, inflation, and certain regional conflicts, that can affect our performance in both the near- and long-term. In addition, no assurance can be given that any plan, initiative, projection, goal, commitment, expectation, or prospect set forth in this Form 10-Q can or will be achieved. These forward-looking statements should be considered in light of the information included in this report and our other filings with the Securities and Exchange Commission (SEC), including, without limitation, the Risk Factors, as well as the description of trends and other factors in Management’s Discussion and Analysis of Financial Condition and Results of Operations, set forth in this report and our 2023 Annual Report on Form 10-K. Any forward-looking plans described herein are not final and may be modified or abandoned at any time.</w:t>
      </w:r>
    </w:p>
    <w:p>
      <w:pPr>
        <w:spacing w:after="0" w:line="200" w:lineRule="exact"/>
        <w:rPr>
          <w:sz w:val="20"/>
          <w:szCs w:val="20"/>
          <w:color w:val="auto"/>
        </w:rPr>
      </w:pPr>
    </w:p>
    <w:p>
      <w:pPr>
        <w:spacing w:after="0" w:line="231" w:lineRule="exact"/>
        <w:rPr>
          <w:sz w:val="20"/>
          <w:szCs w:val="20"/>
          <w:color w:val="auto"/>
        </w:rPr>
      </w:pPr>
    </w:p>
    <w:p>
      <w:pPr>
        <w:ind w:left="300" w:hanging="292"/>
        <w:spacing w:after="0"/>
        <w:tabs>
          <w:tab w:leader="none" w:pos="300" w:val="left"/>
        </w:tabs>
        <w:numPr>
          <w:ilvl w:val="0"/>
          <w:numId w:val="3"/>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ABOUT HONEYWELL</w:t>
      </w:r>
    </w:p>
    <w:p>
      <w:pPr>
        <w:spacing w:after="0" w:line="39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Honeywell International Inc. (Honeywell, we, us, our, or the Company) is an integrated operating company serving a broad range of industries and geographies around the world. Our portfolio of solutions is uniquely positioned to blend physical products with software to serve customers worldwide with aerospace products and services, energy efficient products and solutions for businesses, specialty chemicals, electronic and advanced materials, process technology for refining and petrochemicals, and productivity, sensing, safety, and security technologies for buildings and industries. Our products and solutions enable a safer, more comfortable, and more productive world, enhancing the quality of life of people around the globe. The Honeywell brand dates back to 1906, and the Company was incorporated in Delaware in 1985.</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Our Annual Report on Form 10-K, Quarterly Reports on Form 10-Q, Current Reports on Form 8-K, and any amendments to those reports, are available free of charge on our Investor Relations website (investor.honeywell.com) under the heading Financials (see SEC Filings) immediately after they are filed with, or furnished to, the SEC. Honeywell uses our Investor Relations website, along with press releases on our primary Honeywell website (honeywell.com) under the heading News, as a means of disclosing information which may be of interest or material to our investors and for complying with disclosure obligations under Regulation FD. Accordingly, investors should monitor our Investor Relations website and Honeywell News feed, in addition to following our press releases, SEC filings, public conference calls, webcasts, and social media. Information contained on or accessible through, including any reports available on, our website is not a part of, and is not incorporated by reference into, this Quarterly Report on Form 10-Q or any other report or document we file with the SEC. Any reference to our website in this Form 10-Q is intended to be an inactive textual reference only.</w:t>
      </w:r>
    </w:p>
    <w:p>
      <w:pPr>
        <w:spacing w:after="0" w:line="200" w:lineRule="exact"/>
        <w:rPr>
          <w:sz w:val="20"/>
          <w:szCs w:val="20"/>
          <w:color w:val="auto"/>
        </w:rPr>
      </w:pPr>
    </w:p>
    <w:p>
      <w:pPr>
        <w:spacing w:after="0" w:line="211" w:lineRule="exact"/>
        <w:rPr>
          <w:sz w:val="20"/>
          <w:szCs w:val="20"/>
          <w:color w:val="auto"/>
        </w:rPr>
      </w:pPr>
    </w:p>
    <w:p>
      <w:pPr>
        <w:ind w:left="300" w:hanging="292"/>
        <w:spacing w:after="0"/>
        <w:tabs>
          <w:tab w:leader="none" w:pos="300" w:val="left"/>
        </w:tabs>
        <w:numPr>
          <w:ilvl w:val="0"/>
          <w:numId w:val="4"/>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PART I. FINANCIAL INFORMATION</w:t>
      </w:r>
    </w:p>
    <w:p>
      <w:pPr>
        <w:spacing w:after="0" w:line="39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financial statements and related notes as of March 31, 2024, should be read in conjunction with the financial statements for the year ended December 31, 2023, contained in the Company's 2023 Annual Report on Form 10-K.</w:t>
      </w:r>
    </w:p>
    <w:p>
      <w:pPr>
        <w:spacing w:after="0" w:line="29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FINANCIAL STATEMENTS AND SUPPLEMENTARY DATA</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 OF OPERATIONS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83" w:lineRule="exact"/>
        <w:rPr>
          <w:sz w:val="20"/>
          <w:szCs w:val="20"/>
          <w:color w:val="auto"/>
        </w:rPr>
      </w:pPr>
    </w:p>
    <w:p>
      <w:pPr>
        <w:jc w:val="center"/>
        <w:ind w:left="9420"/>
        <w:spacing w:after="0"/>
        <w:rPr>
          <w:sz w:val="20"/>
          <w:szCs w:val="20"/>
          <w:color w:val="auto"/>
        </w:rPr>
      </w:pPr>
      <w:r>
        <w:rPr>
          <w:rFonts w:ascii="Arial" w:cs="Arial" w:eastAsia="Arial" w:hAnsi="Arial"/>
          <w:sz w:val="14"/>
          <w:szCs w:val="14"/>
          <w:b w:val="1"/>
          <w:bCs w:val="1"/>
          <w:color w:val="auto"/>
        </w:rPr>
        <w:t>Three Months Ended</w:t>
      </w:r>
    </w:p>
    <w:p>
      <w:pPr>
        <w:spacing w:after="0" w:line="2" w:lineRule="exact"/>
        <w:rPr>
          <w:sz w:val="20"/>
          <w:szCs w:val="20"/>
          <w:color w:val="auto"/>
        </w:rPr>
      </w:pPr>
    </w:p>
    <w:p>
      <w:pPr>
        <w:jc w:val="center"/>
        <w:ind w:left="94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6350</wp:posOffset>
            </wp:positionV>
            <wp:extent cx="11398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440" w:type="dxa"/>
            <w:vAlign w:val="bottom"/>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2024</w:t>
            </w:r>
          </w:p>
        </w:tc>
        <w:tc>
          <w:tcPr>
            <w:tcW w:w="340" w:type="dxa"/>
            <w:vAlign w:val="bottom"/>
            <w:tcBorders>
              <w:bottom w:val="single" w:sz="8" w:color="D7282F"/>
            </w:tcBorders>
          </w:tcPr>
          <w:p>
            <w:pPr>
              <w:spacing w:after="0"/>
              <w:rPr>
                <w:sz w:val="17"/>
                <w:szCs w:val="17"/>
                <w:color w:val="auto"/>
              </w:rPr>
            </w:pPr>
          </w:p>
        </w:tc>
        <w:tc>
          <w:tcPr>
            <w:tcW w:w="56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w w:val="96"/>
              </w:rPr>
              <w:t>2023</w:t>
            </w:r>
          </w:p>
        </w:tc>
      </w:tr>
      <w:tr>
        <w:trPr>
          <w:trHeight w:val="147"/>
        </w:trPr>
        <w:tc>
          <w:tcPr>
            <w:tcW w:w="9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gridSpan w:val="3"/>
          </w:tcPr>
          <w:p>
            <w:pPr>
              <w:jc w:val="center"/>
              <w:ind w:right="88"/>
              <w:spacing w:after="0" w:line="147" w:lineRule="exact"/>
              <w:rPr>
                <w:sz w:val="20"/>
                <w:szCs w:val="20"/>
                <w:color w:val="auto"/>
              </w:rPr>
            </w:pPr>
            <w:r>
              <w:rPr>
                <w:rFonts w:ascii="Arial" w:cs="Arial" w:eastAsia="Arial" w:hAnsi="Arial"/>
                <w:sz w:val="14"/>
                <w:szCs w:val="14"/>
                <w:b w:val="1"/>
                <w:bCs w:val="1"/>
                <w:color w:val="auto"/>
              </w:rPr>
              <w:t>(Dollars in millions,</w:t>
            </w:r>
          </w:p>
        </w:tc>
      </w:tr>
      <w:tr>
        <w:trPr>
          <w:trHeight w:val="144"/>
        </w:trPr>
        <w:tc>
          <w:tcPr>
            <w:tcW w:w="9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gridSpan w:val="3"/>
          </w:tcPr>
          <w:p>
            <w:pPr>
              <w:jc w:val="center"/>
              <w:ind w:right="68"/>
              <w:spacing w:after="0" w:line="145" w:lineRule="exact"/>
              <w:rPr>
                <w:sz w:val="20"/>
                <w:szCs w:val="20"/>
                <w:color w:val="auto"/>
              </w:rPr>
            </w:pPr>
            <w:r>
              <w:rPr>
                <w:rFonts w:ascii="Arial" w:cs="Arial" w:eastAsia="Arial" w:hAnsi="Arial"/>
                <w:sz w:val="14"/>
                <w:szCs w:val="14"/>
                <w:b w:val="1"/>
                <w:bCs w:val="1"/>
                <w:color w:val="auto"/>
              </w:rPr>
              <w:t>except per share</w:t>
            </w:r>
          </w:p>
        </w:tc>
      </w:tr>
      <w:tr>
        <w:trPr>
          <w:trHeight w:val="189"/>
        </w:trPr>
        <w:tc>
          <w:tcPr>
            <w:tcW w:w="9440" w:type="dxa"/>
            <w:vAlign w:val="bottom"/>
            <w:tcBorders>
              <w:bottom w:val="single" w:sz="8" w:color="D7282F"/>
            </w:tcBorders>
          </w:tcPr>
          <w:p>
            <w:pPr>
              <w:spacing w:after="0"/>
              <w:rPr>
                <w:sz w:val="16"/>
                <w:szCs w:val="16"/>
                <w:color w:val="auto"/>
              </w:rPr>
            </w:pPr>
          </w:p>
        </w:tc>
        <w:tc>
          <w:tcPr>
            <w:tcW w:w="160" w:type="dxa"/>
            <w:vAlign w:val="bottom"/>
            <w:tcBorders>
              <w:bottom w:val="single" w:sz="8" w:color="D7282F"/>
            </w:tcBorders>
          </w:tcPr>
          <w:p>
            <w:pPr>
              <w:spacing w:after="0"/>
              <w:rPr>
                <w:sz w:val="16"/>
                <w:szCs w:val="16"/>
                <w:color w:val="auto"/>
              </w:rPr>
            </w:pPr>
          </w:p>
        </w:tc>
        <w:tc>
          <w:tcPr>
            <w:tcW w:w="1080" w:type="dxa"/>
            <w:vAlign w:val="bottom"/>
            <w:tcBorders>
              <w:bottom w:val="single" w:sz="8" w:color="D7282F"/>
            </w:tcBorders>
            <w:gridSpan w:val="2"/>
          </w:tcPr>
          <w:p>
            <w:pPr>
              <w:jc w:val="center"/>
              <w:ind w:left="328"/>
              <w:spacing w:after="0"/>
              <w:rPr>
                <w:sz w:val="20"/>
                <w:szCs w:val="20"/>
                <w:color w:val="auto"/>
              </w:rPr>
            </w:pPr>
            <w:r>
              <w:rPr>
                <w:rFonts w:ascii="Arial" w:cs="Arial" w:eastAsia="Arial" w:hAnsi="Arial"/>
                <w:sz w:val="14"/>
                <w:szCs w:val="14"/>
                <w:b w:val="1"/>
                <w:bCs w:val="1"/>
                <w:color w:val="auto"/>
              </w:rPr>
              <w:t>amounts)</w:t>
            </w:r>
          </w:p>
        </w:tc>
        <w:tc>
          <w:tcPr>
            <w:tcW w:w="560" w:type="dxa"/>
            <w:vAlign w:val="bottom"/>
            <w:tcBorders>
              <w:bottom w:val="single" w:sz="8" w:color="D7282F"/>
            </w:tcBorders>
          </w:tcPr>
          <w:p>
            <w:pPr>
              <w:spacing w:after="0"/>
              <w:rPr>
                <w:sz w:val="16"/>
                <w:szCs w:val="16"/>
                <w:color w:val="auto"/>
              </w:rPr>
            </w:pPr>
          </w:p>
        </w:tc>
      </w:tr>
      <w:tr>
        <w:trPr>
          <w:trHeight w:val="192"/>
        </w:trPr>
        <w:tc>
          <w:tcPr>
            <w:tcW w:w="94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Product sales</w:t>
            </w:r>
          </w:p>
        </w:tc>
        <w:tc>
          <w:tcPr>
            <w:tcW w:w="1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6,263</w:t>
            </w:r>
          </w:p>
        </w:tc>
        <w:tc>
          <w:tcPr>
            <w:tcW w:w="34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6,310</w:t>
            </w:r>
          </w:p>
        </w:tc>
      </w:tr>
      <w:tr>
        <w:trPr>
          <w:trHeight w:val="196"/>
        </w:trPr>
        <w:tc>
          <w:tcPr>
            <w:tcW w:w="94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Service sales</w:t>
            </w:r>
          </w:p>
        </w:tc>
        <w:tc>
          <w:tcPr>
            <w:tcW w:w="1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2,842</w:t>
            </w:r>
          </w:p>
        </w:tc>
        <w:tc>
          <w:tcPr>
            <w:tcW w:w="340" w:type="dxa"/>
            <w:vAlign w:val="bottom"/>
            <w:tcBorders>
              <w:bottom w:val="single" w:sz="8" w:color="D7282F"/>
            </w:tcBorders>
          </w:tcPr>
          <w:p>
            <w:pPr>
              <w:spacing w:after="0"/>
              <w:rPr>
                <w:sz w:val="17"/>
                <w:szCs w:val="17"/>
                <w:color w:val="auto"/>
              </w:rPr>
            </w:pP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2,554</w:t>
            </w:r>
          </w:p>
        </w:tc>
      </w:tr>
      <w:tr>
        <w:trPr>
          <w:trHeight w:val="199"/>
        </w:trPr>
        <w:tc>
          <w:tcPr>
            <w:tcW w:w="944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Net sales</w:t>
            </w:r>
          </w:p>
        </w:tc>
        <w:tc>
          <w:tcPr>
            <w:tcW w:w="1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9,105</w:t>
            </w:r>
          </w:p>
        </w:tc>
        <w:tc>
          <w:tcPr>
            <w:tcW w:w="340" w:type="dxa"/>
            <w:vAlign w:val="bottom"/>
            <w:tcBorders>
              <w:bottom w:val="single" w:sz="8" w:color="D7282F"/>
            </w:tcBorders>
          </w:tcPr>
          <w:p>
            <w:pPr>
              <w:spacing w:after="0"/>
              <w:rPr>
                <w:sz w:val="17"/>
                <w:szCs w:val="17"/>
                <w:color w:val="auto"/>
              </w:rPr>
            </w:pP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8,864</w:t>
            </w:r>
          </w:p>
        </w:tc>
      </w:tr>
      <w:tr>
        <w:trPr>
          <w:trHeight w:val="193"/>
        </w:trPr>
        <w:tc>
          <w:tcPr>
            <w:tcW w:w="94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Costs, expenses and other</w:t>
            </w:r>
          </w:p>
        </w:tc>
        <w:tc>
          <w:tcPr>
            <w:tcW w:w="160" w:type="dxa"/>
            <w:vAlign w:val="bottom"/>
            <w:tcBorders>
              <w:bottom w:val="single" w:sz="8" w:color="61656A"/>
            </w:tcBorders>
          </w:tcPr>
          <w:p>
            <w:pPr>
              <w:spacing w:after="0"/>
              <w:rPr>
                <w:sz w:val="16"/>
                <w:szCs w:val="16"/>
                <w:color w:val="auto"/>
              </w:rPr>
            </w:pPr>
          </w:p>
        </w:tc>
        <w:tc>
          <w:tcPr>
            <w:tcW w:w="740" w:type="dxa"/>
            <w:vAlign w:val="bottom"/>
            <w:tcBorders>
              <w:bottom w:val="single" w:sz="8" w:color="61656A"/>
            </w:tcBorders>
          </w:tcPr>
          <w:p>
            <w:pPr>
              <w:spacing w:after="0"/>
              <w:rPr>
                <w:sz w:val="16"/>
                <w:szCs w:val="16"/>
                <w:color w:val="auto"/>
              </w:rPr>
            </w:pPr>
          </w:p>
        </w:tc>
        <w:tc>
          <w:tcPr>
            <w:tcW w:w="340" w:type="dxa"/>
            <w:vAlign w:val="bottom"/>
            <w:tcBorders>
              <w:bottom w:val="single" w:sz="8" w:color="61656A"/>
            </w:tcBorders>
          </w:tcPr>
          <w:p>
            <w:pPr>
              <w:spacing w:after="0"/>
              <w:rPr>
                <w:sz w:val="16"/>
                <w:szCs w:val="16"/>
                <w:color w:val="auto"/>
              </w:rPr>
            </w:pPr>
          </w:p>
        </w:tc>
        <w:tc>
          <w:tcPr>
            <w:tcW w:w="560" w:type="dxa"/>
            <w:vAlign w:val="bottom"/>
            <w:tcBorders>
              <w:bottom w:val="single" w:sz="8" w:color="61656A"/>
            </w:tcBorders>
          </w:tcPr>
          <w:p>
            <w:pPr>
              <w:spacing w:after="0"/>
              <w:rPr>
                <w:sz w:val="16"/>
                <w:szCs w:val="16"/>
                <w:color w:val="auto"/>
              </w:rPr>
            </w:pPr>
          </w:p>
        </w:tc>
      </w:tr>
      <w:tr>
        <w:trPr>
          <w:trHeight w:val="196"/>
        </w:trPr>
        <w:tc>
          <w:tcPr>
            <w:tcW w:w="94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Cost of products sold</w:t>
            </w:r>
          </w:p>
        </w:tc>
        <w:tc>
          <w:tcPr>
            <w:tcW w:w="1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4,035</w:t>
            </w:r>
          </w:p>
        </w:tc>
        <w:tc>
          <w:tcPr>
            <w:tcW w:w="340" w:type="dxa"/>
            <w:vAlign w:val="bottom"/>
            <w:tcBorders>
              <w:bottom w:val="single" w:sz="8" w:color="61656A"/>
            </w:tcBorders>
          </w:tcPr>
          <w:p>
            <w:pPr>
              <w:spacing w:after="0"/>
              <w:rPr>
                <w:sz w:val="17"/>
                <w:szCs w:val="17"/>
                <w:color w:val="auto"/>
              </w:rPr>
            </w:pPr>
          </w:p>
        </w:tc>
        <w:tc>
          <w:tcPr>
            <w:tcW w:w="5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4,068</w:t>
            </w:r>
          </w:p>
        </w:tc>
      </w:tr>
      <w:tr>
        <w:trPr>
          <w:trHeight w:val="196"/>
        </w:trPr>
        <w:tc>
          <w:tcPr>
            <w:tcW w:w="944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Cost of services sold</w:t>
            </w:r>
          </w:p>
        </w:tc>
        <w:tc>
          <w:tcPr>
            <w:tcW w:w="1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1,548</w:t>
            </w:r>
          </w:p>
        </w:tc>
        <w:tc>
          <w:tcPr>
            <w:tcW w:w="340" w:type="dxa"/>
            <w:vAlign w:val="bottom"/>
            <w:tcBorders>
              <w:bottom w:val="single" w:sz="8" w:color="D7282F"/>
            </w:tcBorders>
          </w:tcPr>
          <w:p>
            <w:pPr>
              <w:spacing w:after="0"/>
              <w:rPr>
                <w:sz w:val="17"/>
                <w:szCs w:val="17"/>
                <w:color w:val="auto"/>
              </w:rPr>
            </w:pP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1,430</w:t>
            </w:r>
          </w:p>
        </w:tc>
      </w:tr>
      <w:tr>
        <w:trPr>
          <w:trHeight w:val="199"/>
        </w:trPr>
        <w:tc>
          <w:tcPr>
            <w:tcW w:w="944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Cost of products and services sold</w:t>
            </w:r>
          </w:p>
        </w:tc>
        <w:tc>
          <w:tcPr>
            <w:tcW w:w="1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5,583</w:t>
            </w:r>
          </w:p>
        </w:tc>
        <w:tc>
          <w:tcPr>
            <w:tcW w:w="340" w:type="dxa"/>
            <w:vAlign w:val="bottom"/>
            <w:tcBorders>
              <w:bottom w:val="single" w:sz="8" w:color="D7282F"/>
            </w:tcBorders>
          </w:tcPr>
          <w:p>
            <w:pPr>
              <w:spacing w:after="0"/>
              <w:rPr>
                <w:sz w:val="17"/>
                <w:szCs w:val="17"/>
                <w:color w:val="auto"/>
              </w:rPr>
            </w:pP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5,498</w:t>
            </w:r>
          </w:p>
        </w:tc>
      </w:tr>
      <w:tr>
        <w:trPr>
          <w:trHeight w:val="193"/>
        </w:trPr>
        <w:tc>
          <w:tcPr>
            <w:tcW w:w="94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Research and development expenses</w:t>
            </w:r>
          </w:p>
        </w:tc>
        <w:tc>
          <w:tcPr>
            <w:tcW w:w="160" w:type="dxa"/>
            <w:vAlign w:val="bottom"/>
            <w:tcBorders>
              <w:bottom w:val="single" w:sz="8" w:color="61656A"/>
            </w:tcBorders>
          </w:tcPr>
          <w:p>
            <w:pPr>
              <w:spacing w:after="0"/>
              <w:rPr>
                <w:sz w:val="16"/>
                <w:szCs w:val="16"/>
                <w:color w:val="auto"/>
              </w:rPr>
            </w:pPr>
          </w:p>
        </w:tc>
        <w:tc>
          <w:tcPr>
            <w:tcW w:w="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360</w:t>
            </w:r>
          </w:p>
        </w:tc>
        <w:tc>
          <w:tcPr>
            <w:tcW w:w="340" w:type="dxa"/>
            <w:vAlign w:val="bottom"/>
            <w:tcBorders>
              <w:bottom w:val="single" w:sz="8" w:color="61656A"/>
            </w:tcBorders>
          </w:tcPr>
          <w:p>
            <w:pPr>
              <w:spacing w:after="0"/>
              <w:rPr>
                <w:sz w:val="16"/>
                <w:szCs w:val="16"/>
                <w:color w:val="auto"/>
              </w:rPr>
            </w:pPr>
          </w:p>
        </w:tc>
        <w:tc>
          <w:tcPr>
            <w:tcW w:w="5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357</w:t>
            </w:r>
          </w:p>
        </w:tc>
      </w:tr>
      <w:tr>
        <w:trPr>
          <w:trHeight w:val="196"/>
        </w:trPr>
        <w:tc>
          <w:tcPr>
            <w:tcW w:w="94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Selling, general and administrative expenses</w:t>
            </w:r>
          </w:p>
        </w:tc>
        <w:tc>
          <w:tcPr>
            <w:tcW w:w="1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1,302</w:t>
            </w:r>
          </w:p>
        </w:tc>
        <w:tc>
          <w:tcPr>
            <w:tcW w:w="340" w:type="dxa"/>
            <w:vAlign w:val="bottom"/>
            <w:tcBorders>
              <w:bottom w:val="single" w:sz="8" w:color="61656A"/>
            </w:tcBorders>
          </w:tcPr>
          <w:p>
            <w:pPr>
              <w:spacing w:after="0"/>
              <w:rPr>
                <w:sz w:val="17"/>
                <w:szCs w:val="17"/>
                <w:color w:val="auto"/>
              </w:rPr>
            </w:pPr>
          </w:p>
        </w:tc>
        <w:tc>
          <w:tcPr>
            <w:tcW w:w="5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1,317</w:t>
            </w:r>
          </w:p>
        </w:tc>
      </w:tr>
      <w:tr>
        <w:trPr>
          <w:trHeight w:val="196"/>
        </w:trPr>
        <w:tc>
          <w:tcPr>
            <w:tcW w:w="94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Other (income) expense</w:t>
            </w:r>
          </w:p>
        </w:tc>
        <w:tc>
          <w:tcPr>
            <w:tcW w:w="1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(231)</w:t>
            </w:r>
          </w:p>
        </w:tc>
        <w:tc>
          <w:tcPr>
            <w:tcW w:w="340" w:type="dxa"/>
            <w:vAlign w:val="bottom"/>
            <w:tcBorders>
              <w:bottom w:val="single" w:sz="8" w:color="61656A"/>
            </w:tcBorders>
          </w:tcPr>
          <w:p>
            <w:pPr>
              <w:spacing w:after="0"/>
              <w:rPr>
                <w:sz w:val="17"/>
                <w:szCs w:val="17"/>
                <w:color w:val="auto"/>
              </w:rPr>
            </w:pPr>
          </w:p>
        </w:tc>
        <w:tc>
          <w:tcPr>
            <w:tcW w:w="5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(260)</w:t>
            </w:r>
          </w:p>
        </w:tc>
      </w:tr>
      <w:tr>
        <w:trPr>
          <w:trHeight w:val="196"/>
        </w:trPr>
        <w:tc>
          <w:tcPr>
            <w:tcW w:w="944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Interest and other financial charges</w:t>
            </w:r>
          </w:p>
        </w:tc>
        <w:tc>
          <w:tcPr>
            <w:tcW w:w="1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220</w:t>
            </w:r>
          </w:p>
        </w:tc>
        <w:tc>
          <w:tcPr>
            <w:tcW w:w="340" w:type="dxa"/>
            <w:vAlign w:val="bottom"/>
            <w:tcBorders>
              <w:bottom w:val="single" w:sz="8" w:color="D7282F"/>
            </w:tcBorders>
          </w:tcPr>
          <w:p>
            <w:pPr>
              <w:spacing w:after="0"/>
              <w:rPr>
                <w:sz w:val="17"/>
                <w:szCs w:val="17"/>
                <w:color w:val="auto"/>
              </w:rPr>
            </w:pP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170</w:t>
            </w:r>
          </w:p>
        </w:tc>
      </w:tr>
      <w:tr>
        <w:trPr>
          <w:trHeight w:val="199"/>
        </w:trPr>
        <w:tc>
          <w:tcPr>
            <w:tcW w:w="944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Total costs, expenses and other</w:t>
            </w:r>
          </w:p>
        </w:tc>
        <w:tc>
          <w:tcPr>
            <w:tcW w:w="1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7,234</w:t>
            </w:r>
          </w:p>
        </w:tc>
        <w:tc>
          <w:tcPr>
            <w:tcW w:w="340" w:type="dxa"/>
            <w:vAlign w:val="bottom"/>
            <w:tcBorders>
              <w:bottom w:val="single" w:sz="8" w:color="D7282F"/>
            </w:tcBorders>
          </w:tcPr>
          <w:p>
            <w:pPr>
              <w:spacing w:after="0"/>
              <w:rPr>
                <w:sz w:val="17"/>
                <w:szCs w:val="17"/>
                <w:color w:val="auto"/>
              </w:rPr>
            </w:pP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7,082</w:t>
            </w:r>
          </w:p>
        </w:tc>
      </w:tr>
      <w:tr>
        <w:trPr>
          <w:trHeight w:val="196"/>
        </w:trPr>
        <w:tc>
          <w:tcPr>
            <w:tcW w:w="944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Income before taxes</w:t>
            </w:r>
          </w:p>
        </w:tc>
        <w:tc>
          <w:tcPr>
            <w:tcW w:w="1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1,871</w:t>
            </w:r>
          </w:p>
        </w:tc>
        <w:tc>
          <w:tcPr>
            <w:tcW w:w="340" w:type="dxa"/>
            <w:vAlign w:val="bottom"/>
            <w:tcBorders>
              <w:bottom w:val="single" w:sz="8" w:color="D7282F"/>
            </w:tcBorders>
          </w:tcPr>
          <w:p>
            <w:pPr>
              <w:spacing w:after="0"/>
              <w:rPr>
                <w:sz w:val="17"/>
                <w:szCs w:val="17"/>
                <w:color w:val="auto"/>
              </w:rPr>
            </w:pP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1,782</w:t>
            </w:r>
          </w:p>
        </w:tc>
      </w:tr>
      <w:tr>
        <w:trPr>
          <w:trHeight w:val="193"/>
        </w:trPr>
        <w:tc>
          <w:tcPr>
            <w:tcW w:w="94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Tax expense</w:t>
            </w:r>
          </w:p>
        </w:tc>
        <w:tc>
          <w:tcPr>
            <w:tcW w:w="160" w:type="dxa"/>
            <w:vAlign w:val="bottom"/>
            <w:tcBorders>
              <w:bottom w:val="single" w:sz="8" w:color="D7282F"/>
            </w:tcBorders>
          </w:tcPr>
          <w:p>
            <w:pPr>
              <w:spacing w:after="0"/>
              <w:rPr>
                <w:sz w:val="16"/>
                <w:szCs w:val="16"/>
                <w:color w:val="auto"/>
              </w:rPr>
            </w:pP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396</w:t>
            </w:r>
          </w:p>
        </w:tc>
        <w:tc>
          <w:tcPr>
            <w:tcW w:w="340" w:type="dxa"/>
            <w:vAlign w:val="bottom"/>
            <w:tcBorders>
              <w:bottom w:val="single" w:sz="8" w:color="D7282F"/>
            </w:tcBorders>
          </w:tcPr>
          <w:p>
            <w:pPr>
              <w:spacing w:after="0"/>
              <w:rPr>
                <w:sz w:val="16"/>
                <w:szCs w:val="16"/>
                <w:color w:val="auto"/>
              </w:rPr>
            </w:pP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374</w:t>
            </w:r>
          </w:p>
        </w:tc>
      </w:tr>
      <w:tr>
        <w:trPr>
          <w:trHeight w:val="199"/>
        </w:trPr>
        <w:tc>
          <w:tcPr>
            <w:tcW w:w="944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Net income</w:t>
            </w:r>
          </w:p>
        </w:tc>
        <w:tc>
          <w:tcPr>
            <w:tcW w:w="1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1,475</w:t>
            </w:r>
          </w:p>
        </w:tc>
        <w:tc>
          <w:tcPr>
            <w:tcW w:w="340" w:type="dxa"/>
            <w:vAlign w:val="bottom"/>
            <w:tcBorders>
              <w:bottom w:val="single" w:sz="8" w:color="D7282F"/>
            </w:tcBorders>
          </w:tcPr>
          <w:p>
            <w:pPr>
              <w:spacing w:after="0"/>
              <w:rPr>
                <w:sz w:val="17"/>
                <w:szCs w:val="17"/>
                <w:color w:val="auto"/>
              </w:rPr>
            </w:pP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1,408</w:t>
            </w:r>
          </w:p>
        </w:tc>
      </w:tr>
      <w:tr>
        <w:trPr>
          <w:trHeight w:val="193"/>
        </w:trPr>
        <w:tc>
          <w:tcPr>
            <w:tcW w:w="94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Less: Net income attributable to noncontrolling interest</w:t>
            </w:r>
          </w:p>
        </w:tc>
        <w:tc>
          <w:tcPr>
            <w:tcW w:w="160" w:type="dxa"/>
            <w:vAlign w:val="bottom"/>
            <w:tcBorders>
              <w:bottom w:val="single" w:sz="8" w:color="D7282F"/>
            </w:tcBorders>
          </w:tcPr>
          <w:p>
            <w:pPr>
              <w:spacing w:after="0"/>
              <w:rPr>
                <w:sz w:val="16"/>
                <w:szCs w:val="16"/>
                <w:color w:val="auto"/>
              </w:rPr>
            </w:pP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12</w:t>
            </w:r>
          </w:p>
        </w:tc>
        <w:tc>
          <w:tcPr>
            <w:tcW w:w="340" w:type="dxa"/>
            <w:vAlign w:val="bottom"/>
            <w:tcBorders>
              <w:bottom w:val="single" w:sz="8" w:color="D7282F"/>
            </w:tcBorders>
          </w:tcPr>
          <w:p>
            <w:pPr>
              <w:spacing w:after="0"/>
              <w:rPr>
                <w:sz w:val="16"/>
                <w:szCs w:val="16"/>
                <w:color w:val="auto"/>
              </w:rPr>
            </w:pP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14</w:t>
            </w:r>
          </w:p>
        </w:tc>
      </w:tr>
      <w:tr>
        <w:trPr>
          <w:trHeight w:val="199"/>
        </w:trPr>
        <w:tc>
          <w:tcPr>
            <w:tcW w:w="944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Net income attributable to Honeywell</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1,463</w:t>
            </w:r>
          </w:p>
        </w:tc>
        <w:tc>
          <w:tcPr>
            <w:tcW w:w="34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1,394</w:t>
            </w:r>
          </w:p>
        </w:tc>
      </w:tr>
      <w:tr>
        <w:trPr>
          <w:trHeight w:val="196"/>
        </w:trPr>
        <w:tc>
          <w:tcPr>
            <w:tcW w:w="944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Earnings per share of common stock—basic</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2.24</w:t>
            </w:r>
          </w:p>
        </w:tc>
        <w:tc>
          <w:tcPr>
            <w:tcW w:w="34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2.09</w:t>
            </w:r>
          </w:p>
        </w:tc>
      </w:tr>
      <w:tr>
        <w:trPr>
          <w:trHeight w:val="196"/>
        </w:trPr>
        <w:tc>
          <w:tcPr>
            <w:tcW w:w="944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Earnings per share of common stock—assuming dilution</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2.23</w:t>
            </w:r>
          </w:p>
        </w:tc>
        <w:tc>
          <w:tcPr>
            <w:tcW w:w="34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2.07</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Notes to Consolidated Financial Statements are an integral part of this statement.</w:t>
      </w:r>
    </w:p>
    <w:p>
      <w:pPr>
        <w:spacing w:after="0" w:line="200" w:lineRule="exact"/>
        <w:rPr>
          <w:sz w:val="20"/>
          <w:szCs w:val="20"/>
          <w:color w:val="auto"/>
        </w:rPr>
      </w:pPr>
    </w:p>
    <w:p>
      <w:pPr>
        <w:spacing w:after="0" w:line="293" w:lineRule="exact"/>
        <w:rPr>
          <w:sz w:val="20"/>
          <w:szCs w:val="20"/>
          <w:color w:val="auto"/>
        </w:rPr>
      </w:pPr>
    </w:p>
    <w:p>
      <w:pPr>
        <w:ind w:left="300" w:hanging="292"/>
        <w:spacing w:after="0"/>
        <w:tabs>
          <w:tab w:leader="none" w:pos="300" w:val="left"/>
        </w:tabs>
        <w:numPr>
          <w:ilvl w:val="0"/>
          <w:numId w:val="5"/>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 OF COMPREHENSIVE INCOME</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83" w:lineRule="exact"/>
        <w:rPr>
          <w:sz w:val="20"/>
          <w:szCs w:val="20"/>
          <w:color w:val="auto"/>
        </w:rPr>
      </w:pPr>
    </w:p>
    <w:p>
      <w:pPr>
        <w:jc w:val="center"/>
        <w:ind w:left="9260"/>
        <w:spacing w:after="0"/>
        <w:rPr>
          <w:sz w:val="20"/>
          <w:szCs w:val="20"/>
          <w:color w:val="auto"/>
        </w:rPr>
      </w:pPr>
      <w:r>
        <w:rPr>
          <w:rFonts w:ascii="Arial" w:cs="Arial" w:eastAsia="Arial" w:hAnsi="Arial"/>
          <w:sz w:val="14"/>
          <w:szCs w:val="14"/>
          <w:b w:val="1"/>
          <w:bCs w:val="1"/>
          <w:color w:val="auto"/>
        </w:rPr>
        <w:t>Three Months Ended March</w:t>
      </w:r>
    </w:p>
    <w:p>
      <w:pPr>
        <w:spacing w:after="0" w:line="2" w:lineRule="exact"/>
        <w:rPr>
          <w:sz w:val="20"/>
          <w:szCs w:val="20"/>
          <w:color w:val="auto"/>
        </w:rPr>
      </w:pPr>
    </w:p>
    <w:p>
      <w:pPr>
        <w:jc w:val="center"/>
        <w:ind w:left="9260"/>
        <w:spacing w:after="0"/>
        <w:rPr>
          <w:sz w:val="20"/>
          <w:szCs w:val="20"/>
          <w:color w:val="auto"/>
        </w:rPr>
      </w:pPr>
      <w:r>
        <w:rPr>
          <w:rFonts w:ascii="Arial" w:cs="Arial" w:eastAsia="Arial" w:hAnsi="Arial"/>
          <w:sz w:val="14"/>
          <w:szCs w:val="14"/>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6350</wp:posOffset>
            </wp:positionV>
            <wp:extent cx="12433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280" w:type="dxa"/>
            <w:vAlign w:val="bottom"/>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2024</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2023</w:t>
            </w:r>
          </w:p>
        </w:tc>
      </w:tr>
      <w:tr>
        <w:trPr>
          <w:trHeight w:val="196"/>
        </w:trPr>
        <w:tc>
          <w:tcPr>
            <w:tcW w:w="928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1780" w:type="dxa"/>
            <w:vAlign w:val="bottom"/>
            <w:tcBorders>
              <w:bottom w:val="single" w:sz="8" w:color="D7282F"/>
            </w:tcBorders>
            <w:gridSpan w:val="3"/>
          </w:tcPr>
          <w:p>
            <w:pPr>
              <w:jc w:val="right"/>
              <w:ind w:right="248"/>
              <w:spacing w:after="0"/>
              <w:rPr>
                <w:sz w:val="20"/>
                <w:szCs w:val="20"/>
                <w:color w:val="auto"/>
              </w:rPr>
            </w:pPr>
            <w:r>
              <w:rPr>
                <w:rFonts w:ascii="Arial" w:cs="Arial" w:eastAsia="Arial" w:hAnsi="Arial"/>
                <w:sz w:val="14"/>
                <w:szCs w:val="14"/>
                <w:b w:val="1"/>
                <w:bCs w:val="1"/>
                <w:color w:val="auto"/>
              </w:rPr>
              <w:t>(Dollars in millions)</w:t>
            </w:r>
          </w:p>
        </w:tc>
      </w:tr>
      <w:tr>
        <w:trPr>
          <w:trHeight w:val="193"/>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Net income</w:t>
            </w: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1,475</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1,408</w:t>
            </w:r>
          </w:p>
        </w:tc>
      </w:tr>
      <w:tr>
        <w:trPr>
          <w:trHeight w:val="196"/>
        </w:trPr>
        <w:tc>
          <w:tcPr>
            <w:tcW w:w="92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Other comprehensive income (loss), net of tax</w:t>
            </w: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spacing w:after="0"/>
              <w:rPr>
                <w:sz w:val="17"/>
                <w:szCs w:val="17"/>
                <w:color w:val="auto"/>
              </w:rPr>
            </w:pP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spacing w:after="0"/>
              <w:rPr>
                <w:sz w:val="17"/>
                <w:szCs w:val="17"/>
                <w:color w:val="auto"/>
              </w:rPr>
            </w:pPr>
          </w:p>
        </w:tc>
      </w:tr>
      <w:tr>
        <w:trPr>
          <w:trHeight w:val="199"/>
        </w:trPr>
        <w:tc>
          <w:tcPr>
            <w:tcW w:w="92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Foreign exchange translation adjustment</w:t>
            </w: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54</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(58)</w:t>
            </w:r>
          </w:p>
        </w:tc>
      </w:tr>
      <w:tr>
        <w:trPr>
          <w:trHeight w:val="196"/>
        </w:trPr>
        <w:tc>
          <w:tcPr>
            <w:tcW w:w="92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Pension and other postretirement benefit adjustments</w:t>
            </w: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(5)</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(12)</w:t>
            </w:r>
          </w:p>
        </w:tc>
      </w:tr>
      <w:tr>
        <w:trPr>
          <w:trHeight w:val="196"/>
        </w:trPr>
        <w:tc>
          <w:tcPr>
            <w:tcW w:w="92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Changes in fair value of available for sale investments</w:t>
            </w: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w:t>
            </w:r>
          </w:p>
        </w:tc>
      </w:tr>
      <w:tr>
        <w:trPr>
          <w:trHeight w:val="193"/>
        </w:trPr>
        <w:tc>
          <w:tcPr>
            <w:tcW w:w="9280" w:type="dxa"/>
            <w:vAlign w:val="bottom"/>
            <w:tcBorders>
              <w:bottom w:val="single" w:sz="8" w:color="61656A"/>
            </w:tcBorders>
          </w:tcPr>
          <w:p>
            <w:pPr>
              <w:ind w:left="360"/>
              <w:spacing w:after="0"/>
              <w:rPr>
                <w:sz w:val="20"/>
                <w:szCs w:val="20"/>
                <w:color w:val="auto"/>
              </w:rPr>
            </w:pPr>
            <w:r>
              <w:rPr>
                <w:rFonts w:ascii="Arial" w:cs="Arial" w:eastAsia="Arial" w:hAnsi="Arial"/>
                <w:sz w:val="14"/>
                <w:szCs w:val="14"/>
                <w:color w:val="auto"/>
              </w:rPr>
              <w:t>Cash flow hedges recognized in other comprehensive income (loss)</w:t>
            </w:r>
          </w:p>
        </w:tc>
        <w:tc>
          <w:tcPr>
            <w:tcW w:w="18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18</w:t>
            </w:r>
          </w:p>
        </w:tc>
        <w:tc>
          <w:tcPr>
            <w:tcW w:w="30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16</w:t>
            </w:r>
          </w:p>
        </w:tc>
      </w:tr>
      <w:tr>
        <w:trPr>
          <w:trHeight w:val="196"/>
        </w:trPr>
        <w:tc>
          <w:tcPr>
            <w:tcW w:w="9280" w:type="dxa"/>
            <w:vAlign w:val="bottom"/>
            <w:tcBorders>
              <w:bottom w:val="single" w:sz="8" w:color="D7282F"/>
            </w:tcBorders>
          </w:tcPr>
          <w:p>
            <w:pPr>
              <w:ind w:left="360"/>
              <w:spacing w:after="0"/>
              <w:rPr>
                <w:sz w:val="20"/>
                <w:szCs w:val="20"/>
                <w:color w:val="auto"/>
              </w:rPr>
            </w:pPr>
            <w:r>
              <w:rPr>
                <w:rFonts w:ascii="Arial" w:cs="Arial" w:eastAsia="Arial" w:hAnsi="Arial"/>
                <w:sz w:val="14"/>
                <w:szCs w:val="14"/>
                <w:color w:val="auto"/>
              </w:rPr>
              <w:t>Less: Reclassification adjustment for gains (losses) included in net income</w:t>
            </w: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4</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w:t>
            </w:r>
          </w:p>
        </w:tc>
      </w:tr>
      <w:tr>
        <w:trPr>
          <w:trHeight w:val="199"/>
        </w:trPr>
        <w:tc>
          <w:tcPr>
            <w:tcW w:w="92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Changes in fair value of cash flow hedges</w:t>
            </w: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14</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14</w:t>
            </w:r>
          </w:p>
        </w:tc>
      </w:tr>
      <w:tr>
        <w:trPr>
          <w:trHeight w:val="196"/>
        </w:trPr>
        <w:tc>
          <w:tcPr>
            <w:tcW w:w="92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Other comprehensive income (loss), net of tax</w:t>
            </w: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63</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(62)</w:t>
            </w:r>
          </w:p>
        </w:tc>
      </w:tr>
      <w:tr>
        <w:trPr>
          <w:trHeight w:val="196"/>
        </w:trPr>
        <w:tc>
          <w:tcPr>
            <w:tcW w:w="92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Comprehensive income</w:t>
            </w: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1,538</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1,346</w:t>
            </w:r>
          </w:p>
        </w:tc>
      </w:tr>
      <w:tr>
        <w:trPr>
          <w:trHeight w:val="193"/>
        </w:trPr>
        <w:tc>
          <w:tcPr>
            <w:tcW w:w="92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Less: Comprehensive income (loss) attributable to the noncontrolling interest</w:t>
            </w:r>
          </w:p>
        </w:tc>
        <w:tc>
          <w:tcPr>
            <w:tcW w:w="180" w:type="dxa"/>
            <w:vAlign w:val="bottom"/>
            <w:tcBorders>
              <w:bottom w:val="single" w:sz="8" w:color="D7282F"/>
            </w:tcBorders>
          </w:tcPr>
          <w:p>
            <w:pPr>
              <w:spacing w:after="0"/>
              <w:rPr>
                <w:sz w:val="16"/>
                <w:szCs w:val="16"/>
                <w:color w:val="auto"/>
              </w:rPr>
            </w:pPr>
          </w:p>
        </w:tc>
        <w:tc>
          <w:tcPr>
            <w:tcW w:w="8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(12)</w:t>
            </w:r>
          </w:p>
        </w:tc>
        <w:tc>
          <w:tcPr>
            <w:tcW w:w="30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15</w:t>
            </w:r>
          </w:p>
        </w:tc>
      </w:tr>
      <w:tr>
        <w:trPr>
          <w:trHeight w:val="199"/>
        </w:trPr>
        <w:tc>
          <w:tcPr>
            <w:tcW w:w="92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Comprehensive income attributable to Honeywell</w:t>
            </w: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1,550</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1,331</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Notes to Consolidated Financial Statements are an integral part of this statement.</w:t>
      </w:r>
    </w:p>
    <w:p>
      <w:pPr>
        <w:spacing w:after="0" w:line="200" w:lineRule="exact"/>
        <w:rPr>
          <w:sz w:val="20"/>
          <w:szCs w:val="20"/>
          <w:color w:val="auto"/>
        </w:rPr>
      </w:pPr>
    </w:p>
    <w:p>
      <w:pPr>
        <w:spacing w:after="0" w:line="293" w:lineRule="exact"/>
        <w:rPr>
          <w:sz w:val="20"/>
          <w:szCs w:val="20"/>
          <w:color w:val="auto"/>
        </w:rPr>
      </w:pPr>
    </w:p>
    <w:p>
      <w:pPr>
        <w:ind w:left="300" w:hanging="292"/>
        <w:spacing w:after="0"/>
        <w:tabs>
          <w:tab w:leader="none" w:pos="300" w:val="left"/>
        </w:tabs>
        <w:numPr>
          <w:ilvl w:val="0"/>
          <w:numId w:val="6"/>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480" w:type="dxa"/>
            <w:vAlign w:val="bottom"/>
          </w:tcPr>
          <w:p>
            <w:pPr>
              <w:spacing w:after="0"/>
              <w:rPr>
                <w:sz w:val="17"/>
                <w:szCs w:val="17"/>
                <w:color w:val="auto"/>
              </w:rPr>
            </w:pPr>
          </w:p>
        </w:tc>
        <w:tc>
          <w:tcPr>
            <w:tcW w:w="220" w:type="dxa"/>
            <w:vAlign w:val="bottom"/>
            <w:tcBorders>
              <w:bottom w:val="single" w:sz="8" w:color="D7282F"/>
            </w:tcBorders>
          </w:tcPr>
          <w:p>
            <w:pPr>
              <w:spacing w:after="0"/>
              <w:rPr>
                <w:sz w:val="17"/>
                <w:szCs w:val="17"/>
                <w:color w:val="auto"/>
              </w:rPr>
            </w:pPr>
          </w:p>
        </w:tc>
        <w:tc>
          <w:tcPr>
            <w:tcW w:w="1660" w:type="dxa"/>
            <w:vAlign w:val="bottom"/>
            <w:tcBorders>
              <w:bottom w:val="single" w:sz="8" w:color="D7282F"/>
            </w:tcBorders>
          </w:tcPr>
          <w:p>
            <w:pPr>
              <w:jc w:val="right"/>
              <w:ind w:right="428"/>
              <w:spacing w:after="0"/>
              <w:rPr>
                <w:sz w:val="20"/>
                <w:szCs w:val="20"/>
                <w:color w:val="auto"/>
              </w:rPr>
            </w:pPr>
            <w:r>
              <w:rPr>
                <w:rFonts w:ascii="Arial" w:cs="Arial" w:eastAsia="Arial" w:hAnsi="Arial"/>
                <w:sz w:val="14"/>
                <w:szCs w:val="14"/>
                <w:b w:val="1"/>
                <w:bCs w:val="1"/>
                <w:color w:val="auto"/>
              </w:rPr>
              <w:t>March 31, 2024</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December 31, 2023</w:t>
            </w:r>
          </w:p>
        </w:tc>
      </w:tr>
      <w:tr>
        <w:trPr>
          <w:trHeight w:val="196"/>
        </w:trPr>
        <w:tc>
          <w:tcPr>
            <w:tcW w:w="7480" w:type="dxa"/>
            <w:vAlign w:val="bottom"/>
            <w:tcBorders>
              <w:bottom w:val="single" w:sz="8" w:color="D7282F"/>
            </w:tcBorders>
          </w:tcPr>
          <w:p>
            <w:pPr>
              <w:spacing w:after="0"/>
              <w:rPr>
                <w:sz w:val="17"/>
                <w:szCs w:val="17"/>
                <w:color w:val="auto"/>
              </w:rPr>
            </w:pPr>
          </w:p>
        </w:tc>
        <w:tc>
          <w:tcPr>
            <w:tcW w:w="220" w:type="dxa"/>
            <w:vAlign w:val="bottom"/>
            <w:tcBorders>
              <w:bottom w:val="single" w:sz="8" w:color="D7282F"/>
            </w:tcBorders>
          </w:tcPr>
          <w:p>
            <w:pPr>
              <w:spacing w:after="0"/>
              <w:rPr>
                <w:sz w:val="17"/>
                <w:szCs w:val="17"/>
                <w:color w:val="auto"/>
              </w:rPr>
            </w:pPr>
          </w:p>
        </w:tc>
        <w:tc>
          <w:tcPr>
            <w:tcW w:w="3540" w:type="dxa"/>
            <w:vAlign w:val="bottom"/>
            <w:tcBorders>
              <w:bottom w:val="single" w:sz="8" w:color="D7282F"/>
            </w:tcBorders>
            <w:gridSpan w:val="3"/>
          </w:tcPr>
          <w:p>
            <w:pPr>
              <w:jc w:val="right"/>
              <w:ind w:right="1148"/>
              <w:spacing w:after="0"/>
              <w:rPr>
                <w:sz w:val="20"/>
                <w:szCs w:val="20"/>
                <w:color w:val="auto"/>
              </w:rPr>
            </w:pPr>
            <w:r>
              <w:rPr>
                <w:rFonts w:ascii="Arial" w:cs="Arial" w:eastAsia="Arial" w:hAnsi="Arial"/>
                <w:sz w:val="14"/>
                <w:szCs w:val="14"/>
                <w:b w:val="1"/>
                <w:bCs w:val="1"/>
                <w:color w:val="auto"/>
              </w:rPr>
              <w:t>(Dollars in millions)</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ASSETS</w:t>
            </w:r>
          </w:p>
        </w:tc>
        <w:tc>
          <w:tcPr>
            <w:tcW w:w="22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spacing w:after="0"/>
              <w:rPr>
                <w:sz w:val="17"/>
                <w:szCs w:val="17"/>
                <w:color w:val="auto"/>
              </w:rPr>
            </w:pP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spacing w:after="0"/>
              <w:rPr>
                <w:sz w:val="17"/>
                <w:szCs w:val="17"/>
                <w:color w:val="auto"/>
              </w:rPr>
            </w:pP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Current assets</w:t>
            </w:r>
          </w:p>
        </w:tc>
        <w:tc>
          <w:tcPr>
            <w:tcW w:w="22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spacing w:after="0"/>
              <w:rPr>
                <w:sz w:val="17"/>
                <w:szCs w:val="17"/>
                <w:color w:val="auto"/>
              </w:rPr>
            </w:pP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spacing w:after="0"/>
              <w:rPr>
                <w:sz w:val="17"/>
                <w:szCs w:val="17"/>
                <w:color w:val="auto"/>
              </w:rPr>
            </w:pPr>
          </w:p>
        </w:tc>
      </w:tr>
      <w:tr>
        <w:trPr>
          <w:trHeight w:val="193"/>
        </w:trPr>
        <w:tc>
          <w:tcPr>
            <w:tcW w:w="7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Cash and cash equivalents</w:t>
            </w:r>
          </w:p>
        </w:tc>
        <w:tc>
          <w:tcPr>
            <w:tcW w:w="22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11,756</w:t>
            </w:r>
          </w:p>
        </w:tc>
        <w:tc>
          <w:tcPr>
            <w:tcW w:w="2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7,925</w:t>
            </w:r>
          </w:p>
        </w:tc>
      </w:tr>
      <w:tr>
        <w:trPr>
          <w:trHeight w:val="196"/>
        </w:trPr>
        <w:tc>
          <w:tcPr>
            <w:tcW w:w="7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Short-term investments</w:t>
            </w:r>
          </w:p>
        </w:tc>
        <w:tc>
          <w:tcPr>
            <w:tcW w:w="22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249</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170</w:t>
            </w:r>
          </w:p>
        </w:tc>
      </w:tr>
      <w:tr>
        <w:trPr>
          <w:trHeight w:val="196"/>
        </w:trPr>
        <w:tc>
          <w:tcPr>
            <w:tcW w:w="7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Accounts receivable, less allowances of $324 and $323, respectively</w:t>
            </w:r>
          </w:p>
        </w:tc>
        <w:tc>
          <w:tcPr>
            <w:tcW w:w="22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7,476</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7,530</w:t>
            </w:r>
          </w:p>
        </w:tc>
      </w:tr>
      <w:tr>
        <w:trPr>
          <w:trHeight w:val="196"/>
        </w:trPr>
        <w:tc>
          <w:tcPr>
            <w:tcW w:w="7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Inventories</w:t>
            </w:r>
          </w:p>
        </w:tc>
        <w:tc>
          <w:tcPr>
            <w:tcW w:w="22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6,318</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6,178</w:t>
            </w:r>
          </w:p>
        </w:tc>
      </w:tr>
      <w:tr>
        <w:trPr>
          <w:trHeight w:val="196"/>
        </w:trPr>
        <w:tc>
          <w:tcPr>
            <w:tcW w:w="7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Other current assets</w:t>
            </w:r>
          </w:p>
        </w:tc>
        <w:tc>
          <w:tcPr>
            <w:tcW w:w="220" w:type="dxa"/>
            <w:vAlign w:val="bottom"/>
            <w:tcBorders>
              <w:bottom w:val="single" w:sz="8" w:color="D7282F"/>
            </w:tcBorders>
          </w:tcPr>
          <w:p>
            <w:pPr>
              <w:spacing w:after="0"/>
              <w:rPr>
                <w:sz w:val="17"/>
                <w:szCs w:val="17"/>
                <w:color w:val="auto"/>
              </w:rPr>
            </w:pPr>
          </w:p>
        </w:tc>
        <w:tc>
          <w:tcPr>
            <w:tcW w:w="16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1,635</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1,699</w:t>
            </w:r>
          </w:p>
        </w:tc>
      </w:tr>
      <w:tr>
        <w:trPr>
          <w:trHeight w:val="199"/>
        </w:trPr>
        <w:tc>
          <w:tcPr>
            <w:tcW w:w="74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current assets</w:t>
            </w:r>
          </w:p>
        </w:tc>
        <w:tc>
          <w:tcPr>
            <w:tcW w:w="220" w:type="dxa"/>
            <w:vAlign w:val="bottom"/>
            <w:tcBorders>
              <w:bottom w:val="single" w:sz="8" w:color="D7282F"/>
            </w:tcBorders>
          </w:tcPr>
          <w:p>
            <w:pPr>
              <w:spacing w:after="0"/>
              <w:rPr>
                <w:sz w:val="17"/>
                <w:szCs w:val="17"/>
                <w:color w:val="auto"/>
              </w:rPr>
            </w:pPr>
          </w:p>
        </w:tc>
        <w:tc>
          <w:tcPr>
            <w:tcW w:w="16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27,434</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23,502</w:t>
            </w:r>
          </w:p>
        </w:tc>
      </w:tr>
      <w:tr>
        <w:trPr>
          <w:trHeight w:val="193"/>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Investments and long-term receivables</w:t>
            </w:r>
          </w:p>
        </w:tc>
        <w:tc>
          <w:tcPr>
            <w:tcW w:w="220" w:type="dxa"/>
            <w:vAlign w:val="bottom"/>
            <w:tcBorders>
              <w:bottom w:val="single" w:sz="8" w:color="61656A"/>
            </w:tcBorders>
          </w:tcPr>
          <w:p>
            <w:pPr>
              <w:spacing w:after="0"/>
              <w:rPr>
                <w:sz w:val="16"/>
                <w:szCs w:val="16"/>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975</w:t>
            </w:r>
          </w:p>
        </w:tc>
        <w:tc>
          <w:tcPr>
            <w:tcW w:w="280" w:type="dxa"/>
            <w:vAlign w:val="bottom"/>
            <w:tcBorders>
              <w:bottom w:val="single" w:sz="8" w:color="61656A"/>
            </w:tcBorders>
          </w:tcPr>
          <w:p>
            <w:pPr>
              <w:spacing w:after="0"/>
              <w:rPr>
                <w:sz w:val="16"/>
                <w:szCs w:val="16"/>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939</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Property, plant and equipment—net</w:t>
            </w:r>
          </w:p>
        </w:tc>
        <w:tc>
          <w:tcPr>
            <w:tcW w:w="22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5,698</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5,660</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Goodwill</w:t>
            </w:r>
          </w:p>
        </w:tc>
        <w:tc>
          <w:tcPr>
            <w:tcW w:w="22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17,985</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18,049</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Other intangible assets—net</w:t>
            </w:r>
          </w:p>
        </w:tc>
        <w:tc>
          <w:tcPr>
            <w:tcW w:w="22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3,136</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3,231</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Insurance recoveries for asbestos-related liabilities</w:t>
            </w:r>
          </w:p>
        </w:tc>
        <w:tc>
          <w:tcPr>
            <w:tcW w:w="22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164</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170</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Deferred income taxes</w:t>
            </w:r>
          </w:p>
        </w:tc>
        <w:tc>
          <w:tcPr>
            <w:tcW w:w="22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374</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392</w:t>
            </w:r>
          </w:p>
        </w:tc>
      </w:tr>
      <w:tr>
        <w:trPr>
          <w:trHeight w:val="196"/>
        </w:trPr>
        <w:tc>
          <w:tcPr>
            <w:tcW w:w="7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Other assets</w:t>
            </w:r>
          </w:p>
        </w:tc>
        <w:tc>
          <w:tcPr>
            <w:tcW w:w="220" w:type="dxa"/>
            <w:vAlign w:val="bottom"/>
            <w:tcBorders>
              <w:bottom w:val="single" w:sz="8" w:color="D7282F"/>
            </w:tcBorders>
          </w:tcPr>
          <w:p>
            <w:pPr>
              <w:spacing w:after="0"/>
              <w:rPr>
                <w:sz w:val="17"/>
                <w:szCs w:val="17"/>
                <w:color w:val="auto"/>
              </w:rPr>
            </w:pPr>
          </w:p>
        </w:tc>
        <w:tc>
          <w:tcPr>
            <w:tcW w:w="16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9,879</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9,582</w:t>
            </w:r>
          </w:p>
        </w:tc>
      </w:tr>
      <w:tr>
        <w:trPr>
          <w:trHeight w:val="199"/>
        </w:trPr>
        <w:tc>
          <w:tcPr>
            <w:tcW w:w="74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Total assets</w:t>
            </w:r>
          </w:p>
        </w:tc>
        <w:tc>
          <w:tcPr>
            <w:tcW w:w="22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6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65,645</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61,525</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LIABILITIES</w:t>
            </w:r>
          </w:p>
        </w:tc>
        <w:tc>
          <w:tcPr>
            <w:tcW w:w="22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spacing w:after="0"/>
              <w:rPr>
                <w:sz w:val="17"/>
                <w:szCs w:val="17"/>
                <w:color w:val="auto"/>
              </w:rPr>
            </w:pP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spacing w:after="0"/>
              <w:rPr>
                <w:sz w:val="17"/>
                <w:szCs w:val="17"/>
                <w:color w:val="auto"/>
              </w:rPr>
            </w:pP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Current liabilities</w:t>
            </w:r>
          </w:p>
        </w:tc>
        <w:tc>
          <w:tcPr>
            <w:tcW w:w="22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spacing w:after="0"/>
              <w:rPr>
                <w:sz w:val="17"/>
                <w:szCs w:val="17"/>
                <w:color w:val="auto"/>
              </w:rPr>
            </w:pP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spacing w:after="0"/>
              <w:rPr>
                <w:sz w:val="17"/>
                <w:szCs w:val="17"/>
                <w:color w:val="auto"/>
              </w:rPr>
            </w:pPr>
          </w:p>
        </w:tc>
      </w:tr>
      <w:tr>
        <w:trPr>
          <w:trHeight w:val="193"/>
        </w:trPr>
        <w:tc>
          <w:tcPr>
            <w:tcW w:w="7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Accounts payable</w:t>
            </w:r>
          </w:p>
        </w:tc>
        <w:tc>
          <w:tcPr>
            <w:tcW w:w="22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6,468</w:t>
            </w:r>
          </w:p>
        </w:tc>
        <w:tc>
          <w:tcPr>
            <w:tcW w:w="2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6,849</w:t>
            </w:r>
          </w:p>
        </w:tc>
      </w:tr>
      <w:tr>
        <w:trPr>
          <w:trHeight w:val="196"/>
        </w:trPr>
        <w:tc>
          <w:tcPr>
            <w:tcW w:w="7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Commercial paper and other short-term borrowings</w:t>
            </w:r>
          </w:p>
        </w:tc>
        <w:tc>
          <w:tcPr>
            <w:tcW w:w="22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1,819</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2,085</w:t>
            </w:r>
          </w:p>
        </w:tc>
      </w:tr>
      <w:tr>
        <w:trPr>
          <w:trHeight w:val="196"/>
        </w:trPr>
        <w:tc>
          <w:tcPr>
            <w:tcW w:w="7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Current maturities of long-term debt</w:t>
            </w:r>
          </w:p>
        </w:tc>
        <w:tc>
          <w:tcPr>
            <w:tcW w:w="22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1,254</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1,796</w:t>
            </w:r>
          </w:p>
        </w:tc>
      </w:tr>
      <w:tr>
        <w:trPr>
          <w:trHeight w:val="196"/>
        </w:trPr>
        <w:tc>
          <w:tcPr>
            <w:tcW w:w="7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Accrued liabilities</w:t>
            </w:r>
          </w:p>
        </w:tc>
        <w:tc>
          <w:tcPr>
            <w:tcW w:w="220" w:type="dxa"/>
            <w:vAlign w:val="bottom"/>
            <w:tcBorders>
              <w:bottom w:val="single" w:sz="8" w:color="D7282F"/>
            </w:tcBorders>
          </w:tcPr>
          <w:p>
            <w:pPr>
              <w:spacing w:after="0"/>
              <w:rPr>
                <w:sz w:val="17"/>
                <w:szCs w:val="17"/>
                <w:color w:val="auto"/>
              </w:rPr>
            </w:pPr>
          </w:p>
        </w:tc>
        <w:tc>
          <w:tcPr>
            <w:tcW w:w="16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6,947</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7,809</w:t>
            </w:r>
          </w:p>
        </w:tc>
      </w:tr>
      <w:tr>
        <w:trPr>
          <w:trHeight w:val="199"/>
        </w:trPr>
        <w:tc>
          <w:tcPr>
            <w:tcW w:w="74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current liabilities</w:t>
            </w:r>
          </w:p>
        </w:tc>
        <w:tc>
          <w:tcPr>
            <w:tcW w:w="220" w:type="dxa"/>
            <w:vAlign w:val="bottom"/>
            <w:tcBorders>
              <w:bottom w:val="single" w:sz="8" w:color="D7282F"/>
            </w:tcBorders>
          </w:tcPr>
          <w:p>
            <w:pPr>
              <w:spacing w:after="0"/>
              <w:rPr>
                <w:sz w:val="17"/>
                <w:szCs w:val="17"/>
                <w:color w:val="auto"/>
              </w:rPr>
            </w:pPr>
          </w:p>
        </w:tc>
        <w:tc>
          <w:tcPr>
            <w:tcW w:w="16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16,488</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18,539</w:t>
            </w:r>
          </w:p>
        </w:tc>
      </w:tr>
      <w:tr>
        <w:trPr>
          <w:trHeight w:val="193"/>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Long-term debt</w:t>
            </w:r>
          </w:p>
        </w:tc>
        <w:tc>
          <w:tcPr>
            <w:tcW w:w="220" w:type="dxa"/>
            <w:vAlign w:val="bottom"/>
            <w:tcBorders>
              <w:bottom w:val="single" w:sz="8" w:color="61656A"/>
            </w:tcBorders>
          </w:tcPr>
          <w:p>
            <w:pPr>
              <w:spacing w:after="0"/>
              <w:rPr>
                <w:sz w:val="16"/>
                <w:szCs w:val="16"/>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22,183</w:t>
            </w:r>
          </w:p>
        </w:tc>
        <w:tc>
          <w:tcPr>
            <w:tcW w:w="280" w:type="dxa"/>
            <w:vAlign w:val="bottom"/>
            <w:tcBorders>
              <w:bottom w:val="single" w:sz="8" w:color="61656A"/>
            </w:tcBorders>
          </w:tcPr>
          <w:p>
            <w:pPr>
              <w:spacing w:after="0"/>
              <w:rPr>
                <w:sz w:val="16"/>
                <w:szCs w:val="16"/>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16,562</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Deferred income taxes</w:t>
            </w:r>
          </w:p>
        </w:tc>
        <w:tc>
          <w:tcPr>
            <w:tcW w:w="22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2,063</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2,094</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Postretirement benefit obligations other than pensions</w:t>
            </w:r>
          </w:p>
        </w:tc>
        <w:tc>
          <w:tcPr>
            <w:tcW w:w="22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129</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134</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Asbestos-related liabilities</w:t>
            </w:r>
          </w:p>
        </w:tc>
        <w:tc>
          <w:tcPr>
            <w:tcW w:w="22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1,467</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1,490</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Other liabilities</w:t>
            </w:r>
          </w:p>
        </w:tc>
        <w:tc>
          <w:tcPr>
            <w:tcW w:w="22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6,263</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6,265</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Redeemable noncontrolling interest</w:t>
            </w:r>
          </w:p>
        </w:tc>
        <w:tc>
          <w:tcPr>
            <w:tcW w:w="22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7</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w:t>
            </w:r>
          </w:p>
        </w:tc>
      </w:tr>
      <w:tr>
        <w:trPr>
          <w:trHeight w:val="199"/>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SHAREOWNERS’ EQUITY</w:t>
            </w:r>
          </w:p>
        </w:tc>
        <w:tc>
          <w:tcPr>
            <w:tcW w:w="22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spacing w:after="0"/>
              <w:rPr>
                <w:sz w:val="17"/>
                <w:szCs w:val="17"/>
                <w:color w:val="auto"/>
              </w:rPr>
            </w:pP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spacing w:after="0"/>
              <w:rPr>
                <w:sz w:val="17"/>
                <w:szCs w:val="17"/>
                <w:color w:val="auto"/>
              </w:rPr>
            </w:pPr>
          </w:p>
        </w:tc>
      </w:tr>
      <w:tr>
        <w:trPr>
          <w:trHeight w:val="193"/>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Capital—common stock issued</w:t>
            </w:r>
          </w:p>
        </w:tc>
        <w:tc>
          <w:tcPr>
            <w:tcW w:w="220" w:type="dxa"/>
            <w:vAlign w:val="bottom"/>
            <w:tcBorders>
              <w:bottom w:val="single" w:sz="8" w:color="61656A"/>
            </w:tcBorders>
          </w:tcPr>
          <w:p>
            <w:pPr>
              <w:spacing w:after="0"/>
              <w:rPr>
                <w:sz w:val="16"/>
                <w:szCs w:val="16"/>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958</w:t>
            </w:r>
          </w:p>
        </w:tc>
        <w:tc>
          <w:tcPr>
            <w:tcW w:w="280" w:type="dxa"/>
            <w:vAlign w:val="bottom"/>
            <w:tcBorders>
              <w:bottom w:val="single" w:sz="8" w:color="61656A"/>
            </w:tcBorders>
          </w:tcPr>
          <w:p>
            <w:pPr>
              <w:spacing w:after="0"/>
              <w:rPr>
                <w:sz w:val="16"/>
                <w:szCs w:val="16"/>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958</w:t>
            </w:r>
          </w:p>
        </w:tc>
      </w:tr>
      <w:tr>
        <w:trPr>
          <w:trHeight w:val="196"/>
        </w:trPr>
        <w:tc>
          <w:tcPr>
            <w:tcW w:w="7480" w:type="dxa"/>
            <w:vAlign w:val="bottom"/>
            <w:tcBorders>
              <w:bottom w:val="single" w:sz="8" w:color="61656A"/>
            </w:tcBorders>
          </w:tcPr>
          <w:p>
            <w:pPr>
              <w:ind w:left="460"/>
              <w:spacing w:after="0"/>
              <w:rPr>
                <w:sz w:val="20"/>
                <w:szCs w:val="20"/>
                <w:color w:val="auto"/>
              </w:rPr>
            </w:pPr>
            <w:r>
              <w:rPr>
                <w:rFonts w:ascii="Arial" w:cs="Arial" w:eastAsia="Arial" w:hAnsi="Arial"/>
                <w:sz w:val="14"/>
                <w:szCs w:val="14"/>
                <w:color w:val="auto"/>
              </w:rPr>
              <w:t>—additional paid-in capital</w:t>
            </w:r>
          </w:p>
        </w:tc>
        <w:tc>
          <w:tcPr>
            <w:tcW w:w="22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9,353</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9,062</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Common stock held in treasury, at cost</w:t>
            </w:r>
          </w:p>
        </w:tc>
        <w:tc>
          <w:tcPr>
            <w:tcW w:w="22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(38,544)</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(38,008)</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Accumulated other comprehensive income (loss)</w:t>
            </w:r>
          </w:p>
        </w:tc>
        <w:tc>
          <w:tcPr>
            <w:tcW w:w="22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(4,048)</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(4,135)</w:t>
            </w:r>
          </w:p>
        </w:tc>
      </w:tr>
      <w:tr>
        <w:trPr>
          <w:trHeight w:val="196"/>
        </w:trPr>
        <w:tc>
          <w:tcPr>
            <w:tcW w:w="7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Retained earnings</w:t>
            </w:r>
          </w:p>
        </w:tc>
        <w:tc>
          <w:tcPr>
            <w:tcW w:w="220" w:type="dxa"/>
            <w:vAlign w:val="bottom"/>
            <w:tcBorders>
              <w:bottom w:val="single" w:sz="8" w:color="D7282F"/>
            </w:tcBorders>
          </w:tcPr>
          <w:p>
            <w:pPr>
              <w:spacing w:after="0"/>
              <w:rPr>
                <w:sz w:val="17"/>
                <w:szCs w:val="17"/>
                <w:color w:val="auto"/>
              </w:rPr>
            </w:pPr>
          </w:p>
        </w:tc>
        <w:tc>
          <w:tcPr>
            <w:tcW w:w="16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48,735</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47,979</w:t>
            </w:r>
          </w:p>
        </w:tc>
      </w:tr>
      <w:tr>
        <w:trPr>
          <w:trHeight w:val="199"/>
        </w:trPr>
        <w:tc>
          <w:tcPr>
            <w:tcW w:w="74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Honeywell shareowners’ equity</w:t>
            </w:r>
          </w:p>
        </w:tc>
        <w:tc>
          <w:tcPr>
            <w:tcW w:w="220" w:type="dxa"/>
            <w:vAlign w:val="bottom"/>
            <w:tcBorders>
              <w:bottom w:val="single" w:sz="8" w:color="D7282F"/>
            </w:tcBorders>
          </w:tcPr>
          <w:p>
            <w:pPr>
              <w:spacing w:after="0"/>
              <w:rPr>
                <w:sz w:val="17"/>
                <w:szCs w:val="17"/>
                <w:color w:val="auto"/>
              </w:rPr>
            </w:pPr>
          </w:p>
        </w:tc>
        <w:tc>
          <w:tcPr>
            <w:tcW w:w="16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16,454</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15,856</w:t>
            </w:r>
          </w:p>
        </w:tc>
      </w:tr>
      <w:tr>
        <w:trPr>
          <w:trHeight w:val="193"/>
        </w:trPr>
        <w:tc>
          <w:tcPr>
            <w:tcW w:w="7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Noncontrolling interest</w:t>
            </w:r>
          </w:p>
        </w:tc>
        <w:tc>
          <w:tcPr>
            <w:tcW w:w="220" w:type="dxa"/>
            <w:vAlign w:val="bottom"/>
            <w:tcBorders>
              <w:bottom w:val="single" w:sz="8" w:color="D7282F"/>
            </w:tcBorders>
          </w:tcPr>
          <w:p>
            <w:pPr>
              <w:spacing w:after="0"/>
              <w:rPr>
                <w:sz w:val="16"/>
                <w:szCs w:val="16"/>
                <w:color w:val="auto"/>
              </w:rPr>
            </w:pPr>
          </w:p>
        </w:tc>
        <w:tc>
          <w:tcPr>
            <w:tcW w:w="16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591</w:t>
            </w:r>
          </w:p>
        </w:tc>
        <w:tc>
          <w:tcPr>
            <w:tcW w:w="280" w:type="dxa"/>
            <w:vAlign w:val="bottom"/>
            <w:tcBorders>
              <w:bottom w:val="single" w:sz="8" w:color="D7282F"/>
            </w:tcBorders>
          </w:tcPr>
          <w:p>
            <w:pPr>
              <w:spacing w:after="0"/>
              <w:rPr>
                <w:sz w:val="16"/>
                <w:szCs w:val="16"/>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578</w:t>
            </w:r>
          </w:p>
        </w:tc>
      </w:tr>
      <w:tr>
        <w:trPr>
          <w:trHeight w:val="199"/>
        </w:trPr>
        <w:tc>
          <w:tcPr>
            <w:tcW w:w="74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shareowners’ equity</w:t>
            </w:r>
          </w:p>
        </w:tc>
        <w:tc>
          <w:tcPr>
            <w:tcW w:w="220" w:type="dxa"/>
            <w:vAlign w:val="bottom"/>
            <w:tcBorders>
              <w:bottom w:val="single" w:sz="8" w:color="D7282F"/>
            </w:tcBorders>
          </w:tcPr>
          <w:p>
            <w:pPr>
              <w:spacing w:after="0"/>
              <w:rPr>
                <w:sz w:val="17"/>
                <w:szCs w:val="17"/>
                <w:color w:val="auto"/>
              </w:rPr>
            </w:pPr>
          </w:p>
        </w:tc>
        <w:tc>
          <w:tcPr>
            <w:tcW w:w="16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17,045</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16,434</w:t>
            </w:r>
          </w:p>
        </w:tc>
      </w:tr>
      <w:tr>
        <w:trPr>
          <w:trHeight w:val="196"/>
        </w:trPr>
        <w:tc>
          <w:tcPr>
            <w:tcW w:w="74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Total liabilities, redeemable noncontrolling interest and shareowners’ equity</w:t>
            </w:r>
          </w:p>
        </w:tc>
        <w:tc>
          <w:tcPr>
            <w:tcW w:w="22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6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65,645</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61,525</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Notes to Consolidated Financial Statements are an integral part of this statement.</w:t>
      </w:r>
    </w:p>
    <w:p>
      <w:pPr>
        <w:spacing w:after="0" w:line="200" w:lineRule="exact"/>
        <w:rPr>
          <w:sz w:val="20"/>
          <w:szCs w:val="20"/>
          <w:color w:val="auto"/>
        </w:rPr>
      </w:pPr>
    </w:p>
    <w:p>
      <w:pPr>
        <w:spacing w:after="0" w:line="293" w:lineRule="exact"/>
        <w:rPr>
          <w:sz w:val="20"/>
          <w:szCs w:val="20"/>
          <w:color w:val="auto"/>
        </w:rPr>
      </w:pPr>
    </w:p>
    <w:p>
      <w:pPr>
        <w:ind w:left="300" w:hanging="292"/>
        <w:spacing w:after="0"/>
        <w:tabs>
          <w:tab w:leader="none" w:pos="300" w:val="left"/>
        </w:tabs>
        <w:numPr>
          <w:ilvl w:val="0"/>
          <w:numId w:val="7"/>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 OF CASH FLOWS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320" w:type="dxa"/>
            <w:vAlign w:val="bottom"/>
          </w:tcPr>
          <w:p>
            <w:pPr>
              <w:spacing w:after="0"/>
              <w:rPr>
                <w:sz w:val="17"/>
                <w:szCs w:val="17"/>
                <w:color w:val="auto"/>
              </w:rPr>
            </w:pPr>
          </w:p>
        </w:tc>
        <w:tc>
          <w:tcPr>
            <w:tcW w:w="2920" w:type="dxa"/>
            <w:vAlign w:val="bottom"/>
            <w:tcBorders>
              <w:bottom w:val="single" w:sz="8" w:color="D7282F"/>
            </w:tcBorders>
            <w:gridSpan w:val="4"/>
          </w:tcPr>
          <w:p>
            <w:pPr>
              <w:jc w:val="right"/>
              <w:ind w:right="328"/>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8320" w:type="dxa"/>
            <w:vAlign w:val="bottom"/>
          </w:tcPr>
          <w:p>
            <w:pPr>
              <w:spacing w:after="0"/>
              <w:rPr>
                <w:sz w:val="17"/>
                <w:szCs w:val="17"/>
                <w:color w:val="auto"/>
              </w:rPr>
            </w:pPr>
          </w:p>
        </w:tc>
        <w:tc>
          <w:tcPr>
            <w:tcW w:w="8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2024</w:t>
            </w:r>
          </w:p>
        </w:tc>
        <w:tc>
          <w:tcPr>
            <w:tcW w:w="620" w:type="dxa"/>
            <w:vAlign w:val="bottom"/>
            <w:tcBorders>
              <w:bottom w:val="single" w:sz="8" w:color="D7282F"/>
            </w:tcBorders>
          </w:tcPr>
          <w:p>
            <w:pPr>
              <w:spacing w:after="0"/>
              <w:rPr>
                <w:sz w:val="17"/>
                <w:szCs w:val="17"/>
                <w:color w:val="auto"/>
              </w:rPr>
            </w:pPr>
          </w:p>
        </w:tc>
        <w:tc>
          <w:tcPr>
            <w:tcW w:w="9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bottom w:val="single" w:sz="8" w:color="D7282F"/>
            </w:tcBorders>
          </w:tcPr>
          <w:p>
            <w:pPr>
              <w:spacing w:after="0"/>
              <w:rPr>
                <w:sz w:val="17"/>
                <w:szCs w:val="17"/>
                <w:color w:val="auto"/>
              </w:rPr>
            </w:pPr>
          </w:p>
        </w:tc>
      </w:tr>
      <w:tr>
        <w:trPr>
          <w:trHeight w:val="196"/>
        </w:trPr>
        <w:tc>
          <w:tcPr>
            <w:tcW w:w="8320" w:type="dxa"/>
            <w:vAlign w:val="bottom"/>
            <w:tcBorders>
              <w:bottom w:val="single" w:sz="8" w:color="D7282F"/>
            </w:tcBorders>
          </w:tcPr>
          <w:p>
            <w:pPr>
              <w:spacing w:after="0"/>
              <w:rPr>
                <w:sz w:val="17"/>
                <w:szCs w:val="17"/>
                <w:color w:val="auto"/>
              </w:rPr>
            </w:pPr>
          </w:p>
        </w:tc>
        <w:tc>
          <w:tcPr>
            <w:tcW w:w="2420" w:type="dxa"/>
            <w:vAlign w:val="bottom"/>
            <w:tcBorders>
              <w:bottom w:val="single" w:sz="8" w:color="D7282F"/>
            </w:tcBorders>
            <w:gridSpan w:val="3"/>
          </w:tcPr>
          <w:p>
            <w:pPr>
              <w:jc w:val="right"/>
              <w:ind w:right="228"/>
              <w:spacing w:after="0"/>
              <w:rPr>
                <w:sz w:val="20"/>
                <w:szCs w:val="20"/>
                <w:color w:val="auto"/>
              </w:rPr>
            </w:pPr>
            <w:r>
              <w:rPr>
                <w:rFonts w:ascii="Arial" w:cs="Arial" w:eastAsia="Arial" w:hAnsi="Arial"/>
                <w:sz w:val="14"/>
                <w:szCs w:val="14"/>
                <w:b w:val="1"/>
                <w:bCs w:val="1"/>
                <w:color w:val="auto"/>
              </w:rPr>
              <w:t>(Dollars in millions)</w:t>
            </w:r>
          </w:p>
        </w:tc>
        <w:tc>
          <w:tcPr>
            <w:tcW w:w="500" w:type="dxa"/>
            <w:vAlign w:val="bottom"/>
            <w:tcBorders>
              <w:bottom w:val="single" w:sz="8" w:color="D7282F"/>
            </w:tcBorders>
          </w:tcPr>
          <w:p>
            <w:pPr>
              <w:spacing w:after="0"/>
              <w:rPr>
                <w:sz w:val="17"/>
                <w:szCs w:val="17"/>
                <w:color w:val="auto"/>
              </w:rPr>
            </w:pPr>
          </w:p>
        </w:tc>
      </w:tr>
      <w:tr>
        <w:trPr>
          <w:trHeight w:val="196"/>
        </w:trPr>
        <w:tc>
          <w:tcPr>
            <w:tcW w:w="832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84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spacing w:after="0"/>
              <w:rPr>
                <w:sz w:val="17"/>
                <w:szCs w:val="17"/>
                <w:color w:val="auto"/>
              </w:rPr>
            </w:pPr>
          </w:p>
        </w:tc>
        <w:tc>
          <w:tcPr>
            <w:tcW w:w="960" w:type="dxa"/>
            <w:vAlign w:val="bottom"/>
            <w:tcBorders>
              <w:bottom w:val="single" w:sz="8" w:color="61656A"/>
            </w:tcBorders>
          </w:tcPr>
          <w:p>
            <w:pPr>
              <w:spacing w:after="0"/>
              <w:rPr>
                <w:sz w:val="17"/>
                <w:szCs w:val="17"/>
                <w:color w:val="auto"/>
              </w:rPr>
            </w:pPr>
          </w:p>
        </w:tc>
        <w:tc>
          <w:tcPr>
            <w:tcW w:w="500" w:type="dxa"/>
            <w:vAlign w:val="bottom"/>
            <w:tcBorders>
              <w:bottom w:val="single" w:sz="8" w:color="61656A"/>
            </w:tcBorders>
          </w:tcPr>
          <w:p>
            <w:pPr>
              <w:spacing w:after="0"/>
              <w:rPr>
                <w:sz w:val="17"/>
                <w:szCs w:val="17"/>
                <w:color w:val="auto"/>
              </w:rPr>
            </w:pPr>
          </w:p>
        </w:tc>
      </w:tr>
      <w:tr>
        <w:trPr>
          <w:trHeight w:val="193"/>
        </w:trPr>
        <w:tc>
          <w:tcPr>
            <w:tcW w:w="83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Net income</w:t>
            </w:r>
          </w:p>
        </w:tc>
        <w:tc>
          <w:tcPr>
            <w:tcW w:w="840" w:type="dxa"/>
            <w:vAlign w:val="bottom"/>
            <w:tcBorders>
              <w:bottom w:val="single" w:sz="8" w:color="61656A"/>
            </w:tcBorders>
          </w:tcPr>
          <w:p>
            <w:pPr>
              <w:jc w:val="right"/>
              <w:ind w:right="688"/>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1,475</w:t>
            </w:r>
          </w:p>
        </w:tc>
        <w:tc>
          <w:tcPr>
            <w:tcW w:w="960" w:type="dxa"/>
            <w:vAlign w:val="bottom"/>
            <w:tcBorders>
              <w:bottom w:val="single" w:sz="8" w:color="61656A"/>
            </w:tcBorders>
          </w:tcPr>
          <w:p>
            <w:pPr>
              <w:jc w:val="right"/>
              <w:ind w:right="68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1,408</w:t>
            </w:r>
          </w:p>
        </w:tc>
      </w:tr>
      <w:tr>
        <w:trPr>
          <w:trHeight w:val="196"/>
        </w:trPr>
        <w:tc>
          <w:tcPr>
            <w:tcW w:w="832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Less: Net income attributable to noncontrolling interest</w:t>
            </w:r>
          </w:p>
        </w:tc>
        <w:tc>
          <w:tcPr>
            <w:tcW w:w="84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12</w:t>
            </w:r>
          </w:p>
        </w:tc>
        <w:tc>
          <w:tcPr>
            <w:tcW w:w="960" w:type="dxa"/>
            <w:vAlign w:val="bottom"/>
            <w:tcBorders>
              <w:bottom w:val="single" w:sz="8" w:color="D7282F"/>
            </w:tcBorders>
          </w:tcPr>
          <w:p>
            <w:pPr>
              <w:spacing w:after="0"/>
              <w:rPr>
                <w:sz w:val="17"/>
                <w:szCs w:val="17"/>
                <w:color w:val="auto"/>
              </w:rPr>
            </w:pPr>
          </w:p>
        </w:tc>
        <w:tc>
          <w:tcPr>
            <w:tcW w:w="5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14</w:t>
            </w:r>
          </w:p>
        </w:tc>
      </w:tr>
      <w:tr>
        <w:trPr>
          <w:trHeight w:val="199"/>
        </w:trPr>
        <w:tc>
          <w:tcPr>
            <w:tcW w:w="8320" w:type="dxa"/>
            <w:vAlign w:val="bottom"/>
            <w:tcBorders>
              <w:bottom w:val="single" w:sz="8" w:color="D7282F"/>
            </w:tcBorders>
          </w:tcPr>
          <w:p>
            <w:pPr>
              <w:ind w:left="220"/>
              <w:spacing w:after="0"/>
              <w:rPr>
                <w:sz w:val="20"/>
                <w:szCs w:val="20"/>
                <w:color w:val="auto"/>
              </w:rPr>
            </w:pPr>
            <w:r>
              <w:rPr>
                <w:rFonts w:ascii="Arial" w:cs="Arial" w:eastAsia="Arial" w:hAnsi="Arial"/>
                <w:sz w:val="14"/>
                <w:szCs w:val="14"/>
                <w:b w:val="1"/>
                <w:bCs w:val="1"/>
                <w:color w:val="auto"/>
              </w:rPr>
              <w:t>Net income attributable to Honeywell</w:t>
            </w:r>
          </w:p>
        </w:tc>
        <w:tc>
          <w:tcPr>
            <w:tcW w:w="84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1,463</w:t>
            </w:r>
          </w:p>
        </w:tc>
        <w:tc>
          <w:tcPr>
            <w:tcW w:w="960" w:type="dxa"/>
            <w:vAlign w:val="bottom"/>
            <w:tcBorders>
              <w:bottom w:val="single" w:sz="8" w:color="D7282F"/>
            </w:tcBorders>
          </w:tcPr>
          <w:p>
            <w:pPr>
              <w:spacing w:after="0"/>
              <w:rPr>
                <w:sz w:val="17"/>
                <w:szCs w:val="17"/>
                <w:color w:val="auto"/>
              </w:rPr>
            </w:pPr>
          </w:p>
        </w:tc>
        <w:tc>
          <w:tcPr>
            <w:tcW w:w="5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1,394</w:t>
            </w:r>
          </w:p>
        </w:tc>
      </w:tr>
      <w:tr>
        <w:trPr>
          <w:trHeight w:val="193"/>
        </w:trPr>
        <w:tc>
          <w:tcPr>
            <w:tcW w:w="83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Adjustments to reconcile net income attributable to Honeywell to net cash provided by (used for) operating activities</w:t>
            </w:r>
          </w:p>
        </w:tc>
        <w:tc>
          <w:tcPr>
            <w:tcW w:w="840" w:type="dxa"/>
            <w:vAlign w:val="bottom"/>
            <w:tcBorders>
              <w:bottom w:val="single" w:sz="8" w:color="61656A"/>
            </w:tcBorders>
          </w:tcPr>
          <w:p>
            <w:pPr>
              <w:spacing w:after="0"/>
              <w:rPr>
                <w:sz w:val="16"/>
                <w:szCs w:val="16"/>
                <w:color w:val="auto"/>
              </w:rPr>
            </w:pPr>
          </w:p>
        </w:tc>
        <w:tc>
          <w:tcPr>
            <w:tcW w:w="62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spacing w:after="0"/>
              <w:rPr>
                <w:sz w:val="16"/>
                <w:szCs w:val="16"/>
                <w:color w:val="auto"/>
              </w:rPr>
            </w:pPr>
          </w:p>
        </w:tc>
        <w:tc>
          <w:tcPr>
            <w:tcW w:w="500" w:type="dxa"/>
            <w:vAlign w:val="bottom"/>
            <w:tcBorders>
              <w:bottom w:val="single" w:sz="8" w:color="61656A"/>
            </w:tcBorders>
          </w:tcPr>
          <w:p>
            <w:pPr>
              <w:spacing w:after="0"/>
              <w:rPr>
                <w:sz w:val="16"/>
                <w:szCs w:val="16"/>
                <w:color w:val="auto"/>
              </w:rPr>
            </w:pPr>
          </w:p>
        </w:tc>
      </w:tr>
      <w:tr>
        <w:trPr>
          <w:trHeight w:val="196"/>
        </w:trPr>
        <w:tc>
          <w:tcPr>
            <w:tcW w:w="832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Depreciation</w:t>
            </w:r>
          </w:p>
        </w:tc>
        <w:tc>
          <w:tcPr>
            <w:tcW w:w="84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166</w:t>
            </w:r>
          </w:p>
        </w:tc>
        <w:tc>
          <w:tcPr>
            <w:tcW w:w="960" w:type="dxa"/>
            <w:vAlign w:val="bottom"/>
            <w:tcBorders>
              <w:bottom w:val="single" w:sz="8" w:color="61656A"/>
            </w:tcBorders>
          </w:tcPr>
          <w:p>
            <w:pPr>
              <w:spacing w:after="0"/>
              <w:rPr>
                <w:sz w:val="17"/>
                <w:szCs w:val="17"/>
                <w:color w:val="auto"/>
              </w:rPr>
            </w:pPr>
          </w:p>
        </w:tc>
        <w:tc>
          <w:tcPr>
            <w:tcW w:w="5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161</w:t>
            </w:r>
          </w:p>
        </w:tc>
      </w:tr>
      <w:tr>
        <w:trPr>
          <w:trHeight w:val="196"/>
        </w:trPr>
        <w:tc>
          <w:tcPr>
            <w:tcW w:w="832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Amortization</w:t>
            </w:r>
          </w:p>
        </w:tc>
        <w:tc>
          <w:tcPr>
            <w:tcW w:w="84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125</w:t>
            </w:r>
          </w:p>
        </w:tc>
        <w:tc>
          <w:tcPr>
            <w:tcW w:w="960" w:type="dxa"/>
            <w:vAlign w:val="bottom"/>
            <w:tcBorders>
              <w:bottom w:val="single" w:sz="8" w:color="61656A"/>
            </w:tcBorders>
          </w:tcPr>
          <w:p>
            <w:pPr>
              <w:spacing w:after="0"/>
              <w:rPr>
                <w:sz w:val="17"/>
                <w:szCs w:val="17"/>
                <w:color w:val="auto"/>
              </w:rPr>
            </w:pPr>
          </w:p>
        </w:tc>
        <w:tc>
          <w:tcPr>
            <w:tcW w:w="5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122</w:t>
            </w:r>
          </w:p>
        </w:tc>
      </w:tr>
      <w:tr>
        <w:trPr>
          <w:trHeight w:val="196"/>
        </w:trPr>
        <w:tc>
          <w:tcPr>
            <w:tcW w:w="832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Repositioning and other charges</w:t>
            </w:r>
          </w:p>
        </w:tc>
        <w:tc>
          <w:tcPr>
            <w:tcW w:w="84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93</w:t>
            </w:r>
          </w:p>
        </w:tc>
        <w:tc>
          <w:tcPr>
            <w:tcW w:w="960" w:type="dxa"/>
            <w:vAlign w:val="bottom"/>
            <w:tcBorders>
              <w:bottom w:val="single" w:sz="8" w:color="61656A"/>
            </w:tcBorders>
          </w:tcPr>
          <w:p>
            <w:pPr>
              <w:spacing w:after="0"/>
              <w:rPr>
                <w:sz w:val="17"/>
                <w:szCs w:val="17"/>
                <w:color w:val="auto"/>
              </w:rPr>
            </w:pPr>
          </w:p>
        </w:tc>
        <w:tc>
          <w:tcPr>
            <w:tcW w:w="5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141</w:t>
            </w:r>
          </w:p>
        </w:tc>
      </w:tr>
      <w:tr>
        <w:trPr>
          <w:trHeight w:val="196"/>
        </w:trPr>
        <w:tc>
          <w:tcPr>
            <w:tcW w:w="832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Net payments for repositioning and other charges</w:t>
            </w:r>
          </w:p>
        </w:tc>
        <w:tc>
          <w:tcPr>
            <w:tcW w:w="84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(124)</w:t>
            </w:r>
          </w:p>
        </w:tc>
        <w:tc>
          <w:tcPr>
            <w:tcW w:w="960" w:type="dxa"/>
            <w:vAlign w:val="bottom"/>
            <w:tcBorders>
              <w:bottom w:val="single" w:sz="8" w:color="61656A"/>
            </w:tcBorders>
          </w:tcPr>
          <w:p>
            <w:pPr>
              <w:spacing w:after="0"/>
              <w:rPr>
                <w:sz w:val="17"/>
                <w:szCs w:val="17"/>
                <w:color w:val="auto"/>
              </w:rPr>
            </w:pPr>
          </w:p>
        </w:tc>
        <w:tc>
          <w:tcPr>
            <w:tcW w:w="5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(41)</w:t>
            </w:r>
          </w:p>
        </w:tc>
      </w:tr>
      <w:tr>
        <w:trPr>
          <w:trHeight w:val="196"/>
        </w:trPr>
        <w:tc>
          <w:tcPr>
            <w:tcW w:w="832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NARCO Buyout payment</w:t>
            </w:r>
          </w:p>
        </w:tc>
        <w:tc>
          <w:tcPr>
            <w:tcW w:w="84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61656A"/>
            </w:tcBorders>
          </w:tcPr>
          <w:p>
            <w:pPr>
              <w:spacing w:after="0"/>
              <w:rPr>
                <w:sz w:val="17"/>
                <w:szCs w:val="17"/>
                <w:color w:val="auto"/>
              </w:rPr>
            </w:pPr>
          </w:p>
        </w:tc>
        <w:tc>
          <w:tcPr>
            <w:tcW w:w="5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(1,325)</w:t>
            </w:r>
          </w:p>
        </w:tc>
      </w:tr>
      <w:tr>
        <w:trPr>
          <w:trHeight w:val="196"/>
        </w:trPr>
        <w:tc>
          <w:tcPr>
            <w:tcW w:w="832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Pension and other postretirement income</w:t>
            </w:r>
          </w:p>
        </w:tc>
        <w:tc>
          <w:tcPr>
            <w:tcW w:w="84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(151)</w:t>
            </w:r>
          </w:p>
        </w:tc>
        <w:tc>
          <w:tcPr>
            <w:tcW w:w="960" w:type="dxa"/>
            <w:vAlign w:val="bottom"/>
            <w:tcBorders>
              <w:bottom w:val="single" w:sz="8" w:color="61656A"/>
            </w:tcBorders>
          </w:tcPr>
          <w:p>
            <w:pPr>
              <w:spacing w:after="0"/>
              <w:rPr>
                <w:sz w:val="17"/>
                <w:szCs w:val="17"/>
                <w:color w:val="auto"/>
              </w:rPr>
            </w:pPr>
          </w:p>
        </w:tc>
        <w:tc>
          <w:tcPr>
            <w:tcW w:w="5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(136)</w:t>
            </w:r>
          </w:p>
        </w:tc>
      </w:tr>
      <w:tr>
        <w:trPr>
          <w:trHeight w:val="196"/>
        </w:trPr>
        <w:tc>
          <w:tcPr>
            <w:tcW w:w="832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Pension and other postretirement benefit payments</w:t>
            </w:r>
          </w:p>
        </w:tc>
        <w:tc>
          <w:tcPr>
            <w:tcW w:w="84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(8)</w:t>
            </w:r>
          </w:p>
        </w:tc>
        <w:tc>
          <w:tcPr>
            <w:tcW w:w="960" w:type="dxa"/>
            <w:vAlign w:val="bottom"/>
            <w:tcBorders>
              <w:bottom w:val="single" w:sz="8" w:color="61656A"/>
            </w:tcBorders>
          </w:tcPr>
          <w:p>
            <w:pPr>
              <w:spacing w:after="0"/>
              <w:rPr>
                <w:sz w:val="17"/>
                <w:szCs w:val="17"/>
                <w:color w:val="auto"/>
              </w:rPr>
            </w:pPr>
          </w:p>
        </w:tc>
        <w:tc>
          <w:tcPr>
            <w:tcW w:w="5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w:t>
            </w:r>
          </w:p>
        </w:tc>
      </w:tr>
      <w:tr>
        <w:trPr>
          <w:trHeight w:val="196"/>
        </w:trPr>
        <w:tc>
          <w:tcPr>
            <w:tcW w:w="832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Stock compensation expense</w:t>
            </w:r>
          </w:p>
        </w:tc>
        <w:tc>
          <w:tcPr>
            <w:tcW w:w="84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53</w:t>
            </w:r>
          </w:p>
        </w:tc>
        <w:tc>
          <w:tcPr>
            <w:tcW w:w="960" w:type="dxa"/>
            <w:vAlign w:val="bottom"/>
            <w:tcBorders>
              <w:bottom w:val="single" w:sz="8" w:color="61656A"/>
            </w:tcBorders>
          </w:tcPr>
          <w:p>
            <w:pPr>
              <w:spacing w:after="0"/>
              <w:rPr>
                <w:sz w:val="17"/>
                <w:szCs w:val="17"/>
                <w:color w:val="auto"/>
              </w:rPr>
            </w:pPr>
          </w:p>
        </w:tc>
        <w:tc>
          <w:tcPr>
            <w:tcW w:w="5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59</w:t>
            </w:r>
          </w:p>
        </w:tc>
      </w:tr>
      <w:tr>
        <w:trPr>
          <w:trHeight w:val="196"/>
        </w:trPr>
        <w:tc>
          <w:tcPr>
            <w:tcW w:w="832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Deferred income taxes</w:t>
            </w:r>
          </w:p>
        </w:tc>
        <w:tc>
          <w:tcPr>
            <w:tcW w:w="84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3</w:t>
            </w:r>
          </w:p>
        </w:tc>
        <w:tc>
          <w:tcPr>
            <w:tcW w:w="960" w:type="dxa"/>
            <w:vAlign w:val="bottom"/>
            <w:tcBorders>
              <w:bottom w:val="single" w:sz="8" w:color="61656A"/>
            </w:tcBorders>
          </w:tcPr>
          <w:p>
            <w:pPr>
              <w:spacing w:after="0"/>
              <w:rPr>
                <w:sz w:val="17"/>
                <w:szCs w:val="17"/>
                <w:color w:val="auto"/>
              </w:rPr>
            </w:pPr>
          </w:p>
        </w:tc>
        <w:tc>
          <w:tcPr>
            <w:tcW w:w="5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225</w:t>
            </w:r>
          </w:p>
        </w:tc>
      </w:tr>
      <w:tr>
        <w:trPr>
          <w:trHeight w:val="196"/>
        </w:trPr>
        <w:tc>
          <w:tcPr>
            <w:tcW w:w="832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Other</w:t>
            </w:r>
          </w:p>
        </w:tc>
        <w:tc>
          <w:tcPr>
            <w:tcW w:w="84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(163)</w:t>
            </w:r>
          </w:p>
        </w:tc>
        <w:tc>
          <w:tcPr>
            <w:tcW w:w="960" w:type="dxa"/>
            <w:vAlign w:val="bottom"/>
            <w:tcBorders>
              <w:bottom w:val="single" w:sz="8" w:color="61656A"/>
            </w:tcBorders>
          </w:tcPr>
          <w:p>
            <w:pPr>
              <w:spacing w:after="0"/>
              <w:rPr>
                <w:sz w:val="17"/>
                <w:szCs w:val="17"/>
                <w:color w:val="auto"/>
              </w:rPr>
            </w:pPr>
          </w:p>
        </w:tc>
        <w:tc>
          <w:tcPr>
            <w:tcW w:w="5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(350)</w:t>
            </w:r>
          </w:p>
        </w:tc>
      </w:tr>
      <w:tr>
        <w:trPr>
          <w:trHeight w:val="196"/>
        </w:trPr>
        <w:tc>
          <w:tcPr>
            <w:tcW w:w="832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Changes in assets and liabilities, net of the effects of acquisitions and divestitures</w:t>
            </w:r>
          </w:p>
        </w:tc>
        <w:tc>
          <w:tcPr>
            <w:tcW w:w="84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spacing w:after="0"/>
              <w:rPr>
                <w:sz w:val="17"/>
                <w:szCs w:val="17"/>
                <w:color w:val="auto"/>
              </w:rPr>
            </w:pPr>
          </w:p>
        </w:tc>
        <w:tc>
          <w:tcPr>
            <w:tcW w:w="960" w:type="dxa"/>
            <w:vAlign w:val="bottom"/>
            <w:tcBorders>
              <w:bottom w:val="single" w:sz="8" w:color="61656A"/>
            </w:tcBorders>
          </w:tcPr>
          <w:p>
            <w:pPr>
              <w:spacing w:after="0"/>
              <w:rPr>
                <w:sz w:val="17"/>
                <w:szCs w:val="17"/>
                <w:color w:val="auto"/>
              </w:rPr>
            </w:pPr>
          </w:p>
        </w:tc>
        <w:tc>
          <w:tcPr>
            <w:tcW w:w="500" w:type="dxa"/>
            <w:vAlign w:val="bottom"/>
            <w:tcBorders>
              <w:bottom w:val="single" w:sz="8" w:color="61656A"/>
            </w:tcBorders>
          </w:tcPr>
          <w:p>
            <w:pPr>
              <w:spacing w:after="0"/>
              <w:rPr>
                <w:sz w:val="17"/>
                <w:szCs w:val="17"/>
                <w:color w:val="auto"/>
              </w:rPr>
            </w:pPr>
          </w:p>
        </w:tc>
      </w:tr>
      <w:tr>
        <w:trPr>
          <w:trHeight w:val="196"/>
        </w:trPr>
        <w:tc>
          <w:tcPr>
            <w:tcW w:w="8320" w:type="dxa"/>
            <w:vAlign w:val="bottom"/>
            <w:tcBorders>
              <w:bottom w:val="single" w:sz="8" w:color="61656A"/>
            </w:tcBorders>
          </w:tcPr>
          <w:p>
            <w:pPr>
              <w:ind w:left="360"/>
              <w:spacing w:after="0"/>
              <w:rPr>
                <w:sz w:val="20"/>
                <w:szCs w:val="20"/>
                <w:color w:val="auto"/>
              </w:rPr>
            </w:pPr>
            <w:r>
              <w:rPr>
                <w:rFonts w:ascii="Arial" w:cs="Arial" w:eastAsia="Arial" w:hAnsi="Arial"/>
                <w:sz w:val="14"/>
                <w:szCs w:val="14"/>
                <w:color w:val="auto"/>
              </w:rPr>
              <w:t>Accounts receivable</w:t>
            </w:r>
          </w:p>
        </w:tc>
        <w:tc>
          <w:tcPr>
            <w:tcW w:w="84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53</w:t>
            </w:r>
          </w:p>
        </w:tc>
        <w:tc>
          <w:tcPr>
            <w:tcW w:w="960" w:type="dxa"/>
            <w:vAlign w:val="bottom"/>
            <w:tcBorders>
              <w:bottom w:val="single" w:sz="8" w:color="61656A"/>
            </w:tcBorders>
          </w:tcPr>
          <w:p>
            <w:pPr>
              <w:spacing w:after="0"/>
              <w:rPr>
                <w:sz w:val="17"/>
                <w:szCs w:val="17"/>
                <w:color w:val="auto"/>
              </w:rPr>
            </w:pPr>
          </w:p>
        </w:tc>
        <w:tc>
          <w:tcPr>
            <w:tcW w:w="5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(422)</w:t>
            </w:r>
          </w:p>
        </w:tc>
      </w:tr>
      <w:tr>
        <w:trPr>
          <w:trHeight w:val="196"/>
        </w:trPr>
        <w:tc>
          <w:tcPr>
            <w:tcW w:w="8320" w:type="dxa"/>
            <w:vAlign w:val="bottom"/>
            <w:tcBorders>
              <w:bottom w:val="single" w:sz="8" w:color="61656A"/>
            </w:tcBorders>
          </w:tcPr>
          <w:p>
            <w:pPr>
              <w:ind w:left="360"/>
              <w:spacing w:after="0"/>
              <w:rPr>
                <w:sz w:val="20"/>
                <w:szCs w:val="20"/>
                <w:color w:val="auto"/>
              </w:rPr>
            </w:pPr>
            <w:r>
              <w:rPr>
                <w:rFonts w:ascii="Arial" w:cs="Arial" w:eastAsia="Arial" w:hAnsi="Arial"/>
                <w:sz w:val="14"/>
                <w:szCs w:val="14"/>
                <w:color w:val="auto"/>
              </w:rPr>
              <w:t>Inventories</w:t>
            </w:r>
          </w:p>
        </w:tc>
        <w:tc>
          <w:tcPr>
            <w:tcW w:w="84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(140)</w:t>
            </w:r>
          </w:p>
        </w:tc>
        <w:tc>
          <w:tcPr>
            <w:tcW w:w="960" w:type="dxa"/>
            <w:vAlign w:val="bottom"/>
            <w:tcBorders>
              <w:bottom w:val="single" w:sz="8" w:color="61656A"/>
            </w:tcBorders>
          </w:tcPr>
          <w:p>
            <w:pPr>
              <w:spacing w:after="0"/>
              <w:rPr>
                <w:sz w:val="17"/>
                <w:szCs w:val="17"/>
                <w:color w:val="auto"/>
              </w:rPr>
            </w:pPr>
          </w:p>
        </w:tc>
        <w:tc>
          <w:tcPr>
            <w:tcW w:w="5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(238)</w:t>
            </w:r>
          </w:p>
        </w:tc>
      </w:tr>
      <w:tr>
        <w:trPr>
          <w:trHeight w:val="196"/>
        </w:trPr>
        <w:tc>
          <w:tcPr>
            <w:tcW w:w="8320" w:type="dxa"/>
            <w:vAlign w:val="bottom"/>
            <w:tcBorders>
              <w:bottom w:val="single" w:sz="8" w:color="61656A"/>
            </w:tcBorders>
          </w:tcPr>
          <w:p>
            <w:pPr>
              <w:ind w:left="360"/>
              <w:spacing w:after="0"/>
              <w:rPr>
                <w:sz w:val="20"/>
                <w:szCs w:val="20"/>
                <w:color w:val="auto"/>
              </w:rPr>
            </w:pPr>
            <w:r>
              <w:rPr>
                <w:rFonts w:ascii="Arial" w:cs="Arial" w:eastAsia="Arial" w:hAnsi="Arial"/>
                <w:sz w:val="14"/>
                <w:szCs w:val="14"/>
                <w:color w:val="auto"/>
              </w:rPr>
              <w:t>Other current assets</w:t>
            </w:r>
          </w:p>
        </w:tc>
        <w:tc>
          <w:tcPr>
            <w:tcW w:w="84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64</w:t>
            </w:r>
          </w:p>
        </w:tc>
        <w:tc>
          <w:tcPr>
            <w:tcW w:w="960" w:type="dxa"/>
            <w:vAlign w:val="bottom"/>
            <w:tcBorders>
              <w:bottom w:val="single" w:sz="8" w:color="61656A"/>
            </w:tcBorders>
          </w:tcPr>
          <w:p>
            <w:pPr>
              <w:spacing w:after="0"/>
              <w:rPr>
                <w:sz w:val="17"/>
                <w:szCs w:val="17"/>
                <w:color w:val="auto"/>
              </w:rPr>
            </w:pPr>
          </w:p>
        </w:tc>
        <w:tc>
          <w:tcPr>
            <w:tcW w:w="5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110</w:t>
            </w:r>
          </w:p>
        </w:tc>
      </w:tr>
      <w:tr>
        <w:trPr>
          <w:trHeight w:val="196"/>
        </w:trPr>
        <w:tc>
          <w:tcPr>
            <w:tcW w:w="8320" w:type="dxa"/>
            <w:vAlign w:val="bottom"/>
            <w:tcBorders>
              <w:bottom w:val="single" w:sz="8" w:color="61656A"/>
            </w:tcBorders>
          </w:tcPr>
          <w:p>
            <w:pPr>
              <w:ind w:left="360"/>
              <w:spacing w:after="0"/>
              <w:rPr>
                <w:sz w:val="20"/>
                <w:szCs w:val="20"/>
                <w:color w:val="auto"/>
              </w:rPr>
            </w:pPr>
            <w:r>
              <w:rPr>
                <w:rFonts w:ascii="Arial" w:cs="Arial" w:eastAsia="Arial" w:hAnsi="Arial"/>
                <w:sz w:val="14"/>
                <w:szCs w:val="14"/>
                <w:color w:val="auto"/>
              </w:rPr>
              <w:t>Accounts payable</w:t>
            </w:r>
          </w:p>
        </w:tc>
        <w:tc>
          <w:tcPr>
            <w:tcW w:w="84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(381)</w:t>
            </w:r>
          </w:p>
        </w:tc>
        <w:tc>
          <w:tcPr>
            <w:tcW w:w="960" w:type="dxa"/>
            <w:vAlign w:val="bottom"/>
            <w:tcBorders>
              <w:bottom w:val="single" w:sz="8" w:color="61656A"/>
            </w:tcBorders>
          </w:tcPr>
          <w:p>
            <w:pPr>
              <w:spacing w:after="0"/>
              <w:rPr>
                <w:sz w:val="17"/>
                <w:szCs w:val="17"/>
                <w:color w:val="auto"/>
              </w:rPr>
            </w:pPr>
          </w:p>
        </w:tc>
        <w:tc>
          <w:tcPr>
            <w:tcW w:w="5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114</w:t>
            </w:r>
          </w:p>
        </w:tc>
      </w:tr>
      <w:tr>
        <w:trPr>
          <w:trHeight w:val="196"/>
        </w:trPr>
        <w:tc>
          <w:tcPr>
            <w:tcW w:w="8320" w:type="dxa"/>
            <w:vAlign w:val="bottom"/>
            <w:tcBorders>
              <w:bottom w:val="single" w:sz="8" w:color="D7282F"/>
            </w:tcBorders>
          </w:tcPr>
          <w:p>
            <w:pPr>
              <w:ind w:left="360"/>
              <w:spacing w:after="0"/>
              <w:rPr>
                <w:sz w:val="20"/>
                <w:szCs w:val="20"/>
                <w:color w:val="auto"/>
              </w:rPr>
            </w:pPr>
            <w:r>
              <w:rPr>
                <w:rFonts w:ascii="Arial" w:cs="Arial" w:eastAsia="Arial" w:hAnsi="Arial"/>
                <w:sz w:val="14"/>
                <w:szCs w:val="14"/>
                <w:color w:val="auto"/>
              </w:rPr>
              <w:t>Accrued liabilities</w:t>
            </w:r>
          </w:p>
        </w:tc>
        <w:tc>
          <w:tcPr>
            <w:tcW w:w="84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(605)</w:t>
            </w:r>
          </w:p>
        </w:tc>
        <w:tc>
          <w:tcPr>
            <w:tcW w:w="960" w:type="dxa"/>
            <w:vAlign w:val="bottom"/>
            <w:tcBorders>
              <w:bottom w:val="single" w:sz="8" w:color="D7282F"/>
            </w:tcBorders>
          </w:tcPr>
          <w:p>
            <w:pPr>
              <w:spacing w:after="0"/>
              <w:rPr>
                <w:sz w:val="17"/>
                <w:szCs w:val="17"/>
                <w:color w:val="auto"/>
              </w:rPr>
            </w:pPr>
          </w:p>
        </w:tc>
        <w:tc>
          <w:tcPr>
            <w:tcW w:w="5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(583)</w:t>
            </w:r>
          </w:p>
        </w:tc>
      </w:tr>
      <w:tr>
        <w:trPr>
          <w:trHeight w:val="199"/>
        </w:trPr>
        <w:tc>
          <w:tcPr>
            <w:tcW w:w="8320" w:type="dxa"/>
            <w:vAlign w:val="bottom"/>
            <w:tcBorders>
              <w:bottom w:val="single" w:sz="8" w:color="D7282F"/>
            </w:tcBorders>
          </w:tcPr>
          <w:p>
            <w:pPr>
              <w:ind w:left="460"/>
              <w:spacing w:after="0"/>
              <w:rPr>
                <w:sz w:val="20"/>
                <w:szCs w:val="20"/>
                <w:color w:val="auto"/>
              </w:rPr>
            </w:pPr>
            <w:r>
              <w:rPr>
                <w:rFonts w:ascii="Arial" w:cs="Arial" w:eastAsia="Arial" w:hAnsi="Arial"/>
                <w:sz w:val="14"/>
                <w:szCs w:val="14"/>
                <w:b w:val="1"/>
                <w:bCs w:val="1"/>
                <w:color w:val="auto"/>
              </w:rPr>
              <w:t>Net cash provided by (used for) operating activities</w:t>
            </w:r>
          </w:p>
        </w:tc>
        <w:tc>
          <w:tcPr>
            <w:tcW w:w="84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448</w:t>
            </w:r>
          </w:p>
        </w:tc>
        <w:tc>
          <w:tcPr>
            <w:tcW w:w="960" w:type="dxa"/>
            <w:vAlign w:val="bottom"/>
            <w:tcBorders>
              <w:bottom w:val="single" w:sz="8" w:color="D7282F"/>
            </w:tcBorders>
          </w:tcPr>
          <w:p>
            <w:pPr>
              <w:spacing w:after="0"/>
              <w:rPr>
                <w:sz w:val="17"/>
                <w:szCs w:val="17"/>
                <w:color w:val="auto"/>
              </w:rPr>
            </w:pPr>
          </w:p>
        </w:tc>
        <w:tc>
          <w:tcPr>
            <w:tcW w:w="5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(784)</w:t>
            </w:r>
          </w:p>
        </w:tc>
      </w:tr>
      <w:tr>
        <w:trPr>
          <w:trHeight w:val="196"/>
        </w:trPr>
        <w:tc>
          <w:tcPr>
            <w:tcW w:w="832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84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spacing w:after="0"/>
              <w:rPr>
                <w:sz w:val="17"/>
                <w:szCs w:val="17"/>
                <w:color w:val="auto"/>
              </w:rPr>
            </w:pPr>
          </w:p>
        </w:tc>
        <w:tc>
          <w:tcPr>
            <w:tcW w:w="960" w:type="dxa"/>
            <w:vAlign w:val="bottom"/>
            <w:tcBorders>
              <w:bottom w:val="single" w:sz="8" w:color="61656A"/>
            </w:tcBorders>
          </w:tcPr>
          <w:p>
            <w:pPr>
              <w:spacing w:after="0"/>
              <w:rPr>
                <w:sz w:val="17"/>
                <w:szCs w:val="17"/>
                <w:color w:val="auto"/>
              </w:rPr>
            </w:pPr>
          </w:p>
        </w:tc>
        <w:tc>
          <w:tcPr>
            <w:tcW w:w="500" w:type="dxa"/>
            <w:vAlign w:val="bottom"/>
            <w:tcBorders>
              <w:bottom w:val="single" w:sz="8" w:color="61656A"/>
            </w:tcBorders>
          </w:tcPr>
          <w:p>
            <w:pPr>
              <w:spacing w:after="0"/>
              <w:rPr>
                <w:sz w:val="17"/>
                <w:szCs w:val="17"/>
                <w:color w:val="auto"/>
              </w:rPr>
            </w:pPr>
          </w:p>
        </w:tc>
      </w:tr>
      <w:tr>
        <w:trPr>
          <w:trHeight w:val="193"/>
        </w:trPr>
        <w:tc>
          <w:tcPr>
            <w:tcW w:w="83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Capital expenditures</w:t>
            </w:r>
          </w:p>
        </w:tc>
        <w:tc>
          <w:tcPr>
            <w:tcW w:w="840" w:type="dxa"/>
            <w:vAlign w:val="bottom"/>
            <w:tcBorders>
              <w:bottom w:val="single" w:sz="8" w:color="61656A"/>
            </w:tcBorders>
          </w:tcPr>
          <w:p>
            <w:pPr>
              <w:spacing w:after="0"/>
              <w:rPr>
                <w:sz w:val="16"/>
                <w:szCs w:val="16"/>
                <w:color w:val="auto"/>
              </w:rPr>
            </w:pPr>
          </w:p>
        </w:tc>
        <w:tc>
          <w:tcPr>
            <w:tcW w:w="6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(233)</w:t>
            </w:r>
          </w:p>
        </w:tc>
        <w:tc>
          <w:tcPr>
            <w:tcW w:w="960" w:type="dxa"/>
            <w:vAlign w:val="bottom"/>
            <w:tcBorders>
              <w:bottom w:val="single" w:sz="8" w:color="61656A"/>
            </w:tcBorders>
          </w:tcPr>
          <w:p>
            <w:pPr>
              <w:spacing w:after="0"/>
              <w:rPr>
                <w:sz w:val="16"/>
                <w:szCs w:val="16"/>
                <w:color w:val="auto"/>
              </w:rPr>
            </w:pPr>
          </w:p>
        </w:tc>
        <w:tc>
          <w:tcPr>
            <w:tcW w:w="5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(193)</w:t>
            </w:r>
          </w:p>
        </w:tc>
      </w:tr>
      <w:tr>
        <w:trPr>
          <w:trHeight w:val="196"/>
        </w:trPr>
        <w:tc>
          <w:tcPr>
            <w:tcW w:w="83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Proceeds from disposals of property, plant and equipment</w:t>
            </w:r>
          </w:p>
        </w:tc>
        <w:tc>
          <w:tcPr>
            <w:tcW w:w="84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61656A"/>
            </w:tcBorders>
          </w:tcPr>
          <w:p>
            <w:pPr>
              <w:spacing w:after="0"/>
              <w:rPr>
                <w:sz w:val="17"/>
                <w:szCs w:val="17"/>
                <w:color w:val="auto"/>
              </w:rPr>
            </w:pPr>
          </w:p>
        </w:tc>
        <w:tc>
          <w:tcPr>
            <w:tcW w:w="5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11</w:t>
            </w:r>
          </w:p>
        </w:tc>
      </w:tr>
      <w:tr>
        <w:trPr>
          <w:trHeight w:val="196"/>
        </w:trPr>
        <w:tc>
          <w:tcPr>
            <w:tcW w:w="83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Increase in investments</w:t>
            </w:r>
          </w:p>
        </w:tc>
        <w:tc>
          <w:tcPr>
            <w:tcW w:w="84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(238)</w:t>
            </w:r>
          </w:p>
        </w:tc>
        <w:tc>
          <w:tcPr>
            <w:tcW w:w="960" w:type="dxa"/>
            <w:vAlign w:val="bottom"/>
            <w:tcBorders>
              <w:bottom w:val="single" w:sz="8" w:color="61656A"/>
            </w:tcBorders>
          </w:tcPr>
          <w:p>
            <w:pPr>
              <w:spacing w:after="0"/>
              <w:rPr>
                <w:sz w:val="17"/>
                <w:szCs w:val="17"/>
                <w:color w:val="auto"/>
              </w:rPr>
            </w:pPr>
          </w:p>
        </w:tc>
        <w:tc>
          <w:tcPr>
            <w:tcW w:w="5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(226)</w:t>
            </w:r>
          </w:p>
        </w:tc>
      </w:tr>
      <w:tr>
        <w:trPr>
          <w:trHeight w:val="196"/>
        </w:trPr>
        <w:tc>
          <w:tcPr>
            <w:tcW w:w="83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Decrease in investments</w:t>
            </w:r>
          </w:p>
        </w:tc>
        <w:tc>
          <w:tcPr>
            <w:tcW w:w="84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155</w:t>
            </w:r>
          </w:p>
        </w:tc>
        <w:tc>
          <w:tcPr>
            <w:tcW w:w="960" w:type="dxa"/>
            <w:vAlign w:val="bottom"/>
            <w:tcBorders>
              <w:bottom w:val="single" w:sz="8" w:color="61656A"/>
            </w:tcBorders>
          </w:tcPr>
          <w:p>
            <w:pPr>
              <w:spacing w:after="0"/>
              <w:rPr>
                <w:sz w:val="17"/>
                <w:szCs w:val="17"/>
                <w:color w:val="auto"/>
              </w:rPr>
            </w:pPr>
          </w:p>
        </w:tc>
        <w:tc>
          <w:tcPr>
            <w:tcW w:w="5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386</w:t>
            </w:r>
          </w:p>
        </w:tc>
      </w:tr>
      <w:tr>
        <w:trPr>
          <w:trHeight w:val="196"/>
        </w:trPr>
        <w:tc>
          <w:tcPr>
            <w:tcW w:w="832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Receipts (payments) from settlements of derivative contracts</w:t>
            </w:r>
          </w:p>
        </w:tc>
        <w:tc>
          <w:tcPr>
            <w:tcW w:w="84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43</w:t>
            </w:r>
          </w:p>
        </w:tc>
        <w:tc>
          <w:tcPr>
            <w:tcW w:w="960" w:type="dxa"/>
            <w:vAlign w:val="bottom"/>
            <w:tcBorders>
              <w:bottom w:val="single" w:sz="8" w:color="D7282F"/>
            </w:tcBorders>
          </w:tcPr>
          <w:p>
            <w:pPr>
              <w:spacing w:after="0"/>
              <w:rPr>
                <w:sz w:val="17"/>
                <w:szCs w:val="17"/>
                <w:color w:val="auto"/>
              </w:rPr>
            </w:pPr>
          </w:p>
        </w:tc>
        <w:tc>
          <w:tcPr>
            <w:tcW w:w="5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(7)</w:t>
            </w:r>
          </w:p>
        </w:tc>
      </w:tr>
      <w:tr>
        <w:trPr>
          <w:trHeight w:val="199"/>
        </w:trPr>
        <w:tc>
          <w:tcPr>
            <w:tcW w:w="8320" w:type="dxa"/>
            <w:vAlign w:val="bottom"/>
            <w:tcBorders>
              <w:bottom w:val="single" w:sz="8" w:color="D7282F"/>
            </w:tcBorders>
          </w:tcPr>
          <w:p>
            <w:pPr>
              <w:ind w:left="460"/>
              <w:spacing w:after="0"/>
              <w:rPr>
                <w:sz w:val="20"/>
                <w:szCs w:val="20"/>
                <w:color w:val="auto"/>
              </w:rPr>
            </w:pPr>
            <w:r>
              <w:rPr>
                <w:rFonts w:ascii="Arial" w:cs="Arial" w:eastAsia="Arial" w:hAnsi="Arial"/>
                <w:sz w:val="14"/>
                <w:szCs w:val="14"/>
                <w:b w:val="1"/>
                <w:bCs w:val="1"/>
                <w:color w:val="auto"/>
              </w:rPr>
              <w:t>Net cash used for investing activities</w:t>
            </w:r>
          </w:p>
        </w:tc>
        <w:tc>
          <w:tcPr>
            <w:tcW w:w="84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(273)</w:t>
            </w:r>
          </w:p>
        </w:tc>
        <w:tc>
          <w:tcPr>
            <w:tcW w:w="960" w:type="dxa"/>
            <w:vAlign w:val="bottom"/>
            <w:tcBorders>
              <w:bottom w:val="single" w:sz="8" w:color="D7282F"/>
            </w:tcBorders>
          </w:tcPr>
          <w:p>
            <w:pPr>
              <w:spacing w:after="0"/>
              <w:rPr>
                <w:sz w:val="17"/>
                <w:szCs w:val="17"/>
                <w:color w:val="auto"/>
              </w:rPr>
            </w:pPr>
          </w:p>
        </w:tc>
        <w:tc>
          <w:tcPr>
            <w:tcW w:w="5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(29)</w:t>
            </w:r>
          </w:p>
        </w:tc>
      </w:tr>
      <w:tr>
        <w:trPr>
          <w:trHeight w:val="196"/>
        </w:trPr>
        <w:tc>
          <w:tcPr>
            <w:tcW w:w="832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84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spacing w:after="0"/>
              <w:rPr>
                <w:sz w:val="17"/>
                <w:szCs w:val="17"/>
                <w:color w:val="auto"/>
              </w:rPr>
            </w:pPr>
          </w:p>
        </w:tc>
        <w:tc>
          <w:tcPr>
            <w:tcW w:w="960" w:type="dxa"/>
            <w:vAlign w:val="bottom"/>
            <w:tcBorders>
              <w:bottom w:val="single" w:sz="8" w:color="61656A"/>
            </w:tcBorders>
          </w:tcPr>
          <w:p>
            <w:pPr>
              <w:spacing w:after="0"/>
              <w:rPr>
                <w:sz w:val="17"/>
                <w:szCs w:val="17"/>
                <w:color w:val="auto"/>
              </w:rPr>
            </w:pPr>
          </w:p>
        </w:tc>
        <w:tc>
          <w:tcPr>
            <w:tcW w:w="500" w:type="dxa"/>
            <w:vAlign w:val="bottom"/>
            <w:tcBorders>
              <w:bottom w:val="single" w:sz="8" w:color="61656A"/>
            </w:tcBorders>
          </w:tcPr>
          <w:p>
            <w:pPr>
              <w:spacing w:after="0"/>
              <w:rPr>
                <w:sz w:val="17"/>
                <w:szCs w:val="17"/>
                <w:color w:val="auto"/>
              </w:rPr>
            </w:pPr>
          </w:p>
        </w:tc>
      </w:tr>
      <w:tr>
        <w:trPr>
          <w:trHeight w:val="193"/>
        </w:trPr>
        <w:tc>
          <w:tcPr>
            <w:tcW w:w="8320" w:type="dxa"/>
            <w:vAlign w:val="bottom"/>
            <w:tcBorders>
              <w:bottom w:val="single" w:sz="8" w:color="61656A"/>
            </w:tcBorders>
          </w:tcPr>
          <w:p>
            <w:pPr>
              <w:ind w:left="120"/>
              <w:spacing w:after="0"/>
              <w:rPr>
                <w:sz w:val="20"/>
                <w:szCs w:val="20"/>
                <w:color w:val="auto"/>
              </w:rPr>
            </w:pPr>
            <w:r>
              <w:rPr>
                <w:rFonts w:ascii="Arial" w:cs="Arial" w:eastAsia="Arial" w:hAnsi="Arial"/>
                <w:sz w:val="14"/>
                <w:szCs w:val="14"/>
                <w:color w:val="auto"/>
              </w:rPr>
              <w:t>Proceeds from issuance of commercial paper and other short-term borrowings</w:t>
            </w:r>
          </w:p>
        </w:tc>
        <w:tc>
          <w:tcPr>
            <w:tcW w:w="840" w:type="dxa"/>
            <w:vAlign w:val="bottom"/>
            <w:tcBorders>
              <w:bottom w:val="single" w:sz="8" w:color="61656A"/>
            </w:tcBorders>
          </w:tcPr>
          <w:p>
            <w:pPr>
              <w:spacing w:after="0"/>
              <w:rPr>
                <w:sz w:val="16"/>
                <w:szCs w:val="16"/>
                <w:color w:val="auto"/>
              </w:rPr>
            </w:pPr>
          </w:p>
        </w:tc>
        <w:tc>
          <w:tcPr>
            <w:tcW w:w="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2,223</w:t>
            </w:r>
          </w:p>
        </w:tc>
        <w:tc>
          <w:tcPr>
            <w:tcW w:w="960" w:type="dxa"/>
            <w:vAlign w:val="bottom"/>
            <w:tcBorders>
              <w:bottom w:val="single" w:sz="8" w:color="61656A"/>
            </w:tcBorders>
          </w:tcPr>
          <w:p>
            <w:pPr>
              <w:spacing w:after="0"/>
              <w:rPr>
                <w:sz w:val="16"/>
                <w:szCs w:val="16"/>
                <w:color w:val="auto"/>
              </w:rPr>
            </w:pPr>
          </w:p>
        </w:tc>
        <w:tc>
          <w:tcPr>
            <w:tcW w:w="5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4,105</w:t>
            </w:r>
          </w:p>
        </w:tc>
      </w:tr>
      <w:tr>
        <w:trPr>
          <w:trHeight w:val="196"/>
        </w:trPr>
        <w:tc>
          <w:tcPr>
            <w:tcW w:w="8320" w:type="dxa"/>
            <w:vAlign w:val="bottom"/>
            <w:tcBorders>
              <w:bottom w:val="single" w:sz="8" w:color="61656A"/>
            </w:tcBorders>
          </w:tcPr>
          <w:p>
            <w:pPr>
              <w:ind w:left="120"/>
              <w:spacing w:after="0"/>
              <w:rPr>
                <w:sz w:val="20"/>
                <w:szCs w:val="20"/>
                <w:color w:val="auto"/>
              </w:rPr>
            </w:pPr>
            <w:r>
              <w:rPr>
                <w:rFonts w:ascii="Arial" w:cs="Arial" w:eastAsia="Arial" w:hAnsi="Arial"/>
                <w:sz w:val="14"/>
                <w:szCs w:val="14"/>
                <w:color w:val="auto"/>
              </w:rPr>
              <w:t>Payments of commercial paper and other short-term borrowings</w:t>
            </w:r>
          </w:p>
        </w:tc>
        <w:tc>
          <w:tcPr>
            <w:tcW w:w="84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(2,470)</w:t>
            </w:r>
          </w:p>
        </w:tc>
        <w:tc>
          <w:tcPr>
            <w:tcW w:w="960" w:type="dxa"/>
            <w:vAlign w:val="bottom"/>
            <w:tcBorders>
              <w:bottom w:val="single" w:sz="8" w:color="61656A"/>
            </w:tcBorders>
          </w:tcPr>
          <w:p>
            <w:pPr>
              <w:spacing w:after="0"/>
              <w:rPr>
                <w:sz w:val="17"/>
                <w:szCs w:val="17"/>
                <w:color w:val="auto"/>
              </w:rPr>
            </w:pPr>
          </w:p>
        </w:tc>
        <w:tc>
          <w:tcPr>
            <w:tcW w:w="5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(3,294)</w:t>
            </w:r>
          </w:p>
        </w:tc>
      </w:tr>
      <w:tr>
        <w:trPr>
          <w:trHeight w:val="196"/>
        </w:trPr>
        <w:tc>
          <w:tcPr>
            <w:tcW w:w="8320" w:type="dxa"/>
            <w:vAlign w:val="bottom"/>
            <w:tcBorders>
              <w:bottom w:val="single" w:sz="8" w:color="61656A"/>
            </w:tcBorders>
          </w:tcPr>
          <w:p>
            <w:pPr>
              <w:ind w:left="120"/>
              <w:spacing w:after="0"/>
              <w:rPr>
                <w:sz w:val="20"/>
                <w:szCs w:val="20"/>
                <w:color w:val="auto"/>
              </w:rPr>
            </w:pPr>
            <w:r>
              <w:rPr>
                <w:rFonts w:ascii="Arial" w:cs="Arial" w:eastAsia="Arial" w:hAnsi="Arial"/>
                <w:sz w:val="14"/>
                <w:szCs w:val="14"/>
                <w:color w:val="auto"/>
              </w:rPr>
              <w:t>Proceeds from issuance of common stock</w:t>
            </w:r>
          </w:p>
        </w:tc>
        <w:tc>
          <w:tcPr>
            <w:tcW w:w="84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144</w:t>
            </w:r>
          </w:p>
        </w:tc>
        <w:tc>
          <w:tcPr>
            <w:tcW w:w="960" w:type="dxa"/>
            <w:vAlign w:val="bottom"/>
            <w:tcBorders>
              <w:bottom w:val="single" w:sz="8" w:color="61656A"/>
            </w:tcBorders>
          </w:tcPr>
          <w:p>
            <w:pPr>
              <w:spacing w:after="0"/>
              <w:rPr>
                <w:sz w:val="17"/>
                <w:szCs w:val="17"/>
                <w:color w:val="auto"/>
              </w:rPr>
            </w:pPr>
          </w:p>
        </w:tc>
        <w:tc>
          <w:tcPr>
            <w:tcW w:w="5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37</w:t>
            </w:r>
          </w:p>
        </w:tc>
      </w:tr>
      <w:tr>
        <w:trPr>
          <w:trHeight w:val="196"/>
        </w:trPr>
        <w:tc>
          <w:tcPr>
            <w:tcW w:w="8320" w:type="dxa"/>
            <w:vAlign w:val="bottom"/>
            <w:tcBorders>
              <w:bottom w:val="single" w:sz="8" w:color="61656A"/>
            </w:tcBorders>
          </w:tcPr>
          <w:p>
            <w:pPr>
              <w:ind w:left="120"/>
              <w:spacing w:after="0"/>
              <w:rPr>
                <w:sz w:val="20"/>
                <w:szCs w:val="20"/>
                <w:color w:val="auto"/>
              </w:rPr>
            </w:pPr>
            <w:r>
              <w:rPr>
                <w:rFonts w:ascii="Arial" w:cs="Arial" w:eastAsia="Arial" w:hAnsi="Arial"/>
                <w:sz w:val="14"/>
                <w:szCs w:val="14"/>
                <w:color w:val="auto"/>
              </w:rPr>
              <w:t>Proceeds from issuance of long-term debt</w:t>
            </w:r>
          </w:p>
        </w:tc>
        <w:tc>
          <w:tcPr>
            <w:tcW w:w="84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5,710</w:t>
            </w:r>
          </w:p>
        </w:tc>
        <w:tc>
          <w:tcPr>
            <w:tcW w:w="960" w:type="dxa"/>
            <w:vAlign w:val="bottom"/>
            <w:tcBorders>
              <w:bottom w:val="single" w:sz="8" w:color="61656A"/>
            </w:tcBorders>
          </w:tcPr>
          <w:p>
            <w:pPr>
              <w:spacing w:after="0"/>
              <w:rPr>
                <w:sz w:val="17"/>
                <w:szCs w:val="17"/>
                <w:color w:val="auto"/>
              </w:rPr>
            </w:pPr>
          </w:p>
        </w:tc>
        <w:tc>
          <w:tcPr>
            <w:tcW w:w="5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8320" w:type="dxa"/>
            <w:vAlign w:val="bottom"/>
            <w:tcBorders>
              <w:bottom w:val="single" w:sz="8" w:color="61656A"/>
            </w:tcBorders>
          </w:tcPr>
          <w:p>
            <w:pPr>
              <w:ind w:left="120"/>
              <w:spacing w:after="0"/>
              <w:rPr>
                <w:sz w:val="20"/>
                <w:szCs w:val="20"/>
                <w:color w:val="auto"/>
              </w:rPr>
            </w:pPr>
            <w:r>
              <w:rPr>
                <w:rFonts w:ascii="Arial" w:cs="Arial" w:eastAsia="Arial" w:hAnsi="Arial"/>
                <w:sz w:val="14"/>
                <w:szCs w:val="14"/>
                <w:color w:val="auto"/>
              </w:rPr>
              <w:t>Payments of long-term debt</w:t>
            </w:r>
          </w:p>
        </w:tc>
        <w:tc>
          <w:tcPr>
            <w:tcW w:w="84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(573)</w:t>
            </w:r>
          </w:p>
        </w:tc>
        <w:tc>
          <w:tcPr>
            <w:tcW w:w="960" w:type="dxa"/>
            <w:vAlign w:val="bottom"/>
            <w:tcBorders>
              <w:bottom w:val="single" w:sz="8" w:color="61656A"/>
            </w:tcBorders>
          </w:tcPr>
          <w:p>
            <w:pPr>
              <w:spacing w:after="0"/>
              <w:rPr>
                <w:sz w:val="17"/>
                <w:szCs w:val="17"/>
                <w:color w:val="auto"/>
              </w:rPr>
            </w:pPr>
          </w:p>
        </w:tc>
        <w:tc>
          <w:tcPr>
            <w:tcW w:w="5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(1,363)</w:t>
            </w:r>
          </w:p>
        </w:tc>
      </w:tr>
      <w:tr>
        <w:trPr>
          <w:trHeight w:val="196"/>
        </w:trPr>
        <w:tc>
          <w:tcPr>
            <w:tcW w:w="8320" w:type="dxa"/>
            <w:vAlign w:val="bottom"/>
            <w:tcBorders>
              <w:bottom w:val="single" w:sz="8" w:color="61656A"/>
            </w:tcBorders>
          </w:tcPr>
          <w:p>
            <w:pPr>
              <w:ind w:left="120"/>
              <w:spacing w:after="0"/>
              <w:rPr>
                <w:sz w:val="20"/>
                <w:szCs w:val="20"/>
                <w:color w:val="auto"/>
              </w:rPr>
            </w:pPr>
            <w:r>
              <w:rPr>
                <w:rFonts w:ascii="Arial" w:cs="Arial" w:eastAsia="Arial" w:hAnsi="Arial"/>
                <w:sz w:val="14"/>
                <w:szCs w:val="14"/>
                <w:color w:val="auto"/>
              </w:rPr>
              <w:t>Repurchases of common stock</w:t>
            </w:r>
          </w:p>
        </w:tc>
        <w:tc>
          <w:tcPr>
            <w:tcW w:w="84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(671)</w:t>
            </w:r>
          </w:p>
        </w:tc>
        <w:tc>
          <w:tcPr>
            <w:tcW w:w="960" w:type="dxa"/>
            <w:vAlign w:val="bottom"/>
            <w:tcBorders>
              <w:bottom w:val="single" w:sz="8" w:color="61656A"/>
            </w:tcBorders>
          </w:tcPr>
          <w:p>
            <w:pPr>
              <w:spacing w:after="0"/>
              <w:rPr>
                <w:sz w:val="17"/>
                <w:szCs w:val="17"/>
                <w:color w:val="auto"/>
              </w:rPr>
            </w:pPr>
          </w:p>
        </w:tc>
        <w:tc>
          <w:tcPr>
            <w:tcW w:w="5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(699)</w:t>
            </w:r>
          </w:p>
        </w:tc>
      </w:tr>
      <w:tr>
        <w:trPr>
          <w:trHeight w:val="196"/>
        </w:trPr>
        <w:tc>
          <w:tcPr>
            <w:tcW w:w="8320" w:type="dxa"/>
            <w:vAlign w:val="bottom"/>
            <w:tcBorders>
              <w:bottom w:val="single" w:sz="8" w:color="61656A"/>
            </w:tcBorders>
          </w:tcPr>
          <w:p>
            <w:pPr>
              <w:ind w:left="120"/>
              <w:spacing w:after="0"/>
              <w:rPr>
                <w:sz w:val="20"/>
                <w:szCs w:val="20"/>
                <w:color w:val="auto"/>
              </w:rPr>
            </w:pPr>
            <w:r>
              <w:rPr>
                <w:rFonts w:ascii="Arial" w:cs="Arial" w:eastAsia="Arial" w:hAnsi="Arial"/>
                <w:sz w:val="14"/>
                <w:szCs w:val="14"/>
                <w:color w:val="auto"/>
              </w:rPr>
              <w:t>Cash dividends paid</w:t>
            </w:r>
          </w:p>
        </w:tc>
        <w:tc>
          <w:tcPr>
            <w:tcW w:w="84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(703)</w:t>
            </w:r>
          </w:p>
        </w:tc>
        <w:tc>
          <w:tcPr>
            <w:tcW w:w="960" w:type="dxa"/>
            <w:vAlign w:val="bottom"/>
            <w:tcBorders>
              <w:bottom w:val="single" w:sz="8" w:color="61656A"/>
            </w:tcBorders>
          </w:tcPr>
          <w:p>
            <w:pPr>
              <w:spacing w:after="0"/>
              <w:rPr>
                <w:sz w:val="17"/>
                <w:szCs w:val="17"/>
                <w:color w:val="auto"/>
              </w:rPr>
            </w:pPr>
          </w:p>
        </w:tc>
        <w:tc>
          <w:tcPr>
            <w:tcW w:w="5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(725)</w:t>
            </w:r>
          </w:p>
        </w:tc>
      </w:tr>
      <w:tr>
        <w:trPr>
          <w:trHeight w:val="196"/>
        </w:trPr>
        <w:tc>
          <w:tcPr>
            <w:tcW w:w="8320" w:type="dxa"/>
            <w:vAlign w:val="bottom"/>
            <w:tcBorders>
              <w:bottom w:val="single" w:sz="8" w:color="D7282F"/>
            </w:tcBorders>
          </w:tcPr>
          <w:p>
            <w:pPr>
              <w:ind w:left="120"/>
              <w:spacing w:after="0"/>
              <w:rPr>
                <w:sz w:val="20"/>
                <w:szCs w:val="20"/>
                <w:color w:val="auto"/>
              </w:rPr>
            </w:pPr>
            <w:r>
              <w:rPr>
                <w:rFonts w:ascii="Arial" w:cs="Arial" w:eastAsia="Arial" w:hAnsi="Arial"/>
                <w:sz w:val="14"/>
                <w:szCs w:val="14"/>
                <w:color w:val="auto"/>
              </w:rPr>
              <w:t>Other</w:t>
            </w:r>
          </w:p>
        </w:tc>
        <w:tc>
          <w:tcPr>
            <w:tcW w:w="84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36</w:t>
            </w:r>
          </w:p>
        </w:tc>
        <w:tc>
          <w:tcPr>
            <w:tcW w:w="960" w:type="dxa"/>
            <w:vAlign w:val="bottom"/>
            <w:tcBorders>
              <w:bottom w:val="single" w:sz="8" w:color="D7282F"/>
            </w:tcBorders>
          </w:tcPr>
          <w:p>
            <w:pPr>
              <w:spacing w:after="0"/>
              <w:rPr>
                <w:sz w:val="17"/>
                <w:szCs w:val="17"/>
                <w:color w:val="auto"/>
              </w:rPr>
            </w:pPr>
          </w:p>
        </w:tc>
        <w:tc>
          <w:tcPr>
            <w:tcW w:w="5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(34)</w:t>
            </w:r>
          </w:p>
        </w:tc>
      </w:tr>
      <w:tr>
        <w:trPr>
          <w:trHeight w:val="199"/>
        </w:trPr>
        <w:tc>
          <w:tcPr>
            <w:tcW w:w="8320" w:type="dxa"/>
            <w:vAlign w:val="bottom"/>
            <w:tcBorders>
              <w:bottom w:val="single" w:sz="8" w:color="D7282F"/>
            </w:tcBorders>
          </w:tcPr>
          <w:p>
            <w:pPr>
              <w:ind w:left="460"/>
              <w:spacing w:after="0"/>
              <w:rPr>
                <w:sz w:val="20"/>
                <w:szCs w:val="20"/>
                <w:color w:val="auto"/>
              </w:rPr>
            </w:pPr>
            <w:r>
              <w:rPr>
                <w:rFonts w:ascii="Arial" w:cs="Arial" w:eastAsia="Arial" w:hAnsi="Arial"/>
                <w:sz w:val="14"/>
                <w:szCs w:val="14"/>
                <w:b w:val="1"/>
                <w:bCs w:val="1"/>
                <w:color w:val="auto"/>
              </w:rPr>
              <w:t>Net cash provided by (used for) financing activities</w:t>
            </w:r>
          </w:p>
        </w:tc>
        <w:tc>
          <w:tcPr>
            <w:tcW w:w="84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3,696</w:t>
            </w:r>
          </w:p>
        </w:tc>
        <w:tc>
          <w:tcPr>
            <w:tcW w:w="960" w:type="dxa"/>
            <w:vAlign w:val="bottom"/>
            <w:tcBorders>
              <w:bottom w:val="single" w:sz="8" w:color="D7282F"/>
            </w:tcBorders>
          </w:tcPr>
          <w:p>
            <w:pPr>
              <w:spacing w:after="0"/>
              <w:rPr>
                <w:sz w:val="17"/>
                <w:szCs w:val="17"/>
                <w:color w:val="auto"/>
              </w:rPr>
            </w:pPr>
          </w:p>
        </w:tc>
        <w:tc>
          <w:tcPr>
            <w:tcW w:w="5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(1,973)</w:t>
            </w:r>
          </w:p>
        </w:tc>
      </w:tr>
      <w:tr>
        <w:trPr>
          <w:trHeight w:val="193"/>
        </w:trPr>
        <w:tc>
          <w:tcPr>
            <w:tcW w:w="832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Effect of foreign exchange rate changes on cash and cash equivalents</w:t>
            </w:r>
          </w:p>
        </w:tc>
        <w:tc>
          <w:tcPr>
            <w:tcW w:w="840" w:type="dxa"/>
            <w:vAlign w:val="bottom"/>
            <w:tcBorders>
              <w:bottom w:val="single" w:sz="8" w:color="D7282F"/>
            </w:tcBorders>
          </w:tcPr>
          <w:p>
            <w:pPr>
              <w:spacing w:after="0"/>
              <w:rPr>
                <w:sz w:val="16"/>
                <w:szCs w:val="16"/>
                <w:color w:val="auto"/>
              </w:rPr>
            </w:pPr>
          </w:p>
        </w:tc>
        <w:tc>
          <w:tcPr>
            <w:tcW w:w="6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(40)</w:t>
            </w:r>
          </w:p>
        </w:tc>
        <w:tc>
          <w:tcPr>
            <w:tcW w:w="960" w:type="dxa"/>
            <w:vAlign w:val="bottom"/>
            <w:tcBorders>
              <w:bottom w:val="single" w:sz="8" w:color="D7282F"/>
            </w:tcBorders>
          </w:tcPr>
          <w:p>
            <w:pPr>
              <w:spacing w:after="0"/>
              <w:rPr>
                <w:sz w:val="16"/>
                <w:szCs w:val="16"/>
                <w:color w:val="auto"/>
              </w:rPr>
            </w:pPr>
          </w:p>
        </w:tc>
        <w:tc>
          <w:tcPr>
            <w:tcW w:w="5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28</w:t>
            </w:r>
          </w:p>
        </w:tc>
      </w:tr>
      <w:tr>
        <w:trPr>
          <w:trHeight w:val="199"/>
        </w:trPr>
        <w:tc>
          <w:tcPr>
            <w:tcW w:w="832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Net increase (decrease) in cash and cash equivalents</w:t>
            </w:r>
          </w:p>
        </w:tc>
        <w:tc>
          <w:tcPr>
            <w:tcW w:w="84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3,831</w:t>
            </w:r>
          </w:p>
        </w:tc>
        <w:tc>
          <w:tcPr>
            <w:tcW w:w="960" w:type="dxa"/>
            <w:vAlign w:val="bottom"/>
            <w:tcBorders>
              <w:bottom w:val="single" w:sz="8" w:color="D7282F"/>
            </w:tcBorders>
          </w:tcPr>
          <w:p>
            <w:pPr>
              <w:spacing w:after="0"/>
              <w:rPr>
                <w:sz w:val="17"/>
                <w:szCs w:val="17"/>
                <w:color w:val="auto"/>
              </w:rPr>
            </w:pPr>
          </w:p>
        </w:tc>
        <w:tc>
          <w:tcPr>
            <w:tcW w:w="5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(2,758)</w:t>
            </w:r>
          </w:p>
        </w:tc>
      </w:tr>
      <w:tr>
        <w:trPr>
          <w:trHeight w:val="196"/>
        </w:trPr>
        <w:tc>
          <w:tcPr>
            <w:tcW w:w="832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Cash and cash equivalents at beginning of period</w:t>
            </w:r>
          </w:p>
        </w:tc>
        <w:tc>
          <w:tcPr>
            <w:tcW w:w="84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7,925</w:t>
            </w:r>
          </w:p>
        </w:tc>
        <w:tc>
          <w:tcPr>
            <w:tcW w:w="960" w:type="dxa"/>
            <w:vAlign w:val="bottom"/>
            <w:tcBorders>
              <w:bottom w:val="single" w:sz="8" w:color="D7282F"/>
            </w:tcBorders>
          </w:tcPr>
          <w:p>
            <w:pPr>
              <w:spacing w:after="0"/>
              <w:rPr>
                <w:sz w:val="17"/>
                <w:szCs w:val="17"/>
                <w:color w:val="auto"/>
              </w:rPr>
            </w:pPr>
          </w:p>
        </w:tc>
        <w:tc>
          <w:tcPr>
            <w:tcW w:w="5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9,627</w:t>
            </w:r>
          </w:p>
        </w:tc>
      </w:tr>
      <w:tr>
        <w:trPr>
          <w:trHeight w:val="196"/>
        </w:trPr>
        <w:tc>
          <w:tcPr>
            <w:tcW w:w="832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Cash and cash equivalents at end of period</w:t>
            </w:r>
          </w:p>
        </w:tc>
        <w:tc>
          <w:tcPr>
            <w:tcW w:w="840" w:type="dxa"/>
            <w:vAlign w:val="bottom"/>
            <w:tcBorders>
              <w:bottom w:val="single" w:sz="8" w:color="D7282F"/>
            </w:tcBorders>
          </w:tcPr>
          <w:p>
            <w:pPr>
              <w:jc w:val="right"/>
              <w:ind w:right="688"/>
              <w:spacing w:after="0"/>
              <w:rPr>
                <w:sz w:val="20"/>
                <w:szCs w:val="20"/>
                <w:color w:val="auto"/>
              </w:rPr>
            </w:pPr>
            <w:r>
              <w:rPr>
                <w:rFonts w:ascii="Arial" w:cs="Arial" w:eastAsia="Arial" w:hAnsi="Arial"/>
                <w:sz w:val="14"/>
                <w:szCs w:val="14"/>
                <w:b w:val="1"/>
                <w:bCs w:val="1"/>
                <w:color w:val="auto"/>
                <w:w w:val="76"/>
              </w:rPr>
              <w:t>$</w:t>
            </w:r>
          </w:p>
        </w:tc>
        <w:tc>
          <w:tcPr>
            <w:tcW w:w="6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w w:val="97"/>
              </w:rPr>
              <w:t>11,756</w:t>
            </w:r>
          </w:p>
        </w:tc>
        <w:tc>
          <w:tcPr>
            <w:tcW w:w="960" w:type="dxa"/>
            <w:vAlign w:val="bottom"/>
            <w:tcBorders>
              <w:bottom w:val="single" w:sz="8" w:color="D7282F"/>
            </w:tcBorders>
          </w:tcPr>
          <w:p>
            <w:pPr>
              <w:jc w:val="right"/>
              <w:ind w:right="688"/>
              <w:spacing w:after="0"/>
              <w:rPr>
                <w:sz w:val="20"/>
                <w:szCs w:val="20"/>
                <w:color w:val="auto"/>
              </w:rPr>
            </w:pPr>
            <w:r>
              <w:rPr>
                <w:rFonts w:ascii="Arial" w:cs="Arial" w:eastAsia="Arial" w:hAnsi="Arial"/>
                <w:sz w:val="14"/>
                <w:szCs w:val="14"/>
                <w:b w:val="1"/>
                <w:bCs w:val="1"/>
                <w:color w:val="auto"/>
              </w:rPr>
              <w:t>$</w:t>
            </w:r>
          </w:p>
        </w:tc>
        <w:tc>
          <w:tcPr>
            <w:tcW w:w="5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6,869</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Notes to Consolidated Financial Statements are an integral part of this statement.</w:t>
      </w:r>
    </w:p>
    <w:p>
      <w:pPr>
        <w:spacing w:after="0" w:line="200" w:lineRule="exact"/>
        <w:rPr>
          <w:sz w:val="20"/>
          <w:szCs w:val="20"/>
          <w:color w:val="auto"/>
        </w:rPr>
      </w:pPr>
    </w:p>
    <w:p>
      <w:pPr>
        <w:spacing w:after="0" w:line="293" w:lineRule="exact"/>
        <w:rPr>
          <w:sz w:val="20"/>
          <w:szCs w:val="20"/>
          <w:color w:val="auto"/>
        </w:rPr>
      </w:pPr>
    </w:p>
    <w:p>
      <w:pPr>
        <w:ind w:left="300" w:hanging="292"/>
        <w:spacing w:after="0"/>
        <w:tabs>
          <w:tab w:leader="none" w:pos="300" w:val="left"/>
        </w:tabs>
        <w:numPr>
          <w:ilvl w:val="0"/>
          <w:numId w:val="8"/>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 OF SHAREOWNERS' EQUITY</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196"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7480" w:type="dxa"/>
            <w:vAlign w:val="bottom"/>
          </w:tcPr>
          <w:p>
            <w:pPr>
              <w:spacing w:after="0"/>
              <w:rPr>
                <w:sz w:val="17"/>
                <w:szCs w:val="17"/>
                <w:color w:val="auto"/>
              </w:rPr>
            </w:pPr>
          </w:p>
        </w:tc>
        <w:tc>
          <w:tcPr>
            <w:tcW w:w="3100" w:type="dxa"/>
            <w:vAlign w:val="bottom"/>
            <w:tcBorders>
              <w:bottom w:val="single" w:sz="8" w:color="D7282F"/>
            </w:tcBorders>
            <w:gridSpan w:val="3"/>
          </w:tcPr>
          <w:p>
            <w:pPr>
              <w:jc w:val="right"/>
              <w:ind w:right="108"/>
              <w:spacing w:after="0"/>
              <w:rPr>
                <w:sz w:val="20"/>
                <w:szCs w:val="20"/>
                <w:color w:val="auto"/>
              </w:rPr>
            </w:pPr>
            <w:r>
              <w:rPr>
                <w:rFonts w:ascii="Arial" w:cs="Arial" w:eastAsia="Arial" w:hAnsi="Arial"/>
                <w:sz w:val="14"/>
                <w:szCs w:val="14"/>
                <w:b w:val="1"/>
                <w:bCs w:val="1"/>
                <w:color w:val="auto"/>
              </w:rPr>
              <w:t>Three Months Ended March 31,</w:t>
            </w:r>
          </w:p>
        </w:tc>
        <w:tc>
          <w:tcPr>
            <w:tcW w:w="620" w:type="dxa"/>
            <w:vAlign w:val="bottom"/>
            <w:tcBorders>
              <w:bottom w:val="single" w:sz="8" w:color="D7282F"/>
            </w:tcBorders>
          </w:tcPr>
          <w:p>
            <w:pPr>
              <w:spacing w:after="0"/>
              <w:rPr>
                <w:sz w:val="17"/>
                <w:szCs w:val="17"/>
                <w:color w:val="auto"/>
              </w:rPr>
            </w:pPr>
          </w:p>
        </w:tc>
      </w:tr>
      <w:tr>
        <w:trPr>
          <w:trHeight w:val="237"/>
        </w:trPr>
        <w:tc>
          <w:tcPr>
            <w:tcW w:w="7480" w:type="dxa"/>
            <w:vAlign w:val="bottom"/>
          </w:tcPr>
          <w:p>
            <w:pPr>
              <w:spacing w:after="0"/>
              <w:rPr>
                <w:sz w:val="20"/>
                <w:szCs w:val="20"/>
                <w:color w:val="auto"/>
              </w:rPr>
            </w:pPr>
          </w:p>
        </w:tc>
        <w:tc>
          <w:tcPr>
            <w:tcW w:w="114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2024</w:t>
            </w:r>
          </w:p>
        </w:tc>
        <w:tc>
          <w:tcPr>
            <w:tcW w:w="780" w:type="dxa"/>
            <w:vAlign w:val="bottom"/>
            <w:tcBorders>
              <w:bottom w:val="single" w:sz="8" w:color="D7282F"/>
            </w:tcBorders>
          </w:tcPr>
          <w:p>
            <w:pPr>
              <w:spacing w:after="0"/>
              <w:rPr>
                <w:sz w:val="20"/>
                <w:szCs w:val="20"/>
                <w:color w:val="auto"/>
              </w:rPr>
            </w:pPr>
          </w:p>
        </w:tc>
        <w:tc>
          <w:tcPr>
            <w:tcW w:w="118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2023</w:t>
            </w:r>
          </w:p>
        </w:tc>
        <w:tc>
          <w:tcPr>
            <w:tcW w:w="620" w:type="dxa"/>
            <w:vAlign w:val="bottom"/>
            <w:tcBorders>
              <w:bottom w:val="single" w:sz="8" w:color="D7282F"/>
            </w:tcBorders>
          </w:tcPr>
          <w:p>
            <w:pPr>
              <w:spacing w:after="0"/>
              <w:rPr>
                <w:sz w:val="20"/>
                <w:szCs w:val="20"/>
                <w:color w:val="auto"/>
              </w:rPr>
            </w:pPr>
          </w:p>
        </w:tc>
      </w:tr>
      <w:tr>
        <w:trPr>
          <w:trHeight w:val="236"/>
        </w:trPr>
        <w:tc>
          <w:tcPr>
            <w:tcW w:w="7480" w:type="dxa"/>
            <w:vAlign w:val="bottom"/>
          </w:tcPr>
          <w:p>
            <w:pPr>
              <w:spacing w:after="0"/>
              <w:rPr>
                <w:sz w:val="20"/>
                <w:szCs w:val="20"/>
                <w:color w:val="auto"/>
              </w:rPr>
            </w:pPr>
          </w:p>
        </w:tc>
        <w:tc>
          <w:tcPr>
            <w:tcW w:w="1140" w:type="dxa"/>
            <w:vAlign w:val="bottom"/>
            <w:tcBorders>
              <w:bottom w:val="single" w:sz="8" w:color="D7282F"/>
            </w:tcBorders>
          </w:tcPr>
          <w:p>
            <w:pPr>
              <w:jc w:val="right"/>
              <w:ind w:right="448"/>
              <w:spacing w:after="0"/>
              <w:rPr>
                <w:sz w:val="20"/>
                <w:szCs w:val="20"/>
                <w:color w:val="auto"/>
              </w:rPr>
            </w:pPr>
            <w:r>
              <w:rPr>
                <w:rFonts w:ascii="Arial" w:cs="Arial" w:eastAsia="Arial" w:hAnsi="Arial"/>
                <w:sz w:val="14"/>
                <w:szCs w:val="14"/>
                <w:b w:val="1"/>
                <w:bCs w:val="1"/>
                <w:color w:val="auto"/>
              </w:rPr>
              <w:t>Shares</w:t>
            </w:r>
          </w:p>
        </w:tc>
        <w:tc>
          <w:tcPr>
            <w:tcW w:w="780" w:type="dxa"/>
            <w:vAlign w:val="bottom"/>
            <w:tcBorders>
              <w:bottom w:val="single" w:sz="8" w:color="D7282F"/>
            </w:tcBorders>
          </w:tcPr>
          <w:p>
            <w:pPr>
              <w:jc w:val="right"/>
              <w:ind w:right="448"/>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D7282F"/>
            </w:tcBorders>
          </w:tcPr>
          <w:p>
            <w:pPr>
              <w:jc w:val="right"/>
              <w:ind w:right="448"/>
              <w:spacing w:after="0"/>
              <w:rPr>
                <w:sz w:val="20"/>
                <w:szCs w:val="20"/>
                <w:color w:val="auto"/>
              </w:rPr>
            </w:pPr>
            <w:r>
              <w:rPr>
                <w:rFonts w:ascii="Arial" w:cs="Arial" w:eastAsia="Arial" w:hAnsi="Arial"/>
                <w:sz w:val="14"/>
                <w:szCs w:val="14"/>
                <w:b w:val="1"/>
                <w:bCs w:val="1"/>
                <w:color w:val="auto"/>
              </w:rPr>
              <w:t>Shares</w:t>
            </w:r>
          </w:p>
        </w:tc>
        <w:tc>
          <w:tcPr>
            <w:tcW w:w="62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w:t>
            </w:r>
          </w:p>
        </w:tc>
      </w:tr>
      <w:tr>
        <w:trPr>
          <w:trHeight w:val="196"/>
        </w:trPr>
        <w:tc>
          <w:tcPr>
            <w:tcW w:w="7480" w:type="dxa"/>
            <w:vAlign w:val="bottom"/>
            <w:tcBorders>
              <w:bottom w:val="single" w:sz="8" w:color="D7282F"/>
            </w:tcBorders>
          </w:tcPr>
          <w:p>
            <w:pPr>
              <w:spacing w:after="0"/>
              <w:rPr>
                <w:sz w:val="17"/>
                <w:szCs w:val="17"/>
                <w:color w:val="auto"/>
              </w:rPr>
            </w:pPr>
          </w:p>
        </w:tc>
        <w:tc>
          <w:tcPr>
            <w:tcW w:w="3720" w:type="dxa"/>
            <w:vAlign w:val="bottom"/>
            <w:tcBorders>
              <w:bottom w:val="single" w:sz="8" w:color="D7282F"/>
            </w:tcBorders>
            <w:gridSpan w:val="4"/>
          </w:tcPr>
          <w:p>
            <w:pPr>
              <w:jc w:val="right"/>
              <w:ind w:right="448"/>
              <w:spacing w:after="0"/>
              <w:rPr>
                <w:sz w:val="20"/>
                <w:szCs w:val="20"/>
                <w:color w:val="auto"/>
              </w:rPr>
            </w:pPr>
            <w:r>
              <w:rPr>
                <w:rFonts w:ascii="Arial" w:cs="Arial" w:eastAsia="Arial" w:hAnsi="Arial"/>
                <w:sz w:val="14"/>
                <w:szCs w:val="14"/>
                <w:b w:val="1"/>
                <w:bCs w:val="1"/>
                <w:color w:val="auto"/>
              </w:rPr>
              <w:t>(In millions, except per share amounts)</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Common stock, par value</w:t>
            </w:r>
          </w:p>
        </w:tc>
        <w:tc>
          <w:tcPr>
            <w:tcW w:w="1140" w:type="dxa"/>
            <w:vAlign w:val="bottom"/>
            <w:tcBorders>
              <w:bottom w:val="single" w:sz="8" w:color="61656A"/>
            </w:tcBorders>
          </w:tcPr>
          <w:p>
            <w:pPr>
              <w:jc w:val="right"/>
              <w:ind w:right="388"/>
              <w:spacing w:after="0"/>
              <w:rPr>
                <w:sz w:val="20"/>
                <w:szCs w:val="20"/>
                <w:color w:val="auto"/>
              </w:rPr>
            </w:pPr>
            <w:r>
              <w:rPr>
                <w:rFonts w:ascii="Arial" w:cs="Arial" w:eastAsia="Arial" w:hAnsi="Arial"/>
                <w:sz w:val="14"/>
                <w:szCs w:val="14"/>
                <w:color w:val="auto"/>
              </w:rPr>
              <w:t>957.6</w:t>
            </w:r>
          </w:p>
        </w:tc>
        <w:tc>
          <w:tcPr>
            <w:tcW w:w="78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958</w:t>
            </w:r>
          </w:p>
        </w:tc>
        <w:tc>
          <w:tcPr>
            <w:tcW w:w="1180" w:type="dxa"/>
            <w:vAlign w:val="bottom"/>
            <w:tcBorders>
              <w:bottom w:val="single" w:sz="8" w:color="61656A"/>
            </w:tcBorders>
          </w:tcPr>
          <w:p>
            <w:pPr>
              <w:jc w:val="right"/>
              <w:ind w:right="368"/>
              <w:spacing w:after="0"/>
              <w:rPr>
                <w:sz w:val="20"/>
                <w:szCs w:val="20"/>
                <w:color w:val="auto"/>
              </w:rPr>
            </w:pPr>
            <w:r>
              <w:rPr>
                <w:rFonts w:ascii="Arial" w:cs="Arial" w:eastAsia="Arial" w:hAnsi="Arial"/>
                <w:sz w:val="14"/>
                <w:szCs w:val="14"/>
                <w:color w:val="auto"/>
              </w:rPr>
              <w:t>957.6</w:t>
            </w: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958</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Additional paid-in capital</w:t>
            </w:r>
          </w:p>
        </w:tc>
        <w:tc>
          <w:tcPr>
            <w:tcW w:w="114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spacing w:after="0"/>
              <w:rPr>
                <w:sz w:val="17"/>
                <w:szCs w:val="17"/>
                <w:color w:val="auto"/>
              </w:rPr>
            </w:pPr>
          </w:p>
        </w:tc>
        <w:tc>
          <w:tcPr>
            <w:tcW w:w="118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spacing w:after="0"/>
              <w:rPr>
                <w:sz w:val="17"/>
                <w:szCs w:val="17"/>
                <w:color w:val="auto"/>
              </w:rPr>
            </w:pPr>
          </w:p>
        </w:tc>
      </w:tr>
      <w:tr>
        <w:trPr>
          <w:trHeight w:val="193"/>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Beginning balance</w:t>
            </w:r>
          </w:p>
        </w:tc>
        <w:tc>
          <w:tcPr>
            <w:tcW w:w="114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9,062</w:t>
            </w:r>
          </w:p>
        </w:tc>
        <w:tc>
          <w:tcPr>
            <w:tcW w:w="1180" w:type="dxa"/>
            <w:vAlign w:val="bottom"/>
            <w:tcBorders>
              <w:bottom w:val="single" w:sz="8" w:color="61656A"/>
            </w:tcBorders>
          </w:tcPr>
          <w:p>
            <w:pPr>
              <w:spacing w:after="0"/>
              <w:rPr>
                <w:sz w:val="16"/>
                <w:szCs w:val="16"/>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8,564</w:t>
            </w:r>
          </w:p>
        </w:tc>
      </w:tr>
      <w:tr>
        <w:trPr>
          <w:trHeight w:val="196"/>
        </w:trPr>
        <w:tc>
          <w:tcPr>
            <w:tcW w:w="7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Issued for employee savings and option plans</w:t>
            </w:r>
          </w:p>
        </w:tc>
        <w:tc>
          <w:tcPr>
            <w:tcW w:w="114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202</w:t>
            </w:r>
          </w:p>
        </w:tc>
        <w:tc>
          <w:tcPr>
            <w:tcW w:w="118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151</w:t>
            </w:r>
          </w:p>
        </w:tc>
      </w:tr>
      <w:tr>
        <w:trPr>
          <w:trHeight w:val="196"/>
        </w:trPr>
        <w:tc>
          <w:tcPr>
            <w:tcW w:w="7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Stock compensation expense</w:t>
            </w:r>
          </w:p>
        </w:tc>
        <w:tc>
          <w:tcPr>
            <w:tcW w:w="114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53</w:t>
            </w:r>
          </w:p>
        </w:tc>
        <w:tc>
          <w:tcPr>
            <w:tcW w:w="118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59</w:t>
            </w:r>
          </w:p>
        </w:tc>
      </w:tr>
      <w:tr>
        <w:trPr>
          <w:trHeight w:val="196"/>
        </w:trPr>
        <w:tc>
          <w:tcPr>
            <w:tcW w:w="7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Impact of Quantinuum contribution</w:t>
            </w:r>
          </w:p>
        </w:tc>
        <w:tc>
          <w:tcPr>
            <w:tcW w:w="114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36</w:t>
            </w:r>
          </w:p>
        </w:tc>
        <w:tc>
          <w:tcPr>
            <w:tcW w:w="118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r>
      <w:tr>
        <w:trPr>
          <w:trHeight w:val="199"/>
        </w:trPr>
        <w:tc>
          <w:tcPr>
            <w:tcW w:w="74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Ending balance</w:t>
            </w:r>
          </w:p>
        </w:tc>
        <w:tc>
          <w:tcPr>
            <w:tcW w:w="114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9,353</w:t>
            </w:r>
          </w:p>
        </w:tc>
        <w:tc>
          <w:tcPr>
            <w:tcW w:w="118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8,774</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Treasury stock</w:t>
            </w:r>
          </w:p>
        </w:tc>
        <w:tc>
          <w:tcPr>
            <w:tcW w:w="114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spacing w:after="0"/>
              <w:rPr>
                <w:sz w:val="17"/>
                <w:szCs w:val="17"/>
                <w:color w:val="auto"/>
              </w:rPr>
            </w:pPr>
          </w:p>
        </w:tc>
        <w:tc>
          <w:tcPr>
            <w:tcW w:w="118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spacing w:after="0"/>
              <w:rPr>
                <w:sz w:val="17"/>
                <w:szCs w:val="17"/>
                <w:color w:val="auto"/>
              </w:rPr>
            </w:pPr>
          </w:p>
        </w:tc>
      </w:tr>
      <w:tr>
        <w:trPr>
          <w:trHeight w:val="193"/>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Beginning balance</w:t>
            </w:r>
          </w:p>
        </w:tc>
        <w:tc>
          <w:tcPr>
            <w:tcW w:w="1140" w:type="dxa"/>
            <w:vAlign w:val="bottom"/>
            <w:tcBorders>
              <w:bottom w:val="single" w:sz="8" w:color="61656A"/>
            </w:tcBorders>
          </w:tcPr>
          <w:p>
            <w:pPr>
              <w:jc w:val="right"/>
              <w:ind w:right="348"/>
              <w:spacing w:after="0"/>
              <w:rPr>
                <w:sz w:val="20"/>
                <w:szCs w:val="20"/>
                <w:color w:val="auto"/>
              </w:rPr>
            </w:pPr>
            <w:r>
              <w:rPr>
                <w:rFonts w:ascii="Arial" w:cs="Arial" w:eastAsia="Arial" w:hAnsi="Arial"/>
                <w:sz w:val="14"/>
                <w:szCs w:val="14"/>
                <w:color w:val="auto"/>
              </w:rPr>
              <w:t>(305.8)</w:t>
            </w:r>
          </w:p>
        </w:tc>
        <w:tc>
          <w:tcPr>
            <w:tcW w:w="780" w:type="dxa"/>
            <w:vAlign w:val="bottom"/>
            <w:tcBorders>
              <w:bottom w:val="single" w:sz="8" w:color="61656A"/>
            </w:tcBorders>
          </w:tcPr>
          <w:p>
            <w:pPr>
              <w:jc w:val="right"/>
              <w:ind w:right="128"/>
              <w:spacing w:after="0"/>
              <w:rPr>
                <w:sz w:val="20"/>
                <w:szCs w:val="20"/>
                <w:color w:val="auto"/>
              </w:rPr>
            </w:pPr>
            <w:r>
              <w:rPr>
                <w:rFonts w:ascii="Arial" w:cs="Arial" w:eastAsia="Arial" w:hAnsi="Arial"/>
                <w:sz w:val="14"/>
                <w:szCs w:val="14"/>
                <w:color w:val="auto"/>
              </w:rPr>
              <w:t>(38,008)</w:t>
            </w:r>
          </w:p>
        </w:tc>
        <w:tc>
          <w:tcPr>
            <w:tcW w:w="1180" w:type="dxa"/>
            <w:vAlign w:val="bottom"/>
            <w:tcBorders>
              <w:bottom w:val="single" w:sz="8" w:color="61656A"/>
            </w:tcBorders>
          </w:tcPr>
          <w:p>
            <w:pPr>
              <w:jc w:val="right"/>
              <w:ind w:right="328"/>
              <w:spacing w:after="0"/>
              <w:rPr>
                <w:sz w:val="20"/>
                <w:szCs w:val="20"/>
                <w:color w:val="auto"/>
              </w:rPr>
            </w:pPr>
            <w:r>
              <w:rPr>
                <w:rFonts w:ascii="Arial" w:cs="Arial" w:eastAsia="Arial" w:hAnsi="Arial"/>
                <w:sz w:val="14"/>
                <w:szCs w:val="14"/>
                <w:color w:val="auto"/>
              </w:rPr>
              <w:t>(290.0)</w:t>
            </w: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(34,443)</w:t>
            </w:r>
          </w:p>
        </w:tc>
      </w:tr>
      <w:tr>
        <w:trPr>
          <w:trHeight w:val="196"/>
        </w:trPr>
        <w:tc>
          <w:tcPr>
            <w:tcW w:w="7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Reacquired stock or repurchases of common stock</w:t>
            </w:r>
          </w:p>
        </w:tc>
        <w:tc>
          <w:tcPr>
            <w:tcW w:w="1140" w:type="dxa"/>
            <w:vAlign w:val="bottom"/>
            <w:tcBorders>
              <w:bottom w:val="single" w:sz="8" w:color="61656A"/>
            </w:tcBorders>
          </w:tcPr>
          <w:p>
            <w:pPr>
              <w:jc w:val="right"/>
              <w:ind w:right="348"/>
              <w:spacing w:after="0"/>
              <w:rPr>
                <w:sz w:val="20"/>
                <w:szCs w:val="20"/>
                <w:color w:val="auto"/>
              </w:rPr>
            </w:pPr>
            <w:r>
              <w:rPr>
                <w:rFonts w:ascii="Arial" w:cs="Arial" w:eastAsia="Arial" w:hAnsi="Arial"/>
                <w:sz w:val="14"/>
                <w:szCs w:val="14"/>
                <w:color w:val="auto"/>
              </w:rPr>
              <w:t>(3.4)</w:t>
            </w:r>
          </w:p>
        </w:tc>
        <w:tc>
          <w:tcPr>
            <w:tcW w:w="780" w:type="dxa"/>
            <w:vAlign w:val="bottom"/>
            <w:tcBorders>
              <w:bottom w:val="single" w:sz="8" w:color="61656A"/>
            </w:tcBorders>
          </w:tcPr>
          <w:p>
            <w:pPr>
              <w:jc w:val="right"/>
              <w:ind w:right="128"/>
              <w:spacing w:after="0"/>
              <w:rPr>
                <w:sz w:val="20"/>
                <w:szCs w:val="20"/>
                <w:color w:val="auto"/>
              </w:rPr>
            </w:pPr>
            <w:r>
              <w:rPr>
                <w:rFonts w:ascii="Arial" w:cs="Arial" w:eastAsia="Arial" w:hAnsi="Arial"/>
                <w:sz w:val="14"/>
                <w:szCs w:val="14"/>
                <w:color w:val="auto"/>
              </w:rPr>
              <w:t>(671)</w:t>
            </w:r>
          </w:p>
        </w:tc>
        <w:tc>
          <w:tcPr>
            <w:tcW w:w="1180" w:type="dxa"/>
            <w:vAlign w:val="bottom"/>
            <w:tcBorders>
              <w:bottom w:val="single" w:sz="8" w:color="61656A"/>
            </w:tcBorders>
          </w:tcPr>
          <w:p>
            <w:pPr>
              <w:jc w:val="right"/>
              <w:ind w:right="328"/>
              <w:spacing w:after="0"/>
              <w:rPr>
                <w:sz w:val="20"/>
                <w:szCs w:val="20"/>
                <w:color w:val="auto"/>
              </w:rPr>
            </w:pPr>
            <w:r>
              <w:rPr>
                <w:rFonts w:ascii="Arial" w:cs="Arial" w:eastAsia="Arial" w:hAnsi="Arial"/>
                <w:sz w:val="14"/>
                <w:szCs w:val="14"/>
                <w:color w:val="auto"/>
              </w:rPr>
              <w:t>(3.5)</w:t>
            </w: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(699)</w:t>
            </w:r>
          </w:p>
        </w:tc>
      </w:tr>
      <w:tr>
        <w:trPr>
          <w:trHeight w:val="196"/>
        </w:trPr>
        <w:tc>
          <w:tcPr>
            <w:tcW w:w="7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Issued for employee savings and option plans</w:t>
            </w:r>
          </w:p>
        </w:tc>
        <w:tc>
          <w:tcPr>
            <w:tcW w:w="114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color w:val="auto"/>
              </w:rPr>
              <w:t>2.8</w:t>
            </w:r>
          </w:p>
        </w:tc>
        <w:tc>
          <w:tcPr>
            <w:tcW w:w="78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135</w:t>
            </w:r>
          </w:p>
        </w:tc>
        <w:tc>
          <w:tcPr>
            <w:tcW w:w="118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color w:val="auto"/>
              </w:rPr>
              <w:t>1.6</w:t>
            </w: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70</w:t>
            </w:r>
          </w:p>
        </w:tc>
      </w:tr>
      <w:tr>
        <w:trPr>
          <w:trHeight w:val="199"/>
        </w:trPr>
        <w:tc>
          <w:tcPr>
            <w:tcW w:w="74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Ending balance</w:t>
            </w:r>
          </w:p>
        </w:tc>
        <w:tc>
          <w:tcPr>
            <w:tcW w:w="1140" w:type="dxa"/>
            <w:vAlign w:val="bottom"/>
            <w:tcBorders>
              <w:bottom w:val="single" w:sz="8" w:color="D7282F"/>
            </w:tcBorders>
          </w:tcPr>
          <w:p>
            <w:pPr>
              <w:jc w:val="right"/>
              <w:ind w:right="348"/>
              <w:spacing w:after="0"/>
              <w:rPr>
                <w:sz w:val="20"/>
                <w:szCs w:val="20"/>
                <w:color w:val="auto"/>
              </w:rPr>
            </w:pPr>
            <w:r>
              <w:rPr>
                <w:rFonts w:ascii="Arial" w:cs="Arial" w:eastAsia="Arial" w:hAnsi="Arial"/>
                <w:sz w:val="14"/>
                <w:szCs w:val="14"/>
                <w:b w:val="1"/>
                <w:bCs w:val="1"/>
                <w:color w:val="auto"/>
              </w:rPr>
              <w:t>(306.4)</w:t>
            </w:r>
          </w:p>
        </w:tc>
        <w:tc>
          <w:tcPr>
            <w:tcW w:w="78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b w:val="1"/>
                <w:bCs w:val="1"/>
                <w:color w:val="auto"/>
              </w:rPr>
              <w:t>(38,544)</w:t>
            </w:r>
          </w:p>
        </w:tc>
        <w:tc>
          <w:tcPr>
            <w:tcW w:w="1180" w:type="dxa"/>
            <w:vAlign w:val="bottom"/>
            <w:tcBorders>
              <w:bottom w:val="single" w:sz="8" w:color="D7282F"/>
            </w:tcBorders>
          </w:tcPr>
          <w:p>
            <w:pPr>
              <w:jc w:val="right"/>
              <w:ind w:right="328"/>
              <w:spacing w:after="0"/>
              <w:rPr>
                <w:sz w:val="20"/>
                <w:szCs w:val="20"/>
                <w:color w:val="auto"/>
              </w:rPr>
            </w:pPr>
            <w:r>
              <w:rPr>
                <w:rFonts w:ascii="Arial" w:cs="Arial" w:eastAsia="Arial" w:hAnsi="Arial"/>
                <w:sz w:val="14"/>
                <w:szCs w:val="14"/>
                <w:b w:val="1"/>
                <w:bCs w:val="1"/>
                <w:color w:val="auto"/>
              </w:rPr>
              <w:t>(291.9)</w:t>
            </w: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(35,072)</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Retained earnings</w:t>
            </w:r>
          </w:p>
        </w:tc>
        <w:tc>
          <w:tcPr>
            <w:tcW w:w="114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spacing w:after="0"/>
              <w:rPr>
                <w:sz w:val="17"/>
                <w:szCs w:val="17"/>
                <w:color w:val="auto"/>
              </w:rPr>
            </w:pPr>
          </w:p>
        </w:tc>
        <w:tc>
          <w:tcPr>
            <w:tcW w:w="118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spacing w:after="0"/>
              <w:rPr>
                <w:sz w:val="17"/>
                <w:szCs w:val="17"/>
                <w:color w:val="auto"/>
              </w:rPr>
            </w:pPr>
          </w:p>
        </w:tc>
      </w:tr>
      <w:tr>
        <w:trPr>
          <w:trHeight w:val="193"/>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Beginning balance</w:t>
            </w:r>
          </w:p>
        </w:tc>
        <w:tc>
          <w:tcPr>
            <w:tcW w:w="114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47,979</w:t>
            </w:r>
          </w:p>
        </w:tc>
        <w:tc>
          <w:tcPr>
            <w:tcW w:w="1180" w:type="dxa"/>
            <w:vAlign w:val="bottom"/>
            <w:tcBorders>
              <w:bottom w:val="single" w:sz="8" w:color="61656A"/>
            </w:tcBorders>
          </w:tcPr>
          <w:p>
            <w:pPr>
              <w:spacing w:after="0"/>
              <w:rPr>
                <w:sz w:val="16"/>
                <w:szCs w:val="16"/>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45,093</w:t>
            </w:r>
          </w:p>
        </w:tc>
      </w:tr>
      <w:tr>
        <w:trPr>
          <w:trHeight w:val="196"/>
        </w:trPr>
        <w:tc>
          <w:tcPr>
            <w:tcW w:w="7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Net income attributable to Honeywell</w:t>
            </w:r>
          </w:p>
        </w:tc>
        <w:tc>
          <w:tcPr>
            <w:tcW w:w="114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1,463</w:t>
            </w:r>
          </w:p>
        </w:tc>
        <w:tc>
          <w:tcPr>
            <w:tcW w:w="118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1,394</w:t>
            </w:r>
          </w:p>
        </w:tc>
      </w:tr>
      <w:tr>
        <w:trPr>
          <w:trHeight w:val="196"/>
        </w:trPr>
        <w:tc>
          <w:tcPr>
            <w:tcW w:w="7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Dividends on common stock</w:t>
            </w:r>
          </w:p>
        </w:tc>
        <w:tc>
          <w:tcPr>
            <w:tcW w:w="114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color w:val="auto"/>
              </w:rPr>
              <w:t>(707)</w:t>
            </w:r>
          </w:p>
        </w:tc>
        <w:tc>
          <w:tcPr>
            <w:tcW w:w="118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(690)</w:t>
            </w:r>
          </w:p>
        </w:tc>
      </w:tr>
      <w:tr>
        <w:trPr>
          <w:trHeight w:val="199"/>
        </w:trPr>
        <w:tc>
          <w:tcPr>
            <w:tcW w:w="74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Ending balance</w:t>
            </w:r>
          </w:p>
        </w:tc>
        <w:tc>
          <w:tcPr>
            <w:tcW w:w="114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48,735</w:t>
            </w:r>
          </w:p>
        </w:tc>
        <w:tc>
          <w:tcPr>
            <w:tcW w:w="118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45,797</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Accumulated other comprehensive income (loss)</w:t>
            </w:r>
          </w:p>
        </w:tc>
        <w:tc>
          <w:tcPr>
            <w:tcW w:w="114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spacing w:after="0"/>
              <w:rPr>
                <w:sz w:val="17"/>
                <w:szCs w:val="17"/>
                <w:color w:val="auto"/>
              </w:rPr>
            </w:pPr>
          </w:p>
        </w:tc>
        <w:tc>
          <w:tcPr>
            <w:tcW w:w="118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spacing w:after="0"/>
              <w:rPr>
                <w:sz w:val="17"/>
                <w:szCs w:val="17"/>
                <w:color w:val="auto"/>
              </w:rPr>
            </w:pPr>
          </w:p>
        </w:tc>
      </w:tr>
      <w:tr>
        <w:trPr>
          <w:trHeight w:val="193"/>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Beginning balance</w:t>
            </w:r>
          </w:p>
        </w:tc>
        <w:tc>
          <w:tcPr>
            <w:tcW w:w="114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jc w:val="right"/>
              <w:ind w:right="128"/>
              <w:spacing w:after="0"/>
              <w:rPr>
                <w:sz w:val="20"/>
                <w:szCs w:val="20"/>
                <w:color w:val="auto"/>
              </w:rPr>
            </w:pPr>
            <w:r>
              <w:rPr>
                <w:rFonts w:ascii="Arial" w:cs="Arial" w:eastAsia="Arial" w:hAnsi="Arial"/>
                <w:sz w:val="14"/>
                <w:szCs w:val="14"/>
                <w:color w:val="auto"/>
              </w:rPr>
              <w:t>(4,135)</w:t>
            </w:r>
          </w:p>
        </w:tc>
        <w:tc>
          <w:tcPr>
            <w:tcW w:w="1180" w:type="dxa"/>
            <w:vAlign w:val="bottom"/>
            <w:tcBorders>
              <w:bottom w:val="single" w:sz="8" w:color="61656A"/>
            </w:tcBorders>
          </w:tcPr>
          <w:p>
            <w:pPr>
              <w:spacing w:after="0"/>
              <w:rPr>
                <w:sz w:val="16"/>
                <w:szCs w:val="16"/>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(3,475)</w:t>
            </w:r>
          </w:p>
        </w:tc>
      </w:tr>
      <w:tr>
        <w:trPr>
          <w:trHeight w:val="196"/>
        </w:trPr>
        <w:tc>
          <w:tcPr>
            <w:tcW w:w="7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Foreign exchange translation adjustment</w:t>
            </w:r>
          </w:p>
        </w:tc>
        <w:tc>
          <w:tcPr>
            <w:tcW w:w="114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78</w:t>
            </w:r>
          </w:p>
        </w:tc>
        <w:tc>
          <w:tcPr>
            <w:tcW w:w="118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(59)</w:t>
            </w:r>
          </w:p>
        </w:tc>
      </w:tr>
      <w:tr>
        <w:trPr>
          <w:trHeight w:val="196"/>
        </w:trPr>
        <w:tc>
          <w:tcPr>
            <w:tcW w:w="7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Pension and other postretirement benefit adjustments</w:t>
            </w:r>
          </w:p>
        </w:tc>
        <w:tc>
          <w:tcPr>
            <w:tcW w:w="114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128"/>
              <w:spacing w:after="0"/>
              <w:rPr>
                <w:sz w:val="20"/>
                <w:szCs w:val="20"/>
                <w:color w:val="auto"/>
              </w:rPr>
            </w:pPr>
            <w:r>
              <w:rPr>
                <w:rFonts w:ascii="Arial" w:cs="Arial" w:eastAsia="Arial" w:hAnsi="Arial"/>
                <w:sz w:val="14"/>
                <w:szCs w:val="14"/>
                <w:color w:val="auto"/>
              </w:rPr>
              <w:t>(5)</w:t>
            </w:r>
          </w:p>
        </w:tc>
        <w:tc>
          <w:tcPr>
            <w:tcW w:w="118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w:t>
            </w:r>
          </w:p>
        </w:tc>
      </w:tr>
      <w:tr>
        <w:trPr>
          <w:trHeight w:val="196"/>
        </w:trPr>
        <w:tc>
          <w:tcPr>
            <w:tcW w:w="7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Changes in fair value of available for sale investments</w:t>
            </w:r>
          </w:p>
        </w:tc>
        <w:tc>
          <w:tcPr>
            <w:tcW w:w="114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w:t>
            </w:r>
          </w:p>
        </w:tc>
      </w:tr>
      <w:tr>
        <w:trPr>
          <w:trHeight w:val="196"/>
        </w:trPr>
        <w:tc>
          <w:tcPr>
            <w:tcW w:w="7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Changes in fair value of cash flow hedges</w:t>
            </w:r>
          </w:p>
        </w:tc>
        <w:tc>
          <w:tcPr>
            <w:tcW w:w="114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14</w:t>
            </w:r>
          </w:p>
        </w:tc>
        <w:tc>
          <w:tcPr>
            <w:tcW w:w="118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14</w:t>
            </w:r>
          </w:p>
        </w:tc>
      </w:tr>
      <w:tr>
        <w:trPr>
          <w:trHeight w:val="199"/>
        </w:trPr>
        <w:tc>
          <w:tcPr>
            <w:tcW w:w="74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Ending balance</w:t>
            </w:r>
          </w:p>
        </w:tc>
        <w:tc>
          <w:tcPr>
            <w:tcW w:w="114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b w:val="1"/>
                <w:bCs w:val="1"/>
                <w:color w:val="auto"/>
              </w:rPr>
              <w:t>(4,048)</w:t>
            </w:r>
          </w:p>
        </w:tc>
        <w:tc>
          <w:tcPr>
            <w:tcW w:w="118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(3,538)</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Noncontrolling interest</w:t>
            </w:r>
          </w:p>
        </w:tc>
        <w:tc>
          <w:tcPr>
            <w:tcW w:w="114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spacing w:after="0"/>
              <w:rPr>
                <w:sz w:val="17"/>
                <w:szCs w:val="17"/>
                <w:color w:val="auto"/>
              </w:rPr>
            </w:pPr>
          </w:p>
        </w:tc>
        <w:tc>
          <w:tcPr>
            <w:tcW w:w="118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spacing w:after="0"/>
              <w:rPr>
                <w:sz w:val="17"/>
                <w:szCs w:val="17"/>
                <w:color w:val="auto"/>
              </w:rPr>
            </w:pPr>
          </w:p>
        </w:tc>
      </w:tr>
      <w:tr>
        <w:trPr>
          <w:trHeight w:val="193"/>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Beginning balance</w:t>
            </w:r>
          </w:p>
        </w:tc>
        <w:tc>
          <w:tcPr>
            <w:tcW w:w="114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578</w:t>
            </w:r>
          </w:p>
        </w:tc>
        <w:tc>
          <w:tcPr>
            <w:tcW w:w="1180" w:type="dxa"/>
            <w:vAlign w:val="bottom"/>
            <w:tcBorders>
              <w:bottom w:val="single" w:sz="8" w:color="61656A"/>
            </w:tcBorders>
          </w:tcPr>
          <w:p>
            <w:pPr>
              <w:spacing w:after="0"/>
              <w:rPr>
                <w:sz w:val="16"/>
                <w:szCs w:val="16"/>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622</w:t>
            </w:r>
          </w:p>
        </w:tc>
      </w:tr>
      <w:tr>
        <w:trPr>
          <w:trHeight w:val="196"/>
        </w:trPr>
        <w:tc>
          <w:tcPr>
            <w:tcW w:w="7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Net income attributable to noncontrolling interest</w:t>
            </w:r>
          </w:p>
        </w:tc>
        <w:tc>
          <w:tcPr>
            <w:tcW w:w="114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12</w:t>
            </w:r>
          </w:p>
        </w:tc>
        <w:tc>
          <w:tcPr>
            <w:tcW w:w="118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w:t>
            </w:r>
          </w:p>
        </w:tc>
      </w:tr>
      <w:tr>
        <w:trPr>
          <w:trHeight w:val="196"/>
        </w:trPr>
        <w:tc>
          <w:tcPr>
            <w:tcW w:w="7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Foreign exchange translation adjustment</w:t>
            </w:r>
          </w:p>
        </w:tc>
        <w:tc>
          <w:tcPr>
            <w:tcW w:w="114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128"/>
              <w:spacing w:after="0"/>
              <w:rPr>
                <w:sz w:val="20"/>
                <w:szCs w:val="20"/>
                <w:color w:val="auto"/>
              </w:rPr>
            </w:pPr>
            <w:r>
              <w:rPr>
                <w:rFonts w:ascii="Arial" w:cs="Arial" w:eastAsia="Arial" w:hAnsi="Arial"/>
                <w:sz w:val="14"/>
                <w:szCs w:val="14"/>
                <w:color w:val="auto"/>
              </w:rPr>
              <w:t>(24)</w:t>
            </w:r>
          </w:p>
        </w:tc>
        <w:tc>
          <w:tcPr>
            <w:tcW w:w="118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w:t>
            </w:r>
          </w:p>
        </w:tc>
      </w:tr>
      <w:tr>
        <w:trPr>
          <w:trHeight w:val="196"/>
        </w:trPr>
        <w:tc>
          <w:tcPr>
            <w:tcW w:w="7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Dividends paid</w:t>
            </w:r>
          </w:p>
        </w:tc>
        <w:tc>
          <w:tcPr>
            <w:tcW w:w="114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128"/>
              <w:spacing w:after="0"/>
              <w:rPr>
                <w:sz w:val="20"/>
                <w:szCs w:val="20"/>
                <w:color w:val="auto"/>
              </w:rPr>
            </w:pPr>
            <w:r>
              <w:rPr>
                <w:rFonts w:ascii="Arial" w:cs="Arial" w:eastAsia="Arial" w:hAnsi="Arial"/>
                <w:sz w:val="14"/>
                <w:szCs w:val="14"/>
                <w:color w:val="auto"/>
              </w:rPr>
              <w:t>(4)</w:t>
            </w:r>
          </w:p>
        </w:tc>
        <w:tc>
          <w:tcPr>
            <w:tcW w:w="118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(41)</w:t>
            </w:r>
          </w:p>
        </w:tc>
      </w:tr>
      <w:tr>
        <w:trPr>
          <w:trHeight w:val="196"/>
        </w:trPr>
        <w:tc>
          <w:tcPr>
            <w:tcW w:w="7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Contributions from noncontrolling interest holders</w:t>
            </w:r>
          </w:p>
        </w:tc>
        <w:tc>
          <w:tcPr>
            <w:tcW w:w="114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29</w:t>
            </w:r>
          </w:p>
        </w:tc>
        <w:tc>
          <w:tcPr>
            <w:tcW w:w="118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r>
      <w:tr>
        <w:trPr>
          <w:trHeight w:val="199"/>
        </w:trPr>
        <w:tc>
          <w:tcPr>
            <w:tcW w:w="74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Ending balance</w:t>
            </w:r>
          </w:p>
        </w:tc>
        <w:tc>
          <w:tcPr>
            <w:tcW w:w="114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591</w:t>
            </w:r>
          </w:p>
        </w:tc>
        <w:tc>
          <w:tcPr>
            <w:tcW w:w="118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596</w:t>
            </w:r>
          </w:p>
        </w:tc>
      </w:tr>
      <w:tr>
        <w:trPr>
          <w:trHeight w:val="196"/>
        </w:trPr>
        <w:tc>
          <w:tcPr>
            <w:tcW w:w="74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Total shareowners' equity</w:t>
            </w:r>
          </w:p>
        </w:tc>
        <w:tc>
          <w:tcPr>
            <w:tcW w:w="114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b w:val="1"/>
                <w:bCs w:val="1"/>
                <w:color w:val="auto"/>
              </w:rPr>
              <w:t>651.2</w:t>
            </w:r>
          </w:p>
        </w:tc>
        <w:tc>
          <w:tcPr>
            <w:tcW w:w="78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17,045</w:t>
            </w:r>
          </w:p>
        </w:tc>
        <w:tc>
          <w:tcPr>
            <w:tcW w:w="118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b w:val="1"/>
                <w:bCs w:val="1"/>
                <w:color w:val="auto"/>
              </w:rPr>
              <w:t>665.7</w:t>
            </w: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17,515</w:t>
            </w:r>
          </w:p>
        </w:tc>
      </w:tr>
      <w:tr>
        <w:trPr>
          <w:trHeight w:val="196"/>
        </w:trPr>
        <w:tc>
          <w:tcPr>
            <w:tcW w:w="74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Cash dividends per share of common stock</w:t>
            </w:r>
          </w:p>
        </w:tc>
        <w:tc>
          <w:tcPr>
            <w:tcW w:w="1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1.08</w:t>
            </w:r>
          </w:p>
        </w:tc>
        <w:tc>
          <w:tcPr>
            <w:tcW w:w="11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1.03</w:t>
            </w: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Notes to Consolidated Financial Statements are an integral part of this statement.</w:t>
      </w:r>
    </w:p>
    <w:p>
      <w:pPr>
        <w:spacing w:after="0" w:line="200" w:lineRule="exact"/>
        <w:rPr>
          <w:sz w:val="20"/>
          <w:szCs w:val="20"/>
          <w:color w:val="auto"/>
        </w:rPr>
      </w:pPr>
    </w:p>
    <w:p>
      <w:pPr>
        <w:spacing w:after="0" w:line="293" w:lineRule="exact"/>
        <w:rPr>
          <w:sz w:val="20"/>
          <w:szCs w:val="20"/>
          <w:color w:val="auto"/>
        </w:rPr>
      </w:pPr>
    </w:p>
    <w:p>
      <w:pPr>
        <w:ind w:left="300" w:hanging="292"/>
        <w:spacing w:after="0"/>
        <w:tabs>
          <w:tab w:leader="none" w:pos="300" w:val="left"/>
        </w:tabs>
        <w:numPr>
          <w:ilvl w:val="0"/>
          <w:numId w:val="9"/>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9"/>
          <w:szCs w:val="29"/>
          <w:color w:val="D7282F"/>
        </w:rPr>
        <w:t>NOTE 1. BASIS OF PRESENTATION</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 the opinion of management, the accompanying unaudited Consolidated Financial Statements reflect all adjustments necessary to present fairly the financial position, results of operations, cash flows, and shareowners' equity of Honeywell International Inc. and its consolidated subsidiaries (Honeywell or the Company) for the periods presented. The interim results of operations and cash flows should not necessarily be taken as indicative of the entire year.</w:t>
      </w:r>
    </w:p>
    <w:p>
      <w:pPr>
        <w:spacing w:after="0" w:line="5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Honeywell reports its quarterly financial information using a calendar convention; the first, second, and third quarters are consistently reported as ending on March 31, June 30, and September 30, respectively. It is Honeywell's practice to establish actual quarterly closing dates using a predetermined fiscal calendar, which requires Honeywell's businesses to close their books on a Saturday in order to minimize the potentially disruptive effects of quarterly closing on the Company's business processes. The effects of this practice are generally not significant to reported results for any quarter and only exist within a reporting year. In the event differences in actual closing dates are material to year-over-year comparisons of quarterly or year-to-date results, Honeywell will provide appropriate disclosures. Honeywell's actual closing dates for the three months ended March 31, 2024, and 2023, were March 30, 2024, and April 1, 2023, respectively.</w:t>
      </w:r>
    </w:p>
    <w:p>
      <w:pPr>
        <w:spacing w:after="0" w:line="239" w:lineRule="exact"/>
        <w:rPr>
          <w:sz w:val="20"/>
          <w:szCs w:val="20"/>
          <w:color w:val="auto"/>
        </w:rPr>
      </w:pPr>
    </w:p>
    <w:p>
      <w:pPr>
        <w:spacing w:after="0"/>
        <w:rPr>
          <w:sz w:val="20"/>
          <w:szCs w:val="20"/>
          <w:color w:val="auto"/>
        </w:rPr>
      </w:pPr>
      <w:r>
        <w:rPr>
          <w:rFonts w:ascii="Arial" w:cs="Arial" w:eastAsia="Arial" w:hAnsi="Arial"/>
          <w:sz w:val="29"/>
          <w:szCs w:val="29"/>
          <w:color w:val="D7282F"/>
        </w:rPr>
        <w:t>NOTE 2. SUMMARY OF SIGNIFICANT ACCOUNTING POLICIES</w:t>
      </w:r>
    </w:p>
    <w:p>
      <w:pPr>
        <w:spacing w:after="0" w:line="252"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accounting policies of the Company are set forth in Note 1 Summary of Significant Accounting Policies of Notes to Consolidated Financial Statements in the Company’s 2023 Annual Report on Form 10-K. The Company includes herein certain updates to those policies.</w:t>
      </w:r>
    </w:p>
    <w:p>
      <w:pPr>
        <w:spacing w:after="0" w:line="18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RECLASSIFICATIONS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212529"/>
        </w:rPr>
        <w:t>Certain prior year amounts are reclassified to conform to the current year presentation.</w:t>
      </w:r>
    </w:p>
    <w:p>
      <w:pPr>
        <w:spacing w:after="0" w:line="11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212529"/>
        </w:rPr>
        <w:t>During the first quarter of 2024, the Company realigned certain of its business units as reflected in Note 18 Segment Financial Data, which impacted the composition of its reportable segments. The Company recast historical periods to reflect this change in segment presentation.</w:t>
      </w:r>
    </w:p>
    <w:p>
      <w:pPr>
        <w:spacing w:after="0" w:line="18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SUPPLY CHAIN FINANCING</w:t>
      </w:r>
    </w:p>
    <w:p>
      <w:pPr>
        <w:spacing w:after="0" w:line="14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Amounts outstanding related to supply chain financing programs are included in Accounts payable in the Consolidated Balance Sheet. Accounts payable included approximately $1,029 million and $1,112 million as of March 31, 2024, and December 31, 2023, respectively. The impact of these programs is not material to the Company's overall liquidity.</w:t>
      </w:r>
    </w:p>
    <w:p>
      <w:pPr>
        <w:spacing w:after="0" w:line="19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RECENT ACCOUNTING PRONOUNCEMENTS</w:t>
      </w:r>
    </w:p>
    <w:p>
      <w:pPr>
        <w:spacing w:after="0" w:line="12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Company considers the applicability and impact of all Accounting Standards Updates (ASUs) issued by the Financial Accounting Standards Board (FASB). ASUs not listed below were assessed and determined to be either not applicable or are expected to have minimal impact on the Company's Consolidated Financial Statements.</w:t>
      </w:r>
    </w:p>
    <w:p>
      <w:pPr>
        <w:spacing w:after="0" w:line="5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 xml:space="preserve">In December 2023, the FASB issued ASU 2023-09, </w:t>
      </w:r>
      <w:r>
        <w:rPr>
          <w:rFonts w:ascii="Arial" w:cs="Arial" w:eastAsia="Arial" w:hAnsi="Arial"/>
          <w:sz w:val="16"/>
          <w:szCs w:val="16"/>
          <w:i w:val="1"/>
          <w:iCs w:val="1"/>
          <w:color w:val="auto"/>
        </w:rPr>
        <w:t>Income Taxes (Topic 740): Improvements to Income Taxes Disclosures</w:t>
      </w:r>
      <w:r>
        <w:rPr>
          <w:rFonts w:ascii="Arial" w:cs="Arial" w:eastAsia="Arial" w:hAnsi="Arial"/>
          <w:sz w:val="16"/>
          <w:szCs w:val="16"/>
          <w:color w:val="auto"/>
        </w:rPr>
        <w:t>, which requires greater disaggregation of income tax disclosures. The new standard requires additional information to be disclosed with respect to the income tax rate reconciliation and income taxes paid disaggregated by jurisdiction. This ASU should be applied prospectively for fiscal years beginning after December 15, 2024, with retrospective application permitted. The Company is currently evaluating the impacts of this guidance on the Company’s Consolidated Financial Statements.</w:t>
      </w:r>
    </w:p>
    <w:p>
      <w:pPr>
        <w:spacing w:after="0" w:line="7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 xml:space="preserve">In November 2023, the FASB issued ASU 2023-07, </w:t>
      </w:r>
      <w:r>
        <w:rPr>
          <w:rFonts w:ascii="Arial" w:cs="Arial" w:eastAsia="Arial" w:hAnsi="Arial"/>
          <w:sz w:val="16"/>
          <w:szCs w:val="16"/>
          <w:i w:val="1"/>
          <w:iCs w:val="1"/>
          <w:color w:val="auto"/>
        </w:rPr>
        <w:t>Segment Reporting (Topic 280): Improvements to Reportable Segment Disclosures</w:t>
      </w:r>
      <w:r>
        <w:rPr>
          <w:rFonts w:ascii="Arial" w:cs="Arial" w:eastAsia="Arial" w:hAnsi="Arial"/>
          <w:sz w:val="16"/>
          <w:szCs w:val="16"/>
          <w:color w:val="auto"/>
        </w:rPr>
        <w:t>, which requires companies to enhance the disclosures about segment expenses. The new standard requires the disclosure of the Company’s Chief Operating Decision Maker (CODM), expanded incremental line-item disclosures of significant segment expenses used by the CODM for decision-making, and the inclusion of previous annual only segment disclosure requirements on a quarterly basis. This ASU should be applied retrospectively for fiscal years beginning after December 15, 2023, and interim periods within fiscal years beginning after December 15, 2024. Early adoption is permitted. The Company is currently evaluating the impacts of this guidance on the Company’s Consolidated Financial Statements.</w:t>
      </w:r>
    </w:p>
    <w:p>
      <w:pPr>
        <w:spacing w:after="0" w:line="200" w:lineRule="exact"/>
        <w:rPr>
          <w:sz w:val="20"/>
          <w:szCs w:val="20"/>
          <w:color w:val="auto"/>
        </w:rPr>
      </w:pPr>
    </w:p>
    <w:p>
      <w:pPr>
        <w:spacing w:after="0" w:line="208" w:lineRule="exact"/>
        <w:rPr>
          <w:sz w:val="20"/>
          <w:szCs w:val="20"/>
          <w:color w:val="auto"/>
        </w:rPr>
      </w:pPr>
    </w:p>
    <w:p>
      <w:pPr>
        <w:ind w:left="300" w:hanging="292"/>
        <w:spacing w:after="0"/>
        <w:tabs>
          <w:tab w:leader="none" w:pos="300" w:val="left"/>
        </w:tabs>
        <w:numPr>
          <w:ilvl w:val="0"/>
          <w:numId w:val="10"/>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 xml:space="preserve">In September 2022, the FASB issued ASU 2022-04, </w:t>
      </w:r>
      <w:r>
        <w:rPr>
          <w:rFonts w:ascii="Arial" w:cs="Arial" w:eastAsia="Arial" w:hAnsi="Arial"/>
          <w:sz w:val="16"/>
          <w:szCs w:val="16"/>
          <w:i w:val="1"/>
          <w:iCs w:val="1"/>
          <w:color w:val="auto"/>
        </w:rPr>
        <w:t>Liabilities—Supplier Finance Programs (Topic 405): Disclosure of Supplier Finance Program</w:t>
      </w:r>
      <w:r>
        <w:rPr>
          <w:rFonts w:ascii="Arial" w:cs="Arial" w:eastAsia="Arial" w:hAnsi="Arial"/>
          <w:sz w:val="16"/>
          <w:szCs w:val="16"/>
          <w:color w:val="auto"/>
        </w:rPr>
        <w:t xml:space="preserve"> </w:t>
      </w:r>
      <w:r>
        <w:rPr>
          <w:rFonts w:ascii="Arial" w:cs="Arial" w:eastAsia="Arial" w:hAnsi="Arial"/>
          <w:sz w:val="16"/>
          <w:szCs w:val="16"/>
          <w:i w:val="1"/>
          <w:iCs w:val="1"/>
          <w:color w:val="auto"/>
        </w:rPr>
        <w:t>Obligations</w:t>
      </w:r>
      <w:r>
        <w:rPr>
          <w:rFonts w:ascii="Arial" w:cs="Arial" w:eastAsia="Arial" w:hAnsi="Arial"/>
          <w:sz w:val="16"/>
          <w:szCs w:val="16"/>
          <w:color w:val="auto"/>
        </w:rPr>
        <w:t>, to enhance the transparency of supplier finance programs. The new standard requires annual disclosure of the key terms of the program, a</w:t>
      </w:r>
      <w:r>
        <w:rPr>
          <w:rFonts w:ascii="Arial" w:cs="Arial" w:eastAsia="Arial" w:hAnsi="Arial"/>
          <w:sz w:val="16"/>
          <w:szCs w:val="16"/>
          <w:i w:val="1"/>
          <w:iCs w:val="1"/>
          <w:color w:val="auto"/>
        </w:rPr>
        <w:t xml:space="preserve"> </w:t>
      </w:r>
      <w:r>
        <w:rPr>
          <w:rFonts w:ascii="Arial" w:cs="Arial" w:eastAsia="Arial" w:hAnsi="Arial"/>
          <w:sz w:val="16"/>
          <w:szCs w:val="16"/>
          <w:color w:val="auto"/>
        </w:rPr>
        <w:t>description of where in the financial statements amounts outstanding under the program are presented, a rollforward of such amounts, and interim disclosure of amounts outstanding as of the end of each period. The guidance does not affect recognition, measurement, or financial statement presentation of supplier finance programs. The ASU is effective on January 1, 2023, except for the rollforward, which is effective on January 1, 2024, for annual disclosures. The Company adopted this guidance on January 1, 2023, with the exception of the rollforward adopted on January 1, 2024. The adoption of this standard does not have a material impact on the Company’s Consolidated Financial Statements.</w:t>
      </w:r>
    </w:p>
    <w:p>
      <w:pPr>
        <w:spacing w:after="0" w:line="8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 xml:space="preserve">In March 2020, the FASB issued ASU 2020-04, </w:t>
      </w:r>
      <w:r>
        <w:rPr>
          <w:rFonts w:ascii="Arial" w:cs="Arial" w:eastAsia="Arial" w:hAnsi="Arial"/>
          <w:sz w:val="16"/>
          <w:szCs w:val="16"/>
          <w:i w:val="1"/>
          <w:iCs w:val="1"/>
          <w:color w:val="auto"/>
        </w:rPr>
        <w:t>Reference Rate Reform (Topic 848): Facilitation of the Effects of Reference Rate Reform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Reporting</w:t>
      </w:r>
      <w:r>
        <w:rPr>
          <w:rFonts w:ascii="Arial" w:cs="Arial" w:eastAsia="Arial" w:hAnsi="Arial"/>
          <w:sz w:val="16"/>
          <w:szCs w:val="16"/>
          <w:color w:val="auto"/>
        </w:rPr>
        <w:t>, which provides optional expedients and exceptions for applying generally accepted accounting principles to contracts, hedging relationships,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other transactions affected by the transition away from reference rates expected to be discontinued to alternative reference rates. In January 2021, the FASB issued ASU 2021-01, </w:t>
      </w:r>
      <w:r>
        <w:rPr>
          <w:rFonts w:ascii="Arial" w:cs="Arial" w:eastAsia="Arial" w:hAnsi="Arial"/>
          <w:sz w:val="16"/>
          <w:szCs w:val="16"/>
          <w:i w:val="1"/>
          <w:iCs w:val="1"/>
          <w:color w:val="auto"/>
        </w:rPr>
        <w:t>Reference Rate Reform (Topic 848): Scope</w:t>
      </w:r>
      <w:r>
        <w:rPr>
          <w:rFonts w:ascii="Arial" w:cs="Arial" w:eastAsia="Arial" w:hAnsi="Arial"/>
          <w:sz w:val="16"/>
          <w:szCs w:val="16"/>
          <w:color w:val="auto"/>
        </w:rPr>
        <w:t xml:space="preserve">, to expand the scope of this guidance to include derivatives. The guidance was effective upon issuance and may be applied prospectively to contract modifications made and hedging relationships entered into on or before December 31, 2022. In December 2022, the FASB issued ASU 2022-06, </w:t>
      </w:r>
      <w:r>
        <w:rPr>
          <w:rFonts w:ascii="Arial" w:cs="Arial" w:eastAsia="Arial" w:hAnsi="Arial"/>
          <w:sz w:val="16"/>
          <w:szCs w:val="16"/>
          <w:i w:val="1"/>
          <w:iCs w:val="1"/>
          <w:color w:val="auto"/>
        </w:rPr>
        <w:t>Reference Rate Reform (Topic 848): Deferral of the Sunset Date of Topic 848</w:t>
      </w:r>
      <w:r>
        <w:rPr>
          <w:rFonts w:ascii="Arial" w:cs="Arial" w:eastAsia="Arial" w:hAnsi="Arial"/>
          <w:sz w:val="16"/>
          <w:szCs w:val="16"/>
          <w:color w:val="auto"/>
        </w:rPr>
        <w:t>, which extends the period of time entities can utilize the reference rate reform relief guidance under ASU 2020-04 from December 31, 2022, to December 31, 2024. The Company will apply the guidance to impacted transactions during the transition period. The adoption of this standard does not have a material impact on the Company’s Consolidated Financial Statements.</w:t>
      </w:r>
    </w:p>
    <w:p>
      <w:pPr>
        <w:spacing w:after="0" w:line="240" w:lineRule="exact"/>
        <w:rPr>
          <w:sz w:val="20"/>
          <w:szCs w:val="20"/>
          <w:color w:val="auto"/>
        </w:rPr>
      </w:pPr>
    </w:p>
    <w:p>
      <w:pPr>
        <w:spacing w:after="0"/>
        <w:rPr>
          <w:sz w:val="20"/>
          <w:szCs w:val="20"/>
          <w:color w:val="auto"/>
        </w:rPr>
      </w:pPr>
      <w:r>
        <w:rPr>
          <w:rFonts w:ascii="Arial" w:cs="Arial" w:eastAsia="Arial" w:hAnsi="Arial"/>
          <w:sz w:val="29"/>
          <w:szCs w:val="29"/>
          <w:color w:val="D7282F"/>
        </w:rPr>
        <w:t>NOTE 3. ACQUISITIONS AND DIVESTITURES</w:t>
      </w:r>
    </w:p>
    <w:p>
      <w:pPr>
        <w:spacing w:after="0" w:line="26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ACQUISITIONS</w:t>
      </w:r>
    </w:p>
    <w:p>
      <w:pPr>
        <w:spacing w:after="0" w:line="12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On March 27, 2024, the Company announced its intention to acquire Civitanavi Systems S.p.A. in an all-cash transaction for approximately €200 million. The transaction is not subject to any financing condition but is subject to regulatory review and approval, the tender into the offer of at least 95% of Civitanavi Systems S.p.A.’s outstanding shares, and customary closing conditions. The transaction is expected to close by the end of the third quarter of 2024 and the business will be reported within the Aerospace Technologies reportable business segment.</w:t>
      </w:r>
    </w:p>
    <w:p>
      <w:pPr>
        <w:spacing w:after="0" w:line="7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 December 8, 2023, the Company agreed to acquire Carrier Global Corporation's Global Access Solutions business in an all-cash transaction for $5.0 billion. The transaction is subject to regulatory review and approval and customary closing conditions. The transaction is expected to close by the end of the third quarter of 2024, and the business will be reported within the Building Automation reportable business segment.</w:t>
      </w:r>
    </w:p>
    <w:p>
      <w:pPr>
        <w:spacing w:after="0" w:line="5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On August 25, 2023, the Company acquired 100% of the outstanding equity interests of SCADAfence, a provider of operational technology and Internet of Things cybersecurity solutions for monitoring large scale networks, for total consideration of $52 million, net of cash acquired. The business is included in the Industrial Automation reportable business segment. The assets and liabilities acquired with SCADAfence are included in the Consolidated Balance Sheet as of March 31, 2024, including $17 million of intangible assets and $42 million of goodwill, which is not deductible for tax purposes. The purchase accounting is subject to final adjustment, primarily for the value of intangible assets, amounts allocated to goodwill, and tax balances.</w:t>
      </w:r>
    </w:p>
    <w:p>
      <w:pPr>
        <w:spacing w:after="0" w:line="6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On June 30, 2023, the Company acquired 100% of the outstanding equity interests of Compressor Controls Corporation, a turbomachinery services and controls company based in the United States, for total cash consideration of $673 million, net of cash acquired. The business is included in the Industrial Automation reportable business segment. The assets and liabilities acquired with Compressor Controls Corporation are included in the Consolidated Balance Sheet as of March 31, 2024, including $282 million of intangible assets and $350 million allocated to goodwill, which is deductible for tax purposes. The identifiable intangible assets primarily include customer relationships amortized over an estimated life of 15 years using an excess earnings amortization method. The purchase accounting is subject to final adjustment, primarily for the valuation of intangible assets, amounts allocated to goodwill, and tax balances.</w:t>
      </w:r>
    </w:p>
    <w:p>
      <w:pPr>
        <w:spacing w:after="0" w:line="20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DIVESTITURES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For the three months ended March 31, 2024, there were no significant divestitures that closed individually or in the aggregate.</w:t>
      </w:r>
    </w:p>
    <w:p>
      <w:pPr>
        <w:spacing w:after="0" w:line="200" w:lineRule="exact"/>
        <w:rPr>
          <w:sz w:val="20"/>
          <w:szCs w:val="20"/>
          <w:color w:val="auto"/>
        </w:rPr>
      </w:pPr>
    </w:p>
    <w:p>
      <w:pPr>
        <w:spacing w:after="0" w:line="252" w:lineRule="exact"/>
        <w:rPr>
          <w:sz w:val="20"/>
          <w:szCs w:val="20"/>
          <w:color w:val="auto"/>
        </w:rPr>
      </w:pPr>
    </w:p>
    <w:p>
      <w:pPr>
        <w:ind w:left="300" w:hanging="292"/>
        <w:spacing w:after="0"/>
        <w:tabs>
          <w:tab w:leader="none" w:pos="300" w:val="left"/>
        </w:tabs>
        <w:numPr>
          <w:ilvl w:val="0"/>
          <w:numId w:val="11"/>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9"/>
          <w:szCs w:val="29"/>
          <w:color w:val="D7282F"/>
        </w:rPr>
        <w:t>NOTE 4. REVENUE RECOGNITION AND CONTRACTS WITH CUSTOMERS</w:t>
      </w:r>
    </w:p>
    <w:p>
      <w:pPr>
        <w:spacing w:after="0" w:line="252"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Company has a comprehensive offering of products and services, including software and technologies, that are sold to a variety of customers in multiple end markets. See the following disaggregated revenue table and related discussions by reportable business segment for details:</w:t>
      </w:r>
    </w:p>
    <w:p>
      <w:pPr>
        <w:spacing w:after="0" w:line="94" w:lineRule="exact"/>
        <w:rPr>
          <w:sz w:val="20"/>
          <w:szCs w:val="20"/>
          <w:color w:val="auto"/>
        </w:rPr>
      </w:pPr>
    </w:p>
    <w:p>
      <w:pPr>
        <w:jc w:val="center"/>
        <w:ind w:left="9260"/>
        <w:spacing w:after="0"/>
        <w:rPr>
          <w:sz w:val="20"/>
          <w:szCs w:val="20"/>
          <w:color w:val="auto"/>
        </w:rPr>
      </w:pPr>
      <w:r>
        <w:rPr>
          <w:rFonts w:ascii="Arial" w:cs="Arial" w:eastAsia="Arial" w:hAnsi="Arial"/>
          <w:sz w:val="14"/>
          <w:szCs w:val="14"/>
          <w:b w:val="1"/>
          <w:bCs w:val="1"/>
          <w:color w:val="auto"/>
        </w:rPr>
        <w:t>Three Months Ended March</w:t>
      </w:r>
    </w:p>
    <w:p>
      <w:pPr>
        <w:jc w:val="center"/>
        <w:ind w:left="9260"/>
        <w:spacing w:after="0"/>
        <w:rPr>
          <w:sz w:val="20"/>
          <w:szCs w:val="20"/>
          <w:color w:val="auto"/>
        </w:rPr>
      </w:pPr>
      <w:r>
        <w:rPr>
          <w:rFonts w:ascii="Arial" w:cs="Arial" w:eastAsia="Arial" w:hAnsi="Arial"/>
          <w:sz w:val="14"/>
          <w:szCs w:val="14"/>
          <w:b w:val="1"/>
          <w:bCs w:val="1"/>
          <w:color w:val="auto"/>
        </w:rPr>
        <w:t>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280" w:type="dxa"/>
            <w:vAlign w:val="bottom"/>
            <w:tcBorders>
              <w:bottom w:val="single" w:sz="8" w:color="D7282F"/>
            </w:tcBorders>
          </w:tcPr>
          <w:p>
            <w:pPr>
              <w:spacing w:after="0"/>
              <w:rPr>
                <w:sz w:val="17"/>
                <w:szCs w:val="17"/>
                <w:color w:val="auto"/>
              </w:rPr>
            </w:pPr>
          </w:p>
        </w:tc>
        <w:tc>
          <w:tcPr>
            <w:tcW w:w="180" w:type="dxa"/>
            <w:vAlign w:val="bottom"/>
            <w:tcBorders>
              <w:top w:val="single" w:sz="8" w:color="D7282F"/>
              <w:bottom w:val="single" w:sz="8" w:color="D7282F"/>
            </w:tcBorders>
          </w:tcPr>
          <w:p>
            <w:pPr>
              <w:spacing w:after="0"/>
              <w:rPr>
                <w:sz w:val="17"/>
                <w:szCs w:val="17"/>
                <w:color w:val="auto"/>
              </w:rPr>
            </w:pPr>
          </w:p>
        </w:tc>
        <w:tc>
          <w:tcPr>
            <w:tcW w:w="780" w:type="dxa"/>
            <w:vAlign w:val="bottom"/>
            <w:tcBorders>
              <w:top w:val="single" w:sz="8" w:color="D7282F"/>
              <w:bottom w:val="single" w:sz="8" w:color="D7282F"/>
            </w:tcBorders>
          </w:tcPr>
          <w:p>
            <w:pPr>
              <w:jc w:val="right"/>
              <w:ind w:right="288"/>
              <w:spacing w:after="0"/>
              <w:rPr>
                <w:sz w:val="20"/>
                <w:szCs w:val="20"/>
                <w:color w:val="auto"/>
              </w:rPr>
            </w:pPr>
            <w:r>
              <w:rPr>
                <w:rFonts w:ascii="Arial" w:cs="Arial" w:eastAsia="Arial" w:hAnsi="Arial"/>
                <w:sz w:val="14"/>
                <w:szCs w:val="14"/>
                <w:b w:val="1"/>
                <w:bCs w:val="1"/>
                <w:color w:val="auto"/>
              </w:rPr>
              <w:t>2024</w:t>
            </w:r>
          </w:p>
        </w:tc>
        <w:tc>
          <w:tcPr>
            <w:tcW w:w="320" w:type="dxa"/>
            <w:vAlign w:val="bottom"/>
            <w:tcBorders>
              <w:top w:val="single" w:sz="8" w:color="D7282F"/>
              <w:bottom w:val="single" w:sz="8" w:color="D7282F"/>
            </w:tcBorders>
          </w:tcPr>
          <w:p>
            <w:pPr>
              <w:spacing w:after="0"/>
              <w:rPr>
                <w:sz w:val="17"/>
                <w:szCs w:val="17"/>
                <w:color w:val="auto"/>
              </w:rPr>
            </w:pPr>
          </w:p>
        </w:tc>
        <w:tc>
          <w:tcPr>
            <w:tcW w:w="680" w:type="dxa"/>
            <w:vAlign w:val="bottom"/>
            <w:tcBorders>
              <w:top w:val="single" w:sz="8" w:color="D7282F"/>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2023</w:t>
            </w:r>
          </w:p>
        </w:tc>
      </w:tr>
      <w:tr>
        <w:trPr>
          <w:trHeight w:val="196"/>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Aerospace Technologies</w:t>
            </w: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r>
      <w:tr>
        <w:trPr>
          <w:trHeight w:val="193"/>
        </w:trPr>
        <w:tc>
          <w:tcPr>
            <w:tcW w:w="92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Commercial Aviation Original Equipment</w:t>
            </w: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674</w:t>
            </w:r>
          </w:p>
        </w:tc>
        <w:tc>
          <w:tcPr>
            <w:tcW w:w="32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541</w:t>
            </w:r>
          </w:p>
        </w:tc>
      </w:tr>
      <w:tr>
        <w:trPr>
          <w:trHeight w:val="196"/>
        </w:trPr>
        <w:tc>
          <w:tcPr>
            <w:tcW w:w="92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Commercial Aviation Aftermarket</w:t>
            </w: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1,659</w:t>
            </w: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1,423</w:t>
            </w:r>
          </w:p>
        </w:tc>
      </w:tr>
      <w:tr>
        <w:trPr>
          <w:trHeight w:val="196"/>
        </w:trPr>
        <w:tc>
          <w:tcPr>
            <w:tcW w:w="92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Defense and Space</w:t>
            </w: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1,336</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1,147</w:t>
            </w:r>
          </w:p>
        </w:tc>
      </w:tr>
      <w:tr>
        <w:trPr>
          <w:trHeight w:val="199"/>
        </w:trPr>
        <w:tc>
          <w:tcPr>
            <w:tcW w:w="92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Net Aerospace Technologies sales</w:t>
            </w: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3,669</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3,111</w:t>
            </w:r>
          </w:p>
        </w:tc>
      </w:tr>
      <w:tr>
        <w:trPr>
          <w:trHeight w:val="196"/>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Industrial Automation</w:t>
            </w: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r>
      <w:tr>
        <w:trPr>
          <w:trHeight w:val="193"/>
        </w:trPr>
        <w:tc>
          <w:tcPr>
            <w:tcW w:w="92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Sensing and Safety Technologies</w:t>
            </w:r>
          </w:p>
        </w:tc>
        <w:tc>
          <w:tcPr>
            <w:tcW w:w="18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633</w:t>
            </w:r>
          </w:p>
        </w:tc>
        <w:tc>
          <w:tcPr>
            <w:tcW w:w="32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690</w:t>
            </w:r>
          </w:p>
        </w:tc>
      </w:tr>
      <w:tr>
        <w:trPr>
          <w:trHeight w:val="196"/>
        </w:trPr>
        <w:tc>
          <w:tcPr>
            <w:tcW w:w="92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Productivity Solutions and Services</w:t>
            </w: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322</w:t>
            </w: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361</w:t>
            </w:r>
          </w:p>
        </w:tc>
      </w:tr>
      <w:tr>
        <w:trPr>
          <w:trHeight w:val="196"/>
        </w:trPr>
        <w:tc>
          <w:tcPr>
            <w:tcW w:w="92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Process Solutions</w:t>
            </w: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1,313</w:t>
            </w: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1,288</w:t>
            </w:r>
          </w:p>
        </w:tc>
      </w:tr>
      <w:tr>
        <w:trPr>
          <w:trHeight w:val="196"/>
        </w:trPr>
        <w:tc>
          <w:tcPr>
            <w:tcW w:w="92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Warehouse and Workflow Solutions</w:t>
            </w: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210</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464</w:t>
            </w:r>
          </w:p>
        </w:tc>
      </w:tr>
      <w:tr>
        <w:trPr>
          <w:trHeight w:val="199"/>
        </w:trPr>
        <w:tc>
          <w:tcPr>
            <w:tcW w:w="92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Net Industrial Automation sales</w:t>
            </w: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2,478</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2,803</w:t>
            </w:r>
          </w:p>
        </w:tc>
      </w:tr>
      <w:tr>
        <w:trPr>
          <w:trHeight w:val="196"/>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Building Automation</w:t>
            </w: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r>
      <w:tr>
        <w:trPr>
          <w:trHeight w:val="193"/>
        </w:trPr>
        <w:tc>
          <w:tcPr>
            <w:tcW w:w="92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Products</w:t>
            </w:r>
          </w:p>
        </w:tc>
        <w:tc>
          <w:tcPr>
            <w:tcW w:w="18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813</w:t>
            </w:r>
          </w:p>
        </w:tc>
        <w:tc>
          <w:tcPr>
            <w:tcW w:w="32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908</w:t>
            </w:r>
          </w:p>
        </w:tc>
      </w:tr>
      <w:tr>
        <w:trPr>
          <w:trHeight w:val="196"/>
        </w:trPr>
        <w:tc>
          <w:tcPr>
            <w:tcW w:w="92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Building Solutions</w:t>
            </w: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613</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579</w:t>
            </w:r>
          </w:p>
        </w:tc>
      </w:tr>
      <w:tr>
        <w:trPr>
          <w:trHeight w:val="199"/>
        </w:trPr>
        <w:tc>
          <w:tcPr>
            <w:tcW w:w="92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Net Building Automation sales</w:t>
            </w: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1,426</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1,487</w:t>
            </w:r>
          </w:p>
        </w:tc>
      </w:tr>
      <w:tr>
        <w:trPr>
          <w:trHeight w:val="196"/>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Energy and Sustainability Solutions</w:t>
            </w: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r>
      <w:tr>
        <w:trPr>
          <w:trHeight w:val="193"/>
        </w:trPr>
        <w:tc>
          <w:tcPr>
            <w:tcW w:w="92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UOP</w:t>
            </w:r>
          </w:p>
        </w:tc>
        <w:tc>
          <w:tcPr>
            <w:tcW w:w="18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577</w:t>
            </w:r>
          </w:p>
        </w:tc>
        <w:tc>
          <w:tcPr>
            <w:tcW w:w="32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565</w:t>
            </w:r>
          </w:p>
        </w:tc>
      </w:tr>
      <w:tr>
        <w:trPr>
          <w:trHeight w:val="196"/>
        </w:trPr>
        <w:tc>
          <w:tcPr>
            <w:tcW w:w="92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Advanced Materials</w:t>
            </w: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948</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896</w:t>
            </w:r>
          </w:p>
        </w:tc>
      </w:tr>
      <w:tr>
        <w:trPr>
          <w:trHeight w:val="199"/>
        </w:trPr>
        <w:tc>
          <w:tcPr>
            <w:tcW w:w="92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Net Energy and Sustainability Solutions sales</w:t>
            </w: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1,525</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1,461</w:t>
            </w:r>
          </w:p>
        </w:tc>
      </w:tr>
      <w:tr>
        <w:trPr>
          <w:trHeight w:val="196"/>
        </w:trPr>
        <w:tc>
          <w:tcPr>
            <w:tcW w:w="92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Corporate and All Other</w:t>
            </w: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7</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w:t>
            </w:r>
          </w:p>
        </w:tc>
      </w:tr>
      <w:tr>
        <w:trPr>
          <w:trHeight w:val="196"/>
        </w:trPr>
        <w:tc>
          <w:tcPr>
            <w:tcW w:w="9280" w:type="dxa"/>
            <w:vAlign w:val="bottom"/>
            <w:tcBorders>
              <w:bottom w:val="single" w:sz="8" w:color="D7282F"/>
            </w:tcBorders>
          </w:tcPr>
          <w:p>
            <w:pPr>
              <w:ind w:left="360"/>
              <w:spacing w:after="0"/>
              <w:rPr>
                <w:sz w:val="20"/>
                <w:szCs w:val="20"/>
                <w:color w:val="auto"/>
              </w:rPr>
            </w:pPr>
            <w:r>
              <w:rPr>
                <w:rFonts w:ascii="Arial" w:cs="Arial" w:eastAsia="Arial" w:hAnsi="Arial"/>
                <w:sz w:val="14"/>
                <w:szCs w:val="14"/>
                <w:b w:val="1"/>
                <w:bCs w:val="1"/>
                <w:color w:val="auto"/>
              </w:rPr>
              <w:t>Net sales</w:t>
            </w: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9,105</w:t>
            </w:r>
          </w:p>
        </w:tc>
        <w:tc>
          <w:tcPr>
            <w:tcW w:w="3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8,864</w:t>
            </w:r>
          </w:p>
        </w:tc>
      </w:tr>
    </w:tbl>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color w:val="auto"/>
        </w:rPr>
        <w:t xml:space="preserve">Aerospace Technologies </w:t>
      </w:r>
      <w:r>
        <w:rPr>
          <w:rFonts w:ascii="Arial" w:cs="Arial" w:eastAsia="Arial" w:hAnsi="Arial"/>
          <w:sz w:val="16"/>
          <w:szCs w:val="16"/>
          <w:color w:val="auto"/>
        </w:rPr>
        <w:t>– A global supplier of products, software, and services for aircrafts that it sells to original equipment manufacturers (OEM) and</w:t>
      </w:r>
      <w:r>
        <w:rPr>
          <w:rFonts w:ascii="Arial" w:cs="Arial" w:eastAsia="Arial" w:hAnsi="Arial"/>
          <w:sz w:val="16"/>
          <w:szCs w:val="16"/>
          <w:b w:val="1"/>
          <w:bCs w:val="1"/>
          <w:color w:val="auto"/>
        </w:rPr>
        <w:t xml:space="preserve"> </w:t>
      </w:r>
      <w:r>
        <w:rPr>
          <w:rFonts w:ascii="Arial" w:cs="Arial" w:eastAsia="Arial" w:hAnsi="Arial"/>
          <w:sz w:val="16"/>
          <w:szCs w:val="16"/>
          <w:color w:val="auto"/>
        </w:rPr>
        <w:t>other customers in a variety of end markets including air transport, regional, business and general aviation aircraft, airlines, aircraft operators, and defense and space contractors. Aerospace Technologies products and services include auxiliary power units, propulsion engines, environmental control systems, integrated avionics, wireless connectivity services, electric power systems, engine controls, flight safety, communications, navigation hardware, data and software applications, radar and surveillance systems, aircraft lighting, management and technical services, advanced systems and instruments, satellite and space components, aircraft wheels and brakes, and thermal systems. Aerospace Technologies also provides spare parts, repair, overhaul, and maintenance services (principally to aircraft operators), and sells licenses or intellectual property to other parties. Honeywell Forge solutions enable customers to turn data into predictive maintenance and predictive analytics to enable better fleet management and make flight operations more efficient.</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color w:val="auto"/>
        </w:rPr>
        <w:t xml:space="preserve">Industrial Automation </w:t>
      </w:r>
      <w:r>
        <w:rPr>
          <w:rFonts w:ascii="Arial" w:cs="Arial" w:eastAsia="Arial" w:hAnsi="Arial"/>
          <w:sz w:val="16"/>
          <w:szCs w:val="16"/>
          <w:color w:val="auto"/>
        </w:rPr>
        <w:t>– A global provider of industrial automation solutions that deliver intelligent, sustainable, and secure operations for customers in oil</w:t>
      </w:r>
      <w:r>
        <w:rPr>
          <w:rFonts w:ascii="Arial" w:cs="Arial" w:eastAsia="Arial" w:hAnsi="Arial"/>
          <w:sz w:val="16"/>
          <w:szCs w:val="16"/>
          <w:b w:val="1"/>
          <w:bCs w:val="1"/>
          <w:color w:val="auto"/>
        </w:rPr>
        <w:t xml:space="preserve"> </w:t>
      </w:r>
      <w:r>
        <w:rPr>
          <w:rFonts w:ascii="Arial" w:cs="Arial" w:eastAsia="Arial" w:hAnsi="Arial"/>
          <w:sz w:val="16"/>
          <w:szCs w:val="16"/>
          <w:color w:val="auto"/>
        </w:rPr>
        <w:t>and gas, petrochemicals, life sciences, metals and mining, and warehouse and logistics segments. With millions of installed assets, Industrial Automation deploys outcome-based solutions to increase asset utilization; improve operational efficiency and labor productivity; reduce carbon emissions with less energy consumption; and enhance cyber security for critical infrastructure and operational assets. Industrial Automation offerings include automation control and instrumentation products and services; smart energy products; sensing technologies with an array of custom-engineered sensors and services; gas detection technologies and personal protective equipment; and system design, advanced automation equipment, software and analytics for manufacturing, distribution and fulfillment operations. These products and services are combined with proprietary machine learning and artificial intelligence algorithms in products and projects which are digitally enabled through our industry leading industrial Internet of Things (IoT) platform, Honeywell Forge.</w:t>
      </w:r>
    </w:p>
    <w:p>
      <w:pPr>
        <w:spacing w:after="0" w:line="200" w:lineRule="exact"/>
        <w:rPr>
          <w:sz w:val="20"/>
          <w:szCs w:val="20"/>
          <w:color w:val="auto"/>
        </w:rPr>
      </w:pPr>
    </w:p>
    <w:p>
      <w:pPr>
        <w:spacing w:after="0" w:line="225" w:lineRule="exact"/>
        <w:rPr>
          <w:sz w:val="20"/>
          <w:szCs w:val="20"/>
          <w:color w:val="auto"/>
        </w:rPr>
      </w:pPr>
    </w:p>
    <w:p>
      <w:pPr>
        <w:ind w:left="400" w:hanging="392"/>
        <w:spacing w:after="0"/>
        <w:tabs>
          <w:tab w:leader="none" w:pos="400" w:val="left"/>
        </w:tabs>
        <w:numPr>
          <w:ilvl w:val="0"/>
          <w:numId w:val="12"/>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color w:val="auto"/>
        </w:rPr>
        <w:t xml:space="preserve">Building Automation </w:t>
      </w:r>
      <w:r>
        <w:rPr>
          <w:rFonts w:ascii="Arial" w:cs="Arial" w:eastAsia="Arial" w:hAnsi="Arial"/>
          <w:sz w:val="16"/>
          <w:szCs w:val="16"/>
          <w:color w:val="auto"/>
        </w:rPr>
        <w:t>– A global provider of products, software, solutions, and technologies that enable building owners and occupants to ensure their</w:t>
      </w:r>
      <w:r>
        <w:rPr>
          <w:rFonts w:ascii="Arial" w:cs="Arial" w:eastAsia="Arial" w:hAnsi="Arial"/>
          <w:sz w:val="16"/>
          <w:szCs w:val="16"/>
          <w:b w:val="1"/>
          <w:bCs w:val="1"/>
          <w:color w:val="auto"/>
        </w:rPr>
        <w:t xml:space="preserve"> </w:t>
      </w:r>
      <w:r>
        <w:rPr>
          <w:rFonts w:ascii="Arial" w:cs="Arial" w:eastAsia="Arial" w:hAnsi="Arial"/>
          <w:sz w:val="16"/>
          <w:szCs w:val="16"/>
          <w:color w:val="auto"/>
        </w:rPr>
        <w:t>facilities are safe, energy efficient, sustainable, and productive. Building Automation products and services include advanced software applications for building control and optimization; sensors, switches, control systems, and instruments for energy management; access control; video surveillance; fire products; and installation, maintenance, and upgrades of systems. Honeywell Forge solutions enable customers to digitally manage buildings, connecting data from different assets to enable smart maintenance, improve building performance, and even protect from incoming security threats.</w:t>
      </w:r>
    </w:p>
    <w:p>
      <w:pPr>
        <w:spacing w:after="0" w:line="6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color w:val="auto"/>
        </w:rPr>
        <w:t xml:space="preserve">Energy and Sustainability Solutions </w:t>
      </w:r>
      <w:r>
        <w:rPr>
          <w:rFonts w:ascii="Arial" w:cs="Arial" w:eastAsia="Arial" w:hAnsi="Arial"/>
          <w:sz w:val="16"/>
          <w:szCs w:val="16"/>
          <w:color w:val="auto"/>
        </w:rPr>
        <w:t>– A global provider of industry leading technology, processing, and licensing capabilities combined with material</w:t>
      </w:r>
      <w:r>
        <w:rPr>
          <w:rFonts w:ascii="Arial" w:cs="Arial" w:eastAsia="Arial" w:hAnsi="Arial"/>
          <w:sz w:val="16"/>
          <w:szCs w:val="16"/>
          <w:b w:val="1"/>
          <w:bCs w:val="1"/>
          <w:color w:val="auto"/>
        </w:rPr>
        <w:t xml:space="preserve"> </w:t>
      </w:r>
      <w:r>
        <w:rPr>
          <w:rFonts w:ascii="Arial" w:cs="Arial" w:eastAsia="Arial" w:hAnsi="Arial"/>
          <w:sz w:val="16"/>
          <w:szCs w:val="16"/>
          <w:color w:val="auto"/>
        </w:rPr>
        <w:t>science capabilities and innovative chemistry to offer focused solutions that are integral to facilitating the world's energy transition. The reportable business segment is comprised of UOP and Advanced Materials business units. The UOP business provides sustainable aviation fuels, petrochemical and refining technologies, and carbon management solutions across multiple sectors through process technology solutions, products, including catalysts and adsorbents, equipment and aftermarket services. The Advanced Materials business provides customers with its Solstice lower global warming potential refrigeration and heating solutions, Spectra fibers for high end protective armor and medical applications, and leading-edge semiconductor materials. Honeywell Forge solutions serve customer asset productivity and efficiency needs by providing connectivity, data integration, and software solutions to generate a holistic view of their operations.</w:t>
      </w:r>
    </w:p>
    <w:p>
      <w:pPr>
        <w:spacing w:after="0" w:line="7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auto"/>
        </w:rPr>
        <w:t xml:space="preserve">Corporate and All Other </w:t>
      </w:r>
      <w:r>
        <w:rPr>
          <w:rFonts w:ascii="Arial" w:cs="Arial" w:eastAsia="Arial" w:hAnsi="Arial"/>
          <w:sz w:val="16"/>
          <w:szCs w:val="16"/>
          <w:color w:val="auto"/>
        </w:rPr>
        <w:t>– Corporate and All Other includes revenue from Honeywell's majority-owned investment in Quantinuum. Through Quantinuum,</w:t>
      </w:r>
      <w:r>
        <w:rPr>
          <w:rFonts w:ascii="Arial" w:cs="Arial" w:eastAsia="Arial" w:hAnsi="Arial"/>
          <w:sz w:val="16"/>
          <w:szCs w:val="16"/>
          <w:b w:val="1"/>
          <w:bCs w:val="1"/>
          <w:color w:val="auto"/>
        </w:rPr>
        <w:t xml:space="preserve"> </w:t>
      </w:r>
      <w:r>
        <w:rPr>
          <w:rFonts w:ascii="Arial" w:cs="Arial" w:eastAsia="Arial" w:hAnsi="Arial"/>
          <w:sz w:val="16"/>
          <w:szCs w:val="16"/>
          <w:color w:val="auto"/>
        </w:rPr>
        <w:t>Honeywell provides a wide range of service offerings of fully integrated quantum computing hardware and software solutions.</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For a summary by disaggregated product and services sales for each reportable business segment, refer to Note 18 Segment Financial Data.</w:t>
      </w:r>
    </w:p>
    <w:p>
      <w:pPr>
        <w:spacing w:after="0" w:line="11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Company recognizes revenue arising from performance obligations outlined in contracts with its customers that are satisfied at a point in time and over time. The disaggregation of the Company's revenue based off timing of recognition is as follows: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060" w:type="dxa"/>
            <w:vAlign w:val="bottom"/>
          </w:tcPr>
          <w:p>
            <w:pPr>
              <w:spacing w:after="0"/>
              <w:rPr>
                <w:sz w:val="17"/>
                <w:szCs w:val="17"/>
                <w:color w:val="auto"/>
              </w:rPr>
            </w:pPr>
          </w:p>
        </w:tc>
        <w:tc>
          <w:tcPr>
            <w:tcW w:w="2180" w:type="dxa"/>
            <w:vAlign w:val="bottom"/>
            <w:tcBorders>
              <w:bottom w:val="single" w:sz="8" w:color="D7282F"/>
            </w:tcBorders>
            <w:gridSpan w:val="2"/>
          </w:tcPr>
          <w:p>
            <w:pPr>
              <w:jc w:val="right"/>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9060" w:type="dxa"/>
            <w:vAlign w:val="bottom"/>
            <w:tcBorders>
              <w:bottom w:val="single" w:sz="8" w:color="D7282F"/>
            </w:tcBorders>
          </w:tcPr>
          <w:p>
            <w:pPr>
              <w:spacing w:after="0"/>
              <w:rPr>
                <w:sz w:val="17"/>
                <w:szCs w:val="17"/>
                <w:color w:val="auto"/>
              </w:rPr>
            </w:pPr>
          </w:p>
        </w:tc>
        <w:tc>
          <w:tcPr>
            <w:tcW w:w="1240" w:type="dxa"/>
            <w:vAlign w:val="bottom"/>
            <w:tcBorders>
              <w:bottom w:val="single" w:sz="8" w:color="D7282F"/>
            </w:tcBorders>
          </w:tcPr>
          <w:p>
            <w:pPr>
              <w:jc w:val="right"/>
              <w:ind w:right="508"/>
              <w:spacing w:after="0"/>
              <w:rPr>
                <w:sz w:val="20"/>
                <w:szCs w:val="20"/>
                <w:color w:val="auto"/>
              </w:rPr>
            </w:pPr>
            <w:r>
              <w:rPr>
                <w:rFonts w:ascii="Arial" w:cs="Arial" w:eastAsia="Arial" w:hAnsi="Arial"/>
                <w:sz w:val="14"/>
                <w:szCs w:val="14"/>
                <w:b w:val="1"/>
                <w:bCs w:val="1"/>
                <w:color w:val="auto"/>
              </w:rPr>
              <w:t>2024</w:t>
            </w:r>
          </w:p>
        </w:tc>
        <w:tc>
          <w:tcPr>
            <w:tcW w:w="940" w:type="dxa"/>
            <w:vAlign w:val="bottom"/>
            <w:tcBorders>
              <w:bottom w:val="single" w:sz="8" w:color="D7282F"/>
            </w:tcBorders>
          </w:tcPr>
          <w:p>
            <w:pPr>
              <w:jc w:val="right"/>
              <w:ind w:right="248"/>
              <w:spacing w:after="0"/>
              <w:rPr>
                <w:sz w:val="20"/>
                <w:szCs w:val="20"/>
                <w:color w:val="auto"/>
              </w:rPr>
            </w:pPr>
            <w:r>
              <w:rPr>
                <w:rFonts w:ascii="Arial" w:cs="Arial" w:eastAsia="Arial" w:hAnsi="Arial"/>
                <w:sz w:val="14"/>
                <w:szCs w:val="14"/>
                <w:b w:val="1"/>
                <w:bCs w:val="1"/>
                <w:color w:val="auto"/>
              </w:rPr>
              <w:t>2023</w:t>
            </w:r>
          </w:p>
        </w:tc>
      </w:tr>
      <w:tr>
        <w:trPr>
          <w:trHeight w:val="193"/>
        </w:trPr>
        <w:tc>
          <w:tcPr>
            <w:tcW w:w="90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Products, transferred point in time</w:t>
            </w:r>
          </w:p>
        </w:tc>
        <w:tc>
          <w:tcPr>
            <w:tcW w:w="1240" w:type="dxa"/>
            <w:vAlign w:val="bottom"/>
            <w:tcBorders>
              <w:bottom w:val="single" w:sz="8" w:color="61656A"/>
            </w:tcBorders>
          </w:tcPr>
          <w:p>
            <w:pPr>
              <w:jc w:val="right"/>
              <w:ind w:right="208"/>
              <w:spacing w:after="0"/>
              <w:rPr>
                <w:sz w:val="20"/>
                <w:szCs w:val="20"/>
                <w:color w:val="auto"/>
              </w:rPr>
            </w:pPr>
            <w:r>
              <w:rPr>
                <w:rFonts w:ascii="Arial" w:cs="Arial" w:eastAsia="Arial" w:hAnsi="Arial"/>
                <w:sz w:val="14"/>
                <w:szCs w:val="14"/>
                <w:color w:val="auto"/>
              </w:rPr>
              <w:t>58 %</w:t>
            </w:r>
          </w:p>
        </w:tc>
        <w:tc>
          <w:tcPr>
            <w:tcW w:w="9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58 %</w:t>
            </w:r>
          </w:p>
        </w:tc>
      </w:tr>
      <w:tr>
        <w:trPr>
          <w:trHeight w:val="196"/>
        </w:trPr>
        <w:tc>
          <w:tcPr>
            <w:tcW w:w="90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Products, transferred over time</w:t>
            </w:r>
          </w:p>
        </w:tc>
        <w:tc>
          <w:tcPr>
            <w:tcW w:w="124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color w:val="auto"/>
              </w:rPr>
              <w:t>11</w:t>
            </w:r>
          </w:p>
        </w:tc>
        <w:tc>
          <w:tcPr>
            <w:tcW w:w="9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13</w:t>
            </w:r>
          </w:p>
        </w:tc>
      </w:tr>
      <w:tr>
        <w:trPr>
          <w:trHeight w:val="199"/>
        </w:trPr>
        <w:tc>
          <w:tcPr>
            <w:tcW w:w="906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Net product sales</w:t>
            </w:r>
          </w:p>
        </w:tc>
        <w:tc>
          <w:tcPr>
            <w:tcW w:w="124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b w:val="1"/>
                <w:bCs w:val="1"/>
                <w:color w:val="auto"/>
              </w:rPr>
              <w:t>69</w:t>
            </w:r>
          </w:p>
        </w:tc>
        <w:tc>
          <w:tcPr>
            <w:tcW w:w="9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71</w:t>
            </w:r>
          </w:p>
        </w:tc>
      </w:tr>
      <w:tr>
        <w:trPr>
          <w:trHeight w:val="193"/>
        </w:trPr>
        <w:tc>
          <w:tcPr>
            <w:tcW w:w="90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Services, transferred point in time</w:t>
            </w:r>
          </w:p>
        </w:tc>
        <w:tc>
          <w:tcPr>
            <w:tcW w:w="1240" w:type="dxa"/>
            <w:vAlign w:val="bottom"/>
            <w:tcBorders>
              <w:bottom w:val="single" w:sz="8" w:color="61656A"/>
            </w:tcBorders>
          </w:tcPr>
          <w:p>
            <w:pPr>
              <w:jc w:val="right"/>
              <w:ind w:right="368"/>
              <w:spacing w:after="0"/>
              <w:rPr>
                <w:sz w:val="20"/>
                <w:szCs w:val="20"/>
                <w:color w:val="auto"/>
              </w:rPr>
            </w:pPr>
            <w:r>
              <w:rPr>
                <w:rFonts w:ascii="Arial" w:cs="Arial" w:eastAsia="Arial" w:hAnsi="Arial"/>
                <w:sz w:val="14"/>
                <w:szCs w:val="14"/>
                <w:color w:val="auto"/>
              </w:rPr>
              <w:t>5</w:t>
            </w:r>
          </w:p>
        </w:tc>
        <w:tc>
          <w:tcPr>
            <w:tcW w:w="9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9</w:t>
            </w:r>
          </w:p>
        </w:tc>
      </w:tr>
      <w:tr>
        <w:trPr>
          <w:trHeight w:val="196"/>
        </w:trPr>
        <w:tc>
          <w:tcPr>
            <w:tcW w:w="90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Services, transferred over time</w:t>
            </w:r>
          </w:p>
        </w:tc>
        <w:tc>
          <w:tcPr>
            <w:tcW w:w="124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color w:val="auto"/>
              </w:rPr>
              <w:t>26</w:t>
            </w:r>
          </w:p>
        </w:tc>
        <w:tc>
          <w:tcPr>
            <w:tcW w:w="9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20</w:t>
            </w:r>
          </w:p>
        </w:tc>
      </w:tr>
      <w:tr>
        <w:trPr>
          <w:trHeight w:val="199"/>
        </w:trPr>
        <w:tc>
          <w:tcPr>
            <w:tcW w:w="906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Net service sales</w:t>
            </w:r>
          </w:p>
        </w:tc>
        <w:tc>
          <w:tcPr>
            <w:tcW w:w="124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b w:val="1"/>
                <w:bCs w:val="1"/>
                <w:color w:val="auto"/>
              </w:rPr>
              <w:t>31</w:t>
            </w:r>
          </w:p>
        </w:tc>
        <w:tc>
          <w:tcPr>
            <w:tcW w:w="9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29</w:t>
            </w:r>
          </w:p>
        </w:tc>
      </w:tr>
      <w:tr>
        <w:trPr>
          <w:trHeight w:val="196"/>
        </w:trPr>
        <w:tc>
          <w:tcPr>
            <w:tcW w:w="906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Net sales</w:t>
            </w:r>
          </w:p>
        </w:tc>
        <w:tc>
          <w:tcPr>
            <w:tcW w:w="124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100 %</w:t>
            </w: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100 %</w:t>
            </w:r>
          </w:p>
        </w:tc>
      </w:tr>
    </w:tbl>
    <w:p>
      <w:pPr>
        <w:spacing w:after="0" w:line="31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CONTRACT BALANCES</w:t>
      </w:r>
    </w:p>
    <w:p>
      <w:pPr>
        <w:spacing w:after="0" w:line="14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Company tracks progress on satisfying performance obligations under contracts with customers. The related billings and cash collections are recorded in the Consolidated Balance Sheet in Accounts receivable—net and Other assets (unbilled receivables (contract assets) and billed receivables), and Accrued liabilities and Other liabilities (customer advances and deposits (contract liabilities)). Unbilled receivables arise when the timing of cash collected from customers differs from the timing of revenue recognition, such as when contract provisions require specific milestones to be met before a customer can be billed. Contract assets are recognized when the revenue associated with the contract is recognized prior to billing and derecognized when billed in accordance with the terms of the contract. Contract liabilities are recorded when customers remit contractual cash payments in advance of the Company satisfying performance obligations under contractual arrangements, including those with performance obligations to be satisfied over a period of time. Contract liabilities are derecognized when revenue is recorded, either when a milestone is met triggering the contractual right to bill or when the performance obligation is satisfied.</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Contract balances are classified as assets or liabilities on a contract-by-contract basis at the end of each reporting period.</w:t>
      </w:r>
    </w:p>
    <w:p>
      <w:pPr>
        <w:spacing w:after="0" w:line="200" w:lineRule="exact"/>
        <w:rPr>
          <w:sz w:val="20"/>
          <w:szCs w:val="20"/>
          <w:color w:val="auto"/>
        </w:rPr>
      </w:pPr>
    </w:p>
    <w:p>
      <w:pPr>
        <w:spacing w:after="0" w:line="266" w:lineRule="exact"/>
        <w:rPr>
          <w:sz w:val="20"/>
          <w:szCs w:val="20"/>
          <w:color w:val="auto"/>
        </w:rPr>
      </w:pPr>
    </w:p>
    <w:p>
      <w:pPr>
        <w:ind w:left="400" w:hanging="392"/>
        <w:spacing w:after="0"/>
        <w:tabs>
          <w:tab w:leader="none" w:pos="400" w:val="left"/>
        </w:tabs>
        <w:numPr>
          <w:ilvl w:val="0"/>
          <w:numId w:val="13"/>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Company's contract assets and liabilities balances: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440" w:type="dxa"/>
            <w:vAlign w:val="bottom"/>
            <w:tcBorders>
              <w:bottom w:val="single" w:sz="8" w:color="D7282F"/>
            </w:tcBorders>
          </w:tcPr>
          <w:p>
            <w:pPr>
              <w:spacing w:after="0"/>
              <w:rPr>
                <w:sz w:val="17"/>
                <w:szCs w:val="17"/>
                <w:color w:val="auto"/>
              </w:rPr>
            </w:pPr>
          </w:p>
        </w:tc>
        <w:tc>
          <w:tcPr>
            <w:tcW w:w="302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2024</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2023</w:t>
            </w:r>
          </w:p>
        </w:tc>
      </w:tr>
      <w:tr>
        <w:trPr>
          <w:trHeight w:val="193"/>
        </w:trPr>
        <w:tc>
          <w:tcPr>
            <w:tcW w:w="64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Contract assets—January 1</w:t>
            </w:r>
          </w:p>
        </w:tc>
        <w:tc>
          <w:tcPr>
            <w:tcW w:w="302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2,013</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2,294</w:t>
            </w:r>
          </w:p>
        </w:tc>
      </w:tr>
      <w:tr>
        <w:trPr>
          <w:trHeight w:val="196"/>
        </w:trPr>
        <w:tc>
          <w:tcPr>
            <w:tcW w:w="64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Contract assets—March 31</w:t>
            </w:r>
          </w:p>
        </w:tc>
        <w:tc>
          <w:tcPr>
            <w:tcW w:w="302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1,939</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2,453</w:t>
            </w:r>
          </w:p>
        </w:tc>
      </w:tr>
      <w:tr>
        <w:trPr>
          <w:trHeight w:val="199"/>
        </w:trPr>
        <w:tc>
          <w:tcPr>
            <w:tcW w:w="644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Change in contract assets—increase (decrease)</w:t>
            </w:r>
          </w:p>
        </w:tc>
        <w:tc>
          <w:tcPr>
            <w:tcW w:w="30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(74)</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159</w:t>
            </w:r>
          </w:p>
        </w:tc>
      </w:tr>
      <w:tr>
        <w:trPr>
          <w:trHeight w:val="193"/>
        </w:trPr>
        <w:tc>
          <w:tcPr>
            <w:tcW w:w="64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Contract liabilities—January 1</w:t>
            </w:r>
          </w:p>
        </w:tc>
        <w:tc>
          <w:tcPr>
            <w:tcW w:w="302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(4,326)</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(4,583)</w:t>
            </w:r>
          </w:p>
        </w:tc>
      </w:tr>
      <w:tr>
        <w:trPr>
          <w:trHeight w:val="196"/>
        </w:trPr>
        <w:tc>
          <w:tcPr>
            <w:tcW w:w="64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Contract liabilities—March 31</w:t>
            </w:r>
          </w:p>
        </w:tc>
        <w:tc>
          <w:tcPr>
            <w:tcW w:w="302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(4,005)</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(4,291)</w:t>
            </w:r>
          </w:p>
        </w:tc>
      </w:tr>
      <w:tr>
        <w:trPr>
          <w:trHeight w:val="199"/>
        </w:trPr>
        <w:tc>
          <w:tcPr>
            <w:tcW w:w="644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Change in contract liabilities—decrease (increase)</w:t>
            </w:r>
          </w:p>
        </w:tc>
        <w:tc>
          <w:tcPr>
            <w:tcW w:w="30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321</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292</w:t>
            </w:r>
          </w:p>
        </w:tc>
      </w:tr>
      <w:tr>
        <w:trPr>
          <w:trHeight w:val="196"/>
        </w:trPr>
        <w:tc>
          <w:tcPr>
            <w:tcW w:w="644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Net change</w:t>
            </w:r>
          </w:p>
        </w:tc>
        <w:tc>
          <w:tcPr>
            <w:tcW w:w="30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247</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451</w:t>
            </w:r>
          </w:p>
        </w:tc>
      </w:tr>
    </w:tbl>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For the three months ended March 31, 2024, and 2023, the Company recognized revenue of $993 million and $953 million, respectively, that was previously included in the beginning balance of contract liabilities.</w:t>
      </w:r>
    </w:p>
    <w:p>
      <w:pPr>
        <w:spacing w:after="0" w:line="6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Contract assets included $1,869 million and $1,949 million of unbilled balances under long-term contracts as of March 31, 2024, and December 31, 2023, respectively. These amounts are billed in accordance with the terms of customer contracts to which they relate.</w:t>
      </w:r>
    </w:p>
    <w:p>
      <w:pPr>
        <w:spacing w:after="0" w:line="6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When contracts are modified to account for changes in contract specifications and requirements, the Company considers whether the modification either creates new or changes the existing enforceable rights and obligations. Contract modifications for goods or services and not distinct from the existing contract, due to the significant integration with the original good or service provided, are accounted for as if they were part of that existing contract. The effect of a contract modification on the transaction price and the Company's measure of progress for the performance obligation to which it relates, is recognized as an adjustment to revenue (either as an increase in or a reduction of revenue) on a cumulative catch-up basis. When the modifications include additional performance obligations that are distinct and at relative stand-alone selling price, they are accounted for as a new contract and performance obligation, which are recognized prospectively.</w:t>
      </w:r>
    </w:p>
    <w:p>
      <w:pPr>
        <w:spacing w:after="0" w:line="20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PERFORMANCE OBLIGATIONS</w:t>
      </w:r>
    </w:p>
    <w:p>
      <w:pPr>
        <w:spacing w:after="0" w:line="12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 performance obligation is a promise in a contract to transfer a distinct good or service to the customer and is defined as the unit of account. A contract’s transaction price is allocated to each distinct performance obligation and recognized as revenue when, or as, the performance obligation is satisfied. When the Company's contracts with customers require highly complex integration or manufacturing services that are not separately identifiable from other promises in the contracts and, therefore, not distinct, then the entire contract is accounted for as a single performance obligation. In situations when the Company's contracts include distinct goods or services that are substantially the same and have the same pattern of transfer to the customer over time, they are recognized as a series of distinct goods or services. For any contracts with multiple performance obligations, the Company allocates the contract’s transaction price to each performance obligation based on the estimated relative stand-alone selling price of each distinct good or service in the contract. For product sales, each product sold to a customer typically represents a distinct performance obligation. In such cases, the observable stand-alone sales are used to determine the stand-alone selling price.</w:t>
      </w:r>
    </w:p>
    <w:p>
      <w:pPr>
        <w:spacing w:after="0" w:line="6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Performance obligations are satisfied as of a point in time or over time. Performance obligations are supported by contracts with customers, providing a framework for the nature of the distinct goods, services or bundle of goods and services. The timing of satisfying the performance obligation is typically indicated by the terms of the contract.</w:t>
      </w:r>
    </w:p>
    <w:p>
      <w:pPr>
        <w:spacing w:after="0" w:line="395" w:lineRule="exact"/>
        <w:rPr>
          <w:sz w:val="20"/>
          <w:szCs w:val="20"/>
          <w:color w:val="auto"/>
        </w:rPr>
      </w:pPr>
    </w:p>
    <w:p>
      <w:pPr>
        <w:ind w:left="400" w:hanging="392"/>
        <w:spacing w:after="0"/>
        <w:tabs>
          <w:tab w:leader="none" w:pos="400" w:val="left"/>
        </w:tabs>
        <w:numPr>
          <w:ilvl w:val="0"/>
          <w:numId w:val="14"/>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280" w:type="dxa"/>
            <w:vAlign w:val="bottom"/>
          </w:tcPr>
          <w:p>
            <w:pPr>
              <w:jc w:val="center"/>
              <w:ind w:left="1884"/>
              <w:spacing w:after="0"/>
              <w:rPr>
                <w:sz w:val="20"/>
                <w:szCs w:val="20"/>
                <w:color w:val="auto"/>
              </w:rPr>
            </w:pPr>
            <w:r>
              <w:rPr>
                <w:rFonts w:ascii="Arial" w:cs="Arial" w:eastAsia="Arial" w:hAnsi="Arial"/>
                <w:sz w:val="16"/>
                <w:szCs w:val="16"/>
                <w:b w:val="1"/>
                <w:bCs w:val="1"/>
                <w:color w:val="auto"/>
              </w:rPr>
              <w:t>HONEYWELL INTERNATIONAL INC.</w:t>
            </w:r>
          </w:p>
        </w:tc>
        <w:tc>
          <w:tcPr>
            <w:tcW w:w="42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189"/>
        </w:trPr>
        <w:tc>
          <w:tcPr>
            <w:tcW w:w="9280" w:type="dxa"/>
            <w:vAlign w:val="bottom"/>
          </w:tcPr>
          <w:p>
            <w:pPr>
              <w:jc w:val="center"/>
              <w:ind w:left="1884"/>
              <w:spacing w:after="0"/>
              <w:rPr>
                <w:sz w:val="20"/>
                <w:szCs w:val="20"/>
                <w:color w:val="auto"/>
              </w:rPr>
            </w:pPr>
            <w:r>
              <w:rPr>
                <w:rFonts w:ascii="Arial" w:cs="Arial" w:eastAsia="Arial" w:hAnsi="Arial"/>
                <w:sz w:val="16"/>
                <w:szCs w:val="16"/>
                <w:b w:val="1"/>
                <w:bCs w:val="1"/>
                <w:color w:val="auto"/>
              </w:rPr>
              <w:t>NOTES TO CONSOLIDATED FINANCIAL STATEMENTS</w:t>
            </w:r>
          </w:p>
        </w:tc>
        <w:tc>
          <w:tcPr>
            <w:tcW w:w="42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189"/>
        </w:trPr>
        <w:tc>
          <w:tcPr>
            <w:tcW w:w="9280" w:type="dxa"/>
            <w:vAlign w:val="bottom"/>
          </w:tcPr>
          <w:p>
            <w:pPr>
              <w:jc w:val="center"/>
              <w:ind w:left="1904"/>
              <w:spacing w:after="0"/>
              <w:rPr>
                <w:sz w:val="20"/>
                <w:szCs w:val="20"/>
                <w:color w:val="auto"/>
              </w:rPr>
            </w:pPr>
            <w:r>
              <w:rPr>
                <w:rFonts w:ascii="Arial" w:cs="Arial" w:eastAsia="Arial" w:hAnsi="Arial"/>
                <w:sz w:val="16"/>
                <w:szCs w:val="16"/>
                <w:b w:val="1"/>
                <w:bCs w:val="1"/>
                <w:color w:val="auto"/>
              </w:rPr>
              <w:t>(Unaudited)</w:t>
            </w:r>
          </w:p>
        </w:tc>
        <w:tc>
          <w:tcPr>
            <w:tcW w:w="42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23"/>
        </w:trPr>
        <w:tc>
          <w:tcPr>
            <w:tcW w:w="9280" w:type="dxa"/>
            <w:vAlign w:val="bottom"/>
          </w:tcPr>
          <w:p>
            <w:pPr>
              <w:jc w:val="center"/>
              <w:ind w:left="1904"/>
              <w:spacing w:after="0"/>
              <w:rPr>
                <w:sz w:val="20"/>
                <w:szCs w:val="20"/>
                <w:color w:val="auto"/>
              </w:rPr>
            </w:pPr>
            <w:r>
              <w:rPr>
                <w:rFonts w:ascii="Arial" w:cs="Arial" w:eastAsia="Arial" w:hAnsi="Arial"/>
                <w:sz w:val="16"/>
                <w:szCs w:val="16"/>
                <w:b w:val="1"/>
                <w:bCs w:val="1"/>
                <w:color w:val="auto"/>
              </w:rPr>
              <w:t>(Dollars in tables in millions, except per share amounts)</w:t>
            </w:r>
          </w:p>
        </w:tc>
        <w:tc>
          <w:tcPr>
            <w:tcW w:w="42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613"/>
        </w:trPr>
        <w:tc>
          <w:tcPr>
            <w:tcW w:w="9280" w:type="dxa"/>
            <w:vAlign w:val="bottom"/>
          </w:tcPr>
          <w:p>
            <w:pPr>
              <w:spacing w:after="0"/>
              <w:rPr>
                <w:sz w:val="20"/>
                <w:szCs w:val="20"/>
                <w:color w:val="auto"/>
              </w:rPr>
            </w:pPr>
            <w:r>
              <w:rPr>
                <w:rFonts w:ascii="Arial" w:cs="Arial" w:eastAsia="Arial" w:hAnsi="Arial"/>
                <w:sz w:val="16"/>
                <w:szCs w:val="16"/>
                <w:color w:val="auto"/>
              </w:rPr>
              <w:t>The following table outlines the Company's remaining performance obligations disaggregated by reportable business segment:</w:t>
            </w:r>
          </w:p>
        </w:tc>
        <w:tc>
          <w:tcPr>
            <w:tcW w:w="4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25"/>
        </w:trPr>
        <w:tc>
          <w:tcPr>
            <w:tcW w:w="9280" w:type="dxa"/>
            <w:vAlign w:val="bottom"/>
            <w:tcBorders>
              <w:bottom w:val="single" w:sz="8" w:color="D7282F"/>
            </w:tcBorders>
          </w:tcPr>
          <w:p>
            <w:pPr>
              <w:spacing w:after="0"/>
              <w:rPr>
                <w:sz w:val="24"/>
                <w:szCs w:val="24"/>
                <w:color w:val="auto"/>
              </w:rPr>
            </w:pPr>
          </w:p>
        </w:tc>
        <w:tc>
          <w:tcPr>
            <w:tcW w:w="420" w:type="dxa"/>
            <w:vAlign w:val="bottom"/>
            <w:tcBorders>
              <w:bottom w:val="single" w:sz="8" w:color="D7282F"/>
            </w:tcBorders>
          </w:tcPr>
          <w:p>
            <w:pPr>
              <w:spacing w:after="0"/>
              <w:rPr>
                <w:sz w:val="24"/>
                <w:szCs w:val="24"/>
                <w:color w:val="auto"/>
              </w:rPr>
            </w:pPr>
          </w:p>
        </w:tc>
        <w:tc>
          <w:tcPr>
            <w:tcW w:w="154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March 31, 2024</w:t>
            </w:r>
          </w:p>
        </w:tc>
      </w:tr>
      <w:tr>
        <w:trPr>
          <w:trHeight w:val="193"/>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Aerospace Technologies</w:t>
            </w:r>
          </w:p>
        </w:tc>
        <w:tc>
          <w:tcPr>
            <w:tcW w:w="4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14,387</w:t>
            </w:r>
          </w:p>
        </w:tc>
      </w:tr>
      <w:tr>
        <w:trPr>
          <w:trHeight w:val="196"/>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Industrial Automation</w:t>
            </w:r>
          </w:p>
        </w:tc>
        <w:tc>
          <w:tcPr>
            <w:tcW w:w="420" w:type="dxa"/>
            <w:vAlign w:val="bottom"/>
            <w:tcBorders>
              <w:bottom w:val="single" w:sz="8" w:color="61656A"/>
            </w:tcBorders>
          </w:tcPr>
          <w:p>
            <w:pPr>
              <w:spacing w:after="0"/>
              <w:rPr>
                <w:sz w:val="17"/>
                <w:szCs w:val="17"/>
                <w:color w:val="auto"/>
              </w:rPr>
            </w:pPr>
          </w:p>
        </w:tc>
        <w:tc>
          <w:tcPr>
            <w:tcW w:w="15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6,175</w:t>
            </w:r>
          </w:p>
        </w:tc>
      </w:tr>
      <w:tr>
        <w:trPr>
          <w:trHeight w:val="196"/>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Building Automation</w:t>
            </w:r>
          </w:p>
        </w:tc>
        <w:tc>
          <w:tcPr>
            <w:tcW w:w="420" w:type="dxa"/>
            <w:vAlign w:val="bottom"/>
            <w:tcBorders>
              <w:bottom w:val="single" w:sz="8" w:color="61656A"/>
            </w:tcBorders>
          </w:tcPr>
          <w:p>
            <w:pPr>
              <w:spacing w:after="0"/>
              <w:rPr>
                <w:sz w:val="17"/>
                <w:szCs w:val="17"/>
                <w:color w:val="auto"/>
              </w:rPr>
            </w:pPr>
          </w:p>
        </w:tc>
        <w:tc>
          <w:tcPr>
            <w:tcW w:w="15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6,983</w:t>
            </w:r>
          </w:p>
        </w:tc>
      </w:tr>
      <w:tr>
        <w:trPr>
          <w:trHeight w:val="196"/>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Energy and Sustainability Solutions</w:t>
            </w:r>
          </w:p>
        </w:tc>
        <w:tc>
          <w:tcPr>
            <w:tcW w:w="420" w:type="dxa"/>
            <w:vAlign w:val="bottom"/>
            <w:tcBorders>
              <w:bottom w:val="single" w:sz="8" w:color="61656A"/>
            </w:tcBorders>
          </w:tcPr>
          <w:p>
            <w:pPr>
              <w:spacing w:after="0"/>
              <w:rPr>
                <w:sz w:val="17"/>
                <w:szCs w:val="17"/>
                <w:color w:val="auto"/>
              </w:rPr>
            </w:pPr>
          </w:p>
        </w:tc>
        <w:tc>
          <w:tcPr>
            <w:tcW w:w="15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4,418</w:t>
            </w:r>
          </w:p>
        </w:tc>
      </w:tr>
      <w:tr>
        <w:trPr>
          <w:trHeight w:val="196"/>
        </w:trPr>
        <w:tc>
          <w:tcPr>
            <w:tcW w:w="92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Corporate and All Other</w:t>
            </w:r>
            <w:r>
              <w:rPr>
                <w:rFonts w:ascii="Arial" w:cs="Arial" w:eastAsia="Arial" w:hAnsi="Arial"/>
                <w:sz w:val="9"/>
                <w:szCs w:val="9"/>
                <w:color w:val="auto"/>
              </w:rPr>
              <w:t>1</w:t>
            </w:r>
          </w:p>
        </w:tc>
        <w:tc>
          <w:tcPr>
            <w:tcW w:w="420" w:type="dxa"/>
            <w:vAlign w:val="bottom"/>
            <w:tcBorders>
              <w:bottom w:val="single" w:sz="8" w:color="D7282F"/>
            </w:tcBorders>
          </w:tcPr>
          <w:p>
            <w:pPr>
              <w:spacing w:after="0"/>
              <w:rPr>
                <w:sz w:val="17"/>
                <w:szCs w:val="17"/>
                <w:color w:val="auto"/>
              </w:rPr>
            </w:pPr>
          </w:p>
        </w:tc>
        <w:tc>
          <w:tcPr>
            <w:tcW w:w="15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49</w:t>
            </w:r>
          </w:p>
        </w:tc>
      </w:tr>
      <w:tr>
        <w:trPr>
          <w:trHeight w:val="199"/>
        </w:trPr>
        <w:tc>
          <w:tcPr>
            <w:tcW w:w="92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performance obligations</w:t>
            </w:r>
          </w:p>
        </w:tc>
        <w:tc>
          <w:tcPr>
            <w:tcW w:w="4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5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32,012</w:t>
            </w:r>
          </w:p>
        </w:tc>
      </w:tr>
    </w:tbl>
    <w:p>
      <w:pPr>
        <w:spacing w:after="0" w:line="9" w:lineRule="exact"/>
        <w:rPr>
          <w:sz w:val="20"/>
          <w:szCs w:val="20"/>
          <w:color w:val="auto"/>
        </w:rPr>
      </w:pPr>
    </w:p>
    <w:p>
      <w:pPr>
        <w:ind w:left="480" w:hanging="344"/>
        <w:spacing w:after="0"/>
        <w:tabs>
          <w:tab w:leader="none" w:pos="480" w:val="left"/>
        </w:tabs>
        <w:numPr>
          <w:ilvl w:val="0"/>
          <w:numId w:val="15"/>
        </w:numPr>
        <w:rPr>
          <w:rFonts w:ascii="Arial" w:cs="Arial" w:eastAsia="Arial" w:hAnsi="Arial"/>
          <w:sz w:val="25"/>
          <w:szCs w:val="25"/>
          <w:color w:val="auto"/>
          <w:vertAlign w:val="subscript"/>
        </w:rPr>
      </w:pPr>
      <w:r>
        <w:rPr>
          <w:rFonts w:ascii="Arial" w:cs="Arial" w:eastAsia="Arial" w:hAnsi="Arial"/>
          <w:sz w:val="13"/>
          <w:szCs w:val="13"/>
          <w:color w:val="auto"/>
        </w:rPr>
        <w:t>The remaining performance obligations within Corporate and All Other relate to the Quantinuum business.</w:t>
      </w:r>
    </w:p>
    <w:p>
      <w:pPr>
        <w:spacing w:after="0" w:line="36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Performance obligations recognized as of March 31, 2024, will be satisfied over the course of future periods. The Company's disclosure of the timing for satisfying the performance obligation is based on the requirements of contracts with customers. However, from time to time, these contracts may be subject to modifications, impacting the timing of satisfying the performance obligations. Performance obligations expected to be satisfied within one year and greater than one year are 55% and 45%, respectively.</w:t>
      </w:r>
    </w:p>
    <w:p>
      <w:pPr>
        <w:spacing w:after="0" w:line="6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timing of satisfaction of the Company's performance obligations does not significantly vary from the typical timing of payment. Typical payment terms of the Company's fixed price over time contracts include progress payments based on specified events or milestones or based on project progress. For some contracts, the Company may be entitled to receive an advance payment.</w:t>
      </w:r>
    </w:p>
    <w:p>
      <w:pPr>
        <w:spacing w:after="0" w:line="5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Company applied the practical expedient for certain revenue streams to exclude the value of remaining performance obligations for (i) contracts with an original expected term of one year or less or (ii) contracts for which the Company recognizes revenue in proportion to the amount the Company has the right to invoice for services performed.</w:t>
      </w:r>
    </w:p>
    <w:p>
      <w:pPr>
        <w:spacing w:after="0" w:line="227" w:lineRule="exact"/>
        <w:rPr>
          <w:sz w:val="20"/>
          <w:szCs w:val="20"/>
          <w:color w:val="auto"/>
        </w:rPr>
      </w:pPr>
    </w:p>
    <w:p>
      <w:pPr>
        <w:spacing w:after="0"/>
        <w:rPr>
          <w:sz w:val="20"/>
          <w:szCs w:val="20"/>
          <w:color w:val="auto"/>
        </w:rPr>
      </w:pPr>
      <w:r>
        <w:rPr>
          <w:rFonts w:ascii="Arial" w:cs="Arial" w:eastAsia="Arial" w:hAnsi="Arial"/>
          <w:sz w:val="29"/>
          <w:szCs w:val="29"/>
          <w:color w:val="D7282F"/>
        </w:rPr>
        <w:t>NOTE 5. REPOSITIONING AND OTHER CHARGES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A summary of net repositioning and other charges follows:</w:t>
      </w:r>
    </w:p>
    <w:p>
      <w:pPr>
        <w:spacing w:after="0" w:line="158" w:lineRule="exact"/>
        <w:rPr>
          <w:sz w:val="20"/>
          <w:szCs w:val="20"/>
          <w:color w:val="auto"/>
        </w:rPr>
      </w:pPr>
    </w:p>
    <w:p>
      <w:pPr>
        <w:jc w:val="center"/>
        <w:ind w:left="9260"/>
        <w:spacing w:after="0"/>
        <w:rPr>
          <w:sz w:val="20"/>
          <w:szCs w:val="20"/>
          <w:color w:val="auto"/>
        </w:rPr>
      </w:pPr>
      <w:r>
        <w:rPr>
          <w:rFonts w:ascii="Arial" w:cs="Arial" w:eastAsia="Arial" w:hAnsi="Arial"/>
          <w:sz w:val="14"/>
          <w:szCs w:val="14"/>
          <w:b w:val="1"/>
          <w:bCs w:val="1"/>
          <w:color w:val="auto"/>
        </w:rPr>
        <w:t>Three Months Ended March</w:t>
      </w:r>
    </w:p>
    <w:p>
      <w:pPr>
        <w:spacing w:after="0" w:line="2" w:lineRule="exact"/>
        <w:rPr>
          <w:sz w:val="20"/>
          <w:szCs w:val="20"/>
          <w:color w:val="auto"/>
        </w:rPr>
      </w:pPr>
    </w:p>
    <w:p>
      <w:pPr>
        <w:jc w:val="center"/>
        <w:ind w:left="9260"/>
        <w:spacing w:after="0"/>
        <w:rPr>
          <w:sz w:val="20"/>
          <w:szCs w:val="20"/>
          <w:color w:val="auto"/>
        </w:rPr>
      </w:pPr>
      <w:r>
        <w:rPr>
          <w:rFonts w:ascii="Arial" w:cs="Arial" w:eastAsia="Arial" w:hAnsi="Arial"/>
          <w:sz w:val="14"/>
          <w:szCs w:val="14"/>
          <w:b w:val="1"/>
          <w:bCs w:val="1"/>
          <w:color w:val="auto"/>
        </w:rPr>
        <w:t>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280" w:type="dxa"/>
            <w:vAlign w:val="bottom"/>
            <w:tcBorders>
              <w:bottom w:val="single" w:sz="8" w:color="D7282F"/>
            </w:tcBorders>
          </w:tcPr>
          <w:p>
            <w:pPr>
              <w:spacing w:after="0"/>
              <w:rPr>
                <w:sz w:val="17"/>
                <w:szCs w:val="17"/>
                <w:color w:val="auto"/>
              </w:rPr>
            </w:pPr>
          </w:p>
        </w:tc>
        <w:tc>
          <w:tcPr>
            <w:tcW w:w="180" w:type="dxa"/>
            <w:vAlign w:val="bottom"/>
            <w:tcBorders>
              <w:top w:val="single" w:sz="8" w:color="D7282F"/>
              <w:bottom w:val="single" w:sz="8" w:color="D7282F"/>
            </w:tcBorders>
          </w:tcPr>
          <w:p>
            <w:pPr>
              <w:spacing w:after="0"/>
              <w:rPr>
                <w:sz w:val="17"/>
                <w:szCs w:val="17"/>
                <w:color w:val="auto"/>
              </w:rPr>
            </w:pPr>
          </w:p>
        </w:tc>
        <w:tc>
          <w:tcPr>
            <w:tcW w:w="800" w:type="dxa"/>
            <w:vAlign w:val="bottom"/>
            <w:tcBorders>
              <w:top w:val="single" w:sz="8" w:color="D7282F"/>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2024</w:t>
            </w:r>
          </w:p>
        </w:tc>
        <w:tc>
          <w:tcPr>
            <w:tcW w:w="300" w:type="dxa"/>
            <w:vAlign w:val="bottom"/>
            <w:tcBorders>
              <w:top w:val="single" w:sz="8" w:color="D7282F"/>
              <w:bottom w:val="single" w:sz="8" w:color="D7282F"/>
            </w:tcBorders>
          </w:tcPr>
          <w:p>
            <w:pPr>
              <w:spacing w:after="0"/>
              <w:rPr>
                <w:sz w:val="17"/>
                <w:szCs w:val="17"/>
                <w:color w:val="auto"/>
              </w:rPr>
            </w:pPr>
          </w:p>
        </w:tc>
        <w:tc>
          <w:tcPr>
            <w:tcW w:w="680" w:type="dxa"/>
            <w:vAlign w:val="bottom"/>
            <w:tcBorders>
              <w:top w:val="single" w:sz="8" w:color="D7282F"/>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2023</w:t>
            </w:r>
          </w:p>
        </w:tc>
      </w:tr>
      <w:tr>
        <w:trPr>
          <w:trHeight w:val="192"/>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Severance</w:t>
            </w: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33</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67</w:t>
            </w:r>
          </w:p>
        </w:tc>
      </w:tr>
      <w:tr>
        <w:trPr>
          <w:trHeight w:val="196"/>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Asset impairments</w:t>
            </w: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w:t>
            </w:r>
          </w:p>
        </w:tc>
      </w:tr>
      <w:tr>
        <w:trPr>
          <w:trHeight w:val="196"/>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Exit costs</w:t>
            </w: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15</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24</w:t>
            </w:r>
          </w:p>
        </w:tc>
      </w:tr>
      <w:tr>
        <w:trPr>
          <w:trHeight w:val="196"/>
        </w:trPr>
        <w:tc>
          <w:tcPr>
            <w:tcW w:w="92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Reserve adjustments</w:t>
            </w: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(15)</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w:t>
            </w:r>
          </w:p>
        </w:tc>
      </w:tr>
      <w:tr>
        <w:trPr>
          <w:trHeight w:val="199"/>
        </w:trPr>
        <w:tc>
          <w:tcPr>
            <w:tcW w:w="92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net repositioning charges</w:t>
            </w: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34</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98</w:t>
            </w:r>
          </w:p>
        </w:tc>
      </w:tr>
      <w:tr>
        <w:trPr>
          <w:trHeight w:val="193"/>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Asbestos-related charges, net of insurance and reimbursements</w:t>
            </w:r>
          </w:p>
        </w:tc>
        <w:tc>
          <w:tcPr>
            <w:tcW w:w="18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18</w:t>
            </w:r>
          </w:p>
        </w:tc>
        <w:tc>
          <w:tcPr>
            <w:tcW w:w="30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21</w:t>
            </w:r>
          </w:p>
        </w:tc>
      </w:tr>
      <w:tr>
        <w:trPr>
          <w:trHeight w:val="196"/>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Probable and reasonably estimable environmental liabilities, net of reimbursements</w:t>
            </w: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24</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22</w:t>
            </w:r>
          </w:p>
        </w:tc>
      </w:tr>
      <w:tr>
        <w:trPr>
          <w:trHeight w:val="196"/>
        </w:trPr>
        <w:tc>
          <w:tcPr>
            <w:tcW w:w="92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Other charges</w:t>
            </w: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17</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r>
      <w:tr>
        <w:trPr>
          <w:trHeight w:val="199"/>
        </w:trPr>
        <w:tc>
          <w:tcPr>
            <w:tcW w:w="92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net repositioning and other charges</w:t>
            </w: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93</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141</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pre-tax distribution of total net repositioning and other charges by classification in the Consolidated Statement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Operations:</w:t>
      </w:r>
    </w:p>
    <w:p>
      <w:pPr>
        <w:spacing w:after="0" w:line="142" w:lineRule="exact"/>
        <w:rPr>
          <w:sz w:val="20"/>
          <w:szCs w:val="20"/>
          <w:color w:val="auto"/>
        </w:rPr>
      </w:pPr>
    </w:p>
    <w:p>
      <w:pPr>
        <w:jc w:val="center"/>
        <w:ind w:left="9260"/>
        <w:spacing w:after="0"/>
        <w:rPr>
          <w:sz w:val="20"/>
          <w:szCs w:val="20"/>
          <w:color w:val="auto"/>
        </w:rPr>
      </w:pPr>
      <w:r>
        <w:rPr>
          <w:rFonts w:ascii="Arial" w:cs="Arial" w:eastAsia="Arial" w:hAnsi="Arial"/>
          <w:sz w:val="14"/>
          <w:szCs w:val="14"/>
          <w:b w:val="1"/>
          <w:bCs w:val="1"/>
          <w:color w:val="auto"/>
        </w:rPr>
        <w:t>Three Months Ended March</w:t>
      </w:r>
    </w:p>
    <w:p>
      <w:pPr>
        <w:spacing w:after="0" w:line="2" w:lineRule="exact"/>
        <w:rPr>
          <w:sz w:val="20"/>
          <w:szCs w:val="20"/>
          <w:color w:val="auto"/>
        </w:rPr>
      </w:pPr>
    </w:p>
    <w:p>
      <w:pPr>
        <w:jc w:val="center"/>
        <w:ind w:left="9260"/>
        <w:spacing w:after="0"/>
        <w:rPr>
          <w:sz w:val="20"/>
          <w:szCs w:val="20"/>
          <w:color w:val="auto"/>
        </w:rPr>
      </w:pPr>
      <w:r>
        <w:rPr>
          <w:rFonts w:ascii="Arial" w:cs="Arial" w:eastAsia="Arial" w:hAnsi="Arial"/>
          <w:sz w:val="14"/>
          <w:szCs w:val="14"/>
          <w:b w:val="1"/>
          <w:bCs w:val="1"/>
          <w:color w:val="auto"/>
        </w:rPr>
        <w:t>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280" w:type="dxa"/>
            <w:vAlign w:val="bottom"/>
            <w:tcBorders>
              <w:bottom w:val="single" w:sz="8" w:color="D7282F"/>
            </w:tcBorders>
          </w:tcPr>
          <w:p>
            <w:pPr>
              <w:spacing w:after="0"/>
              <w:rPr>
                <w:sz w:val="17"/>
                <w:szCs w:val="17"/>
                <w:color w:val="auto"/>
              </w:rPr>
            </w:pPr>
          </w:p>
        </w:tc>
        <w:tc>
          <w:tcPr>
            <w:tcW w:w="620" w:type="dxa"/>
            <w:vAlign w:val="bottom"/>
            <w:tcBorders>
              <w:top w:val="single" w:sz="8" w:color="D7282F"/>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2024</w:t>
            </w:r>
          </w:p>
        </w:tc>
        <w:tc>
          <w:tcPr>
            <w:tcW w:w="340" w:type="dxa"/>
            <w:vAlign w:val="bottom"/>
            <w:tcBorders>
              <w:top w:val="single" w:sz="8" w:color="D7282F"/>
              <w:bottom w:val="single" w:sz="8" w:color="D7282F"/>
            </w:tcBorders>
          </w:tcPr>
          <w:p>
            <w:pPr>
              <w:spacing w:after="0"/>
              <w:rPr>
                <w:sz w:val="17"/>
                <w:szCs w:val="17"/>
                <w:color w:val="auto"/>
              </w:rPr>
            </w:pPr>
          </w:p>
        </w:tc>
        <w:tc>
          <w:tcPr>
            <w:tcW w:w="320" w:type="dxa"/>
            <w:vAlign w:val="bottom"/>
            <w:tcBorders>
              <w:top w:val="single" w:sz="8" w:color="D7282F"/>
              <w:bottom w:val="single" w:sz="8" w:color="D7282F"/>
            </w:tcBorders>
          </w:tcPr>
          <w:p>
            <w:pPr>
              <w:spacing w:after="0"/>
              <w:rPr>
                <w:sz w:val="17"/>
                <w:szCs w:val="17"/>
                <w:color w:val="auto"/>
              </w:rPr>
            </w:pPr>
          </w:p>
        </w:tc>
        <w:tc>
          <w:tcPr>
            <w:tcW w:w="680" w:type="dxa"/>
            <w:vAlign w:val="bottom"/>
            <w:tcBorders>
              <w:top w:val="single" w:sz="8" w:color="D7282F"/>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2023</w:t>
            </w:r>
          </w:p>
        </w:tc>
      </w:tr>
      <w:tr>
        <w:trPr>
          <w:trHeight w:val="192"/>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Cost of products and services sold</w:t>
            </w:r>
          </w:p>
        </w:tc>
        <w:tc>
          <w:tcPr>
            <w:tcW w:w="620" w:type="dxa"/>
            <w:vAlign w:val="bottom"/>
            <w:tcBorders>
              <w:bottom w:val="single" w:sz="8" w:color="61656A"/>
            </w:tcBorders>
          </w:tcPr>
          <w:p>
            <w:pPr>
              <w:jc w:val="right"/>
              <w:ind w:right="44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58</w:t>
            </w:r>
          </w:p>
        </w:tc>
        <w:tc>
          <w:tcPr>
            <w:tcW w:w="32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80</w:t>
            </w:r>
          </w:p>
        </w:tc>
      </w:tr>
      <w:tr>
        <w:trPr>
          <w:trHeight w:val="196"/>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Selling, general and administrative expenses</w:t>
            </w:r>
          </w:p>
        </w:tc>
        <w:tc>
          <w:tcPr>
            <w:tcW w:w="620" w:type="dxa"/>
            <w:vAlign w:val="bottom"/>
            <w:tcBorders>
              <w:bottom w:val="single" w:sz="8" w:color="61656A"/>
            </w:tcBorders>
          </w:tcPr>
          <w:p>
            <w:pPr>
              <w:spacing w:after="0"/>
              <w:rPr>
                <w:sz w:val="17"/>
                <w:szCs w:val="17"/>
                <w:color w:val="auto"/>
              </w:rPr>
            </w:pPr>
          </w:p>
        </w:tc>
        <w:tc>
          <w:tcPr>
            <w:tcW w:w="3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18</w:t>
            </w: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65</w:t>
            </w:r>
          </w:p>
        </w:tc>
      </w:tr>
      <w:tr>
        <w:trPr>
          <w:trHeight w:val="196"/>
        </w:trPr>
        <w:tc>
          <w:tcPr>
            <w:tcW w:w="92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Other (income) expense</w:t>
            </w:r>
          </w:p>
        </w:tc>
        <w:tc>
          <w:tcPr>
            <w:tcW w:w="62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17</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w:t>
            </w:r>
          </w:p>
        </w:tc>
      </w:tr>
      <w:tr>
        <w:trPr>
          <w:trHeight w:val="199"/>
        </w:trPr>
        <w:tc>
          <w:tcPr>
            <w:tcW w:w="92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net repositioning and other charges</w:t>
            </w:r>
          </w:p>
        </w:tc>
        <w:tc>
          <w:tcPr>
            <w:tcW w:w="620" w:type="dxa"/>
            <w:vAlign w:val="bottom"/>
            <w:tcBorders>
              <w:bottom w:val="single" w:sz="8" w:color="D7282F"/>
            </w:tcBorders>
          </w:tcPr>
          <w:p>
            <w:pPr>
              <w:jc w:val="right"/>
              <w:ind w:right="448"/>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93</w:t>
            </w:r>
          </w:p>
        </w:tc>
        <w:tc>
          <w:tcPr>
            <w:tcW w:w="3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141</w:t>
            </w:r>
          </w:p>
        </w:tc>
      </w:tr>
    </w:tbl>
    <w:p>
      <w:pPr>
        <w:spacing w:after="0" w:line="200" w:lineRule="exact"/>
        <w:rPr>
          <w:sz w:val="20"/>
          <w:szCs w:val="20"/>
          <w:color w:val="auto"/>
        </w:rPr>
      </w:pPr>
    </w:p>
    <w:p>
      <w:pPr>
        <w:spacing w:after="0" w:line="30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DC202E"/>
        </w:rPr>
        <w:t>13</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following table summarizes the pre-tax amount of total net repositioning and other charges by reportable business segment. These amounts are excluded from segment profit as described in Note 18 Segment Financial Data:</w:t>
      </w:r>
    </w:p>
    <w:p>
      <w:pPr>
        <w:spacing w:after="0" w:line="94" w:lineRule="exact"/>
        <w:rPr>
          <w:sz w:val="20"/>
          <w:szCs w:val="20"/>
          <w:color w:val="auto"/>
        </w:rPr>
      </w:pPr>
    </w:p>
    <w:p>
      <w:pPr>
        <w:jc w:val="center"/>
        <w:ind w:left="9260"/>
        <w:spacing w:after="0"/>
        <w:rPr>
          <w:sz w:val="20"/>
          <w:szCs w:val="20"/>
          <w:color w:val="auto"/>
        </w:rPr>
      </w:pPr>
      <w:r>
        <w:rPr>
          <w:rFonts w:ascii="Arial" w:cs="Arial" w:eastAsia="Arial" w:hAnsi="Arial"/>
          <w:sz w:val="14"/>
          <w:szCs w:val="14"/>
          <w:b w:val="1"/>
          <w:bCs w:val="1"/>
          <w:color w:val="auto"/>
        </w:rPr>
        <w:t>Three Months Ended March</w:t>
      </w:r>
    </w:p>
    <w:p>
      <w:pPr>
        <w:jc w:val="center"/>
        <w:ind w:left="9260"/>
        <w:spacing w:after="0"/>
        <w:rPr>
          <w:sz w:val="20"/>
          <w:szCs w:val="20"/>
          <w:color w:val="auto"/>
        </w:rPr>
      </w:pPr>
      <w:r>
        <w:rPr>
          <w:rFonts w:ascii="Arial" w:cs="Arial" w:eastAsia="Arial" w:hAnsi="Arial"/>
          <w:sz w:val="14"/>
          <w:szCs w:val="14"/>
          <w:b w:val="1"/>
          <w:bCs w:val="1"/>
          <w:color w:val="auto"/>
        </w:rPr>
        <w:t>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280" w:type="dxa"/>
            <w:vAlign w:val="bottom"/>
            <w:tcBorders>
              <w:bottom w:val="single" w:sz="8" w:color="D7282F"/>
            </w:tcBorders>
          </w:tcPr>
          <w:p>
            <w:pPr>
              <w:spacing w:after="0"/>
              <w:rPr>
                <w:sz w:val="17"/>
                <w:szCs w:val="17"/>
                <w:color w:val="auto"/>
              </w:rPr>
            </w:pPr>
          </w:p>
        </w:tc>
        <w:tc>
          <w:tcPr>
            <w:tcW w:w="620" w:type="dxa"/>
            <w:vAlign w:val="bottom"/>
            <w:tcBorders>
              <w:top w:val="single" w:sz="8" w:color="D7282F"/>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2024</w:t>
            </w:r>
          </w:p>
        </w:tc>
        <w:tc>
          <w:tcPr>
            <w:tcW w:w="340" w:type="dxa"/>
            <w:vAlign w:val="bottom"/>
            <w:tcBorders>
              <w:top w:val="single" w:sz="8" w:color="D7282F"/>
              <w:bottom w:val="single" w:sz="8" w:color="D7282F"/>
            </w:tcBorders>
          </w:tcPr>
          <w:p>
            <w:pPr>
              <w:spacing w:after="0"/>
              <w:rPr>
                <w:sz w:val="17"/>
                <w:szCs w:val="17"/>
                <w:color w:val="auto"/>
              </w:rPr>
            </w:pPr>
          </w:p>
        </w:tc>
        <w:tc>
          <w:tcPr>
            <w:tcW w:w="320" w:type="dxa"/>
            <w:vAlign w:val="bottom"/>
            <w:tcBorders>
              <w:top w:val="single" w:sz="8" w:color="D7282F"/>
              <w:bottom w:val="single" w:sz="8" w:color="D7282F"/>
            </w:tcBorders>
          </w:tcPr>
          <w:p>
            <w:pPr>
              <w:spacing w:after="0"/>
              <w:rPr>
                <w:sz w:val="17"/>
                <w:szCs w:val="17"/>
                <w:color w:val="auto"/>
              </w:rPr>
            </w:pPr>
          </w:p>
        </w:tc>
        <w:tc>
          <w:tcPr>
            <w:tcW w:w="680" w:type="dxa"/>
            <w:vAlign w:val="bottom"/>
            <w:tcBorders>
              <w:top w:val="single" w:sz="8" w:color="D7282F"/>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2023</w:t>
            </w:r>
          </w:p>
        </w:tc>
      </w:tr>
      <w:tr>
        <w:trPr>
          <w:trHeight w:val="193"/>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Aerospace Technologies</w:t>
            </w:r>
          </w:p>
        </w:tc>
        <w:tc>
          <w:tcPr>
            <w:tcW w:w="620" w:type="dxa"/>
            <w:vAlign w:val="bottom"/>
            <w:tcBorders>
              <w:bottom w:val="single" w:sz="8" w:color="61656A"/>
            </w:tcBorders>
          </w:tcPr>
          <w:p>
            <w:pPr>
              <w:jc w:val="right"/>
              <w:ind w:right="44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5</w:t>
            </w:r>
          </w:p>
        </w:tc>
        <w:tc>
          <w:tcPr>
            <w:tcW w:w="32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w:t>
            </w:r>
          </w:p>
        </w:tc>
      </w:tr>
      <w:tr>
        <w:trPr>
          <w:trHeight w:val="196"/>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Industrial Automation</w:t>
            </w:r>
          </w:p>
        </w:tc>
        <w:tc>
          <w:tcPr>
            <w:tcW w:w="620" w:type="dxa"/>
            <w:vAlign w:val="bottom"/>
            <w:tcBorders>
              <w:bottom w:val="single" w:sz="8" w:color="61656A"/>
            </w:tcBorders>
          </w:tcPr>
          <w:p>
            <w:pPr>
              <w:spacing w:after="0"/>
              <w:rPr>
                <w:sz w:val="17"/>
                <w:szCs w:val="17"/>
                <w:color w:val="auto"/>
              </w:rPr>
            </w:pPr>
          </w:p>
        </w:tc>
        <w:tc>
          <w:tcPr>
            <w:tcW w:w="3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17</w:t>
            </w: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48</w:t>
            </w:r>
          </w:p>
        </w:tc>
      </w:tr>
      <w:tr>
        <w:trPr>
          <w:trHeight w:val="196"/>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Building Automation</w:t>
            </w:r>
          </w:p>
        </w:tc>
        <w:tc>
          <w:tcPr>
            <w:tcW w:w="620" w:type="dxa"/>
            <w:vAlign w:val="bottom"/>
            <w:tcBorders>
              <w:bottom w:val="single" w:sz="8" w:color="61656A"/>
            </w:tcBorders>
          </w:tcPr>
          <w:p>
            <w:pPr>
              <w:spacing w:after="0"/>
              <w:rPr>
                <w:sz w:val="17"/>
                <w:szCs w:val="17"/>
                <w:color w:val="auto"/>
              </w:rPr>
            </w:pPr>
          </w:p>
        </w:tc>
        <w:tc>
          <w:tcPr>
            <w:tcW w:w="3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4</w:t>
            </w: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27</w:t>
            </w:r>
          </w:p>
        </w:tc>
      </w:tr>
      <w:tr>
        <w:trPr>
          <w:trHeight w:val="196"/>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Energy and Sustainability Solutions</w:t>
            </w:r>
          </w:p>
        </w:tc>
        <w:tc>
          <w:tcPr>
            <w:tcW w:w="620" w:type="dxa"/>
            <w:vAlign w:val="bottom"/>
            <w:tcBorders>
              <w:bottom w:val="single" w:sz="8" w:color="61656A"/>
            </w:tcBorders>
          </w:tcPr>
          <w:p>
            <w:pPr>
              <w:spacing w:after="0"/>
              <w:rPr>
                <w:sz w:val="17"/>
                <w:szCs w:val="17"/>
                <w:color w:val="auto"/>
              </w:rPr>
            </w:pPr>
          </w:p>
        </w:tc>
        <w:tc>
          <w:tcPr>
            <w:tcW w:w="3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18</w:t>
            </w: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11</w:t>
            </w:r>
          </w:p>
        </w:tc>
      </w:tr>
      <w:tr>
        <w:trPr>
          <w:trHeight w:val="196"/>
        </w:trPr>
        <w:tc>
          <w:tcPr>
            <w:tcW w:w="92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Corporate and All Other</w:t>
            </w:r>
          </w:p>
        </w:tc>
        <w:tc>
          <w:tcPr>
            <w:tcW w:w="62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49</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52</w:t>
            </w:r>
          </w:p>
        </w:tc>
      </w:tr>
      <w:tr>
        <w:trPr>
          <w:trHeight w:val="199"/>
        </w:trPr>
        <w:tc>
          <w:tcPr>
            <w:tcW w:w="92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net repositioning and other charges</w:t>
            </w:r>
          </w:p>
        </w:tc>
        <w:tc>
          <w:tcPr>
            <w:tcW w:w="620" w:type="dxa"/>
            <w:vAlign w:val="bottom"/>
            <w:tcBorders>
              <w:bottom w:val="single" w:sz="8" w:color="D7282F"/>
            </w:tcBorders>
          </w:tcPr>
          <w:p>
            <w:pPr>
              <w:jc w:val="right"/>
              <w:ind w:right="448"/>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93</w:t>
            </w:r>
          </w:p>
        </w:tc>
        <w:tc>
          <w:tcPr>
            <w:tcW w:w="3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141</w:t>
            </w:r>
          </w:p>
        </w:tc>
      </w:tr>
    </w:tbl>
    <w:p>
      <w:pPr>
        <w:spacing w:after="0" w:line="31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NET REPOSITIONING CHARGES</w:t>
      </w:r>
    </w:p>
    <w:p>
      <w:pPr>
        <w:spacing w:after="0" w:line="12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the three months ended March 31, 2024, the Company recognized gross repositioning charges totaling $49 million, including severance costs of $33 million related to workforce reductions of 1,362 manufacturing and administrative positions primarily in the Company's Industrial Automation and Building Automation reportable business segments. The workforce reductions were related to productivity and ongoing functional transformation initiatives. The repositioning charges included asset impairments of $1 million related to the write-down of certain assets within the Company's Industrial Automation reportable business segment. The repositioning charges also included exit costs of $15 million related to current period costs incurred for closure obligations associated with site transitions primarily in the Company's Industrial Automation reportable business segment and corporate functions. Also, $15 million of previously established reserves, primarily for severance, were returned to income due to higher-than-expected voluntary exits and adjustments to the scope of previously announced repositioning actions.</w:t>
      </w:r>
    </w:p>
    <w:p>
      <w:pPr>
        <w:spacing w:after="0" w:line="8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the three months ended March 31, 2023, the Company recognized repositioning charges totaling $103 million, including severance costs of $67 million related to workforce reductions of 1,797 manufacturing and administrative positions mainly in the Company's Building Automation and Industrial Automation reportable business segments. The workforce reductions were related to the Company's productivity and ongoing functional transformation initiatives. The repositioning charges included asset impairments of $12 million related to the write-down of certain assets within the Company's Industrial Automation reportable business segment. The repositioning charges also included exit costs of $24 million related to current period costs incurred for closure obligations associated with site transitions across all of the Company's reportable business segments.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status of the Company's total repositioning reserves: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100" w:type="dxa"/>
            <w:vAlign w:val="bottom"/>
          </w:tcPr>
          <w:p>
            <w:pPr>
              <w:jc w:val="right"/>
              <w:ind w:right="248"/>
              <w:spacing w:after="0"/>
              <w:rPr>
                <w:sz w:val="20"/>
                <w:szCs w:val="20"/>
                <w:color w:val="auto"/>
              </w:rPr>
            </w:pPr>
            <w:r>
              <w:rPr>
                <w:rFonts w:ascii="Arial" w:cs="Arial" w:eastAsia="Arial" w:hAnsi="Arial"/>
                <w:sz w:val="14"/>
                <w:szCs w:val="14"/>
                <w:b w:val="1"/>
                <w:bCs w:val="1"/>
                <w:color w:val="auto"/>
              </w:rPr>
              <w:t>Severance</w:t>
            </w:r>
          </w:p>
        </w:tc>
        <w:tc>
          <w:tcPr>
            <w:tcW w:w="240" w:type="dxa"/>
            <w:vAlign w:val="bottom"/>
          </w:tcPr>
          <w:p>
            <w:pPr>
              <w:spacing w:after="0"/>
              <w:rPr>
                <w:sz w:val="14"/>
                <w:szCs w:val="14"/>
                <w:color w:val="auto"/>
              </w:rPr>
            </w:pPr>
          </w:p>
        </w:tc>
        <w:tc>
          <w:tcPr>
            <w:tcW w:w="1140" w:type="dxa"/>
            <w:vAlign w:val="bottom"/>
          </w:tcPr>
          <w:p>
            <w:pPr>
              <w:jc w:val="right"/>
              <w:ind w:right="428"/>
              <w:spacing w:after="0"/>
              <w:rPr>
                <w:sz w:val="20"/>
                <w:szCs w:val="20"/>
                <w:color w:val="auto"/>
              </w:rPr>
            </w:pPr>
            <w:r>
              <w:rPr>
                <w:rFonts w:ascii="Arial" w:cs="Arial" w:eastAsia="Arial" w:hAnsi="Arial"/>
                <w:sz w:val="14"/>
                <w:szCs w:val="14"/>
                <w:b w:val="1"/>
                <w:bCs w:val="1"/>
                <w:color w:val="auto"/>
              </w:rPr>
              <w:t>Asset</w:t>
            </w:r>
          </w:p>
        </w:tc>
        <w:tc>
          <w:tcPr>
            <w:tcW w:w="360" w:type="dxa"/>
            <w:vAlign w:val="bottom"/>
          </w:tcPr>
          <w:p>
            <w:pPr>
              <w:spacing w:after="0"/>
              <w:rPr>
                <w:sz w:val="14"/>
                <w:szCs w:val="14"/>
                <w:color w:val="auto"/>
              </w:rPr>
            </w:pPr>
          </w:p>
        </w:tc>
        <w:tc>
          <w:tcPr>
            <w:tcW w:w="1020" w:type="dxa"/>
            <w:vAlign w:val="bottom"/>
          </w:tcPr>
          <w:p>
            <w:pPr>
              <w:jc w:val="right"/>
              <w:ind w:right="488"/>
              <w:spacing w:after="0"/>
              <w:rPr>
                <w:sz w:val="20"/>
                <w:szCs w:val="20"/>
                <w:color w:val="auto"/>
              </w:rPr>
            </w:pPr>
            <w:r>
              <w:rPr>
                <w:rFonts w:ascii="Arial" w:cs="Arial" w:eastAsia="Arial" w:hAnsi="Arial"/>
                <w:sz w:val="14"/>
                <w:szCs w:val="14"/>
                <w:b w:val="1"/>
                <w:bCs w:val="1"/>
                <w:color w:val="auto"/>
              </w:rPr>
              <w:t>Exit</w:t>
            </w:r>
          </w:p>
        </w:tc>
        <w:tc>
          <w:tcPr>
            <w:tcW w:w="360" w:type="dxa"/>
            <w:vAlign w:val="bottom"/>
          </w:tcPr>
          <w:p>
            <w:pPr>
              <w:spacing w:after="0"/>
              <w:rPr>
                <w:sz w:val="14"/>
                <w:szCs w:val="14"/>
                <w:color w:val="auto"/>
              </w:rPr>
            </w:pPr>
          </w:p>
        </w:tc>
        <w:tc>
          <w:tcPr>
            <w:tcW w:w="90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040" w:type="dxa"/>
            <w:vAlign w:val="bottom"/>
            <w:tcBorders>
              <w:bottom w:val="single" w:sz="8" w:color="D7282F"/>
            </w:tcBorders>
          </w:tcPr>
          <w:p>
            <w:pPr>
              <w:spacing w:after="0"/>
              <w:rPr>
                <w:sz w:val="16"/>
                <w:szCs w:val="16"/>
                <w:color w:val="auto"/>
              </w:rPr>
            </w:pPr>
          </w:p>
        </w:tc>
        <w:tc>
          <w:tcPr>
            <w:tcW w:w="2080" w:type="dxa"/>
            <w:vAlign w:val="bottom"/>
            <w:tcBorders>
              <w:bottom w:val="single" w:sz="8" w:color="D7282F"/>
            </w:tcBorders>
          </w:tcPr>
          <w:p>
            <w:pPr>
              <w:spacing w:after="0"/>
              <w:rPr>
                <w:sz w:val="16"/>
                <w:szCs w:val="16"/>
                <w:color w:val="auto"/>
              </w:rPr>
            </w:pPr>
          </w:p>
        </w:tc>
        <w:tc>
          <w:tcPr>
            <w:tcW w:w="1100" w:type="dxa"/>
            <w:vAlign w:val="bottom"/>
            <w:tcBorders>
              <w:bottom w:val="single" w:sz="8" w:color="D7282F"/>
            </w:tcBorders>
          </w:tcPr>
          <w:p>
            <w:pPr>
              <w:jc w:val="right"/>
              <w:ind w:right="408"/>
              <w:spacing w:after="0"/>
              <w:rPr>
                <w:sz w:val="20"/>
                <w:szCs w:val="20"/>
                <w:color w:val="auto"/>
              </w:rPr>
            </w:pPr>
            <w:r>
              <w:rPr>
                <w:rFonts w:ascii="Arial" w:cs="Arial" w:eastAsia="Arial" w:hAnsi="Arial"/>
                <w:sz w:val="14"/>
                <w:szCs w:val="14"/>
                <w:b w:val="1"/>
                <w:bCs w:val="1"/>
                <w:color w:val="auto"/>
              </w:rPr>
              <w:t>Costs</w:t>
            </w:r>
          </w:p>
        </w:tc>
        <w:tc>
          <w:tcPr>
            <w:tcW w:w="240" w:type="dxa"/>
            <w:vAlign w:val="bottom"/>
            <w:tcBorders>
              <w:bottom w:val="single" w:sz="8" w:color="D7282F"/>
            </w:tcBorders>
          </w:tcPr>
          <w:p>
            <w:pPr>
              <w:spacing w:after="0"/>
              <w:rPr>
                <w:sz w:val="16"/>
                <w:szCs w:val="16"/>
                <w:color w:val="auto"/>
              </w:rPr>
            </w:pPr>
          </w:p>
        </w:tc>
        <w:tc>
          <w:tcPr>
            <w:tcW w:w="114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b w:val="1"/>
                <w:bCs w:val="1"/>
                <w:color w:val="auto"/>
              </w:rPr>
              <w:t>Impairments</w:t>
            </w:r>
          </w:p>
        </w:tc>
        <w:tc>
          <w:tcPr>
            <w:tcW w:w="360" w:type="dxa"/>
            <w:vAlign w:val="bottom"/>
            <w:tcBorders>
              <w:bottom w:val="single" w:sz="8" w:color="D7282F"/>
            </w:tcBorders>
          </w:tcPr>
          <w:p>
            <w:pPr>
              <w:spacing w:after="0"/>
              <w:rPr>
                <w:sz w:val="16"/>
                <w:szCs w:val="16"/>
                <w:color w:val="auto"/>
              </w:rPr>
            </w:pPr>
          </w:p>
        </w:tc>
        <w:tc>
          <w:tcPr>
            <w:tcW w:w="1020" w:type="dxa"/>
            <w:vAlign w:val="bottom"/>
            <w:tcBorders>
              <w:bottom w:val="single" w:sz="8" w:color="D7282F"/>
            </w:tcBorders>
          </w:tcPr>
          <w:p>
            <w:pPr>
              <w:jc w:val="right"/>
              <w:ind w:right="428"/>
              <w:spacing w:after="0"/>
              <w:rPr>
                <w:sz w:val="20"/>
                <w:szCs w:val="20"/>
                <w:color w:val="auto"/>
              </w:rPr>
            </w:pPr>
            <w:r>
              <w:rPr>
                <w:rFonts w:ascii="Arial" w:cs="Arial" w:eastAsia="Arial" w:hAnsi="Arial"/>
                <w:sz w:val="14"/>
                <w:szCs w:val="14"/>
                <w:b w:val="1"/>
                <w:bCs w:val="1"/>
                <w:color w:val="auto"/>
              </w:rPr>
              <w:t>Costs</w:t>
            </w:r>
          </w:p>
        </w:tc>
        <w:tc>
          <w:tcPr>
            <w:tcW w:w="360" w:type="dxa"/>
            <w:vAlign w:val="bottom"/>
            <w:tcBorders>
              <w:bottom w:val="single" w:sz="8" w:color="D7282F"/>
            </w:tcBorders>
          </w:tcPr>
          <w:p>
            <w:pPr>
              <w:spacing w:after="0"/>
              <w:rPr>
                <w:sz w:val="16"/>
                <w:szCs w:val="16"/>
                <w:color w:val="auto"/>
              </w:rPr>
            </w:pPr>
          </w:p>
        </w:tc>
        <w:tc>
          <w:tcPr>
            <w:tcW w:w="900" w:type="dxa"/>
            <w:vAlign w:val="bottom"/>
            <w:tcBorders>
              <w:bottom w:val="single" w:sz="8" w:color="D7282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04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Balance at December 31, 2023</w:t>
            </w:r>
          </w:p>
        </w:tc>
        <w:tc>
          <w:tcPr>
            <w:tcW w:w="20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188</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91</w:t>
            </w:r>
          </w:p>
        </w:tc>
        <w:tc>
          <w:tcPr>
            <w:tcW w:w="3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279</w:t>
            </w:r>
          </w:p>
        </w:tc>
        <w:tc>
          <w:tcPr>
            <w:tcW w:w="0" w:type="dxa"/>
            <w:vAlign w:val="bottom"/>
          </w:tcPr>
          <w:p>
            <w:pPr>
              <w:spacing w:after="0"/>
              <w:rPr>
                <w:sz w:val="1"/>
                <w:szCs w:val="1"/>
                <w:color w:val="auto"/>
              </w:rPr>
            </w:pPr>
          </w:p>
        </w:tc>
      </w:tr>
      <w:tr>
        <w:trPr>
          <w:trHeight w:val="193"/>
        </w:trPr>
        <w:tc>
          <w:tcPr>
            <w:tcW w:w="40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Charges</w:t>
            </w:r>
          </w:p>
        </w:tc>
        <w:tc>
          <w:tcPr>
            <w:tcW w:w="2080" w:type="dxa"/>
            <w:vAlign w:val="bottom"/>
            <w:tcBorders>
              <w:bottom w:val="single" w:sz="8" w:color="61656A"/>
            </w:tcBorders>
          </w:tcPr>
          <w:p>
            <w:pPr>
              <w:spacing w:after="0"/>
              <w:rPr>
                <w:sz w:val="16"/>
                <w:szCs w:val="16"/>
                <w:color w:val="auto"/>
              </w:rPr>
            </w:pPr>
          </w:p>
        </w:tc>
        <w:tc>
          <w:tcPr>
            <w:tcW w:w="11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33</w:t>
            </w:r>
          </w:p>
        </w:tc>
        <w:tc>
          <w:tcPr>
            <w:tcW w:w="240" w:type="dxa"/>
            <w:vAlign w:val="bottom"/>
            <w:tcBorders>
              <w:bottom w:val="single" w:sz="8" w:color="61656A"/>
            </w:tcBorders>
          </w:tcPr>
          <w:p>
            <w:pPr>
              <w:spacing w:after="0"/>
              <w:rPr>
                <w:sz w:val="16"/>
                <w:szCs w:val="16"/>
                <w:color w:val="auto"/>
              </w:rPr>
            </w:pPr>
          </w:p>
        </w:tc>
        <w:tc>
          <w:tcPr>
            <w:tcW w:w="11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w:t>
            </w:r>
          </w:p>
        </w:tc>
        <w:tc>
          <w:tcPr>
            <w:tcW w:w="360" w:type="dxa"/>
            <w:vAlign w:val="bottom"/>
            <w:tcBorders>
              <w:bottom w:val="single" w:sz="8" w:color="61656A"/>
            </w:tcBorders>
          </w:tcPr>
          <w:p>
            <w:pPr>
              <w:spacing w:after="0"/>
              <w:rPr>
                <w:sz w:val="16"/>
                <w:szCs w:val="16"/>
                <w:color w:val="auto"/>
              </w:rPr>
            </w:pPr>
          </w:p>
        </w:tc>
        <w:tc>
          <w:tcPr>
            <w:tcW w:w="10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15</w:t>
            </w:r>
          </w:p>
        </w:tc>
        <w:tc>
          <w:tcPr>
            <w:tcW w:w="360" w:type="dxa"/>
            <w:vAlign w:val="bottom"/>
            <w:tcBorders>
              <w:bottom w:val="single" w:sz="8" w:color="61656A"/>
            </w:tcBorders>
          </w:tcPr>
          <w:p>
            <w:pPr>
              <w:spacing w:after="0"/>
              <w:rPr>
                <w:sz w:val="16"/>
                <w:szCs w:val="16"/>
                <w:color w:val="auto"/>
              </w:rPr>
            </w:pPr>
          </w:p>
        </w:tc>
        <w:tc>
          <w:tcPr>
            <w:tcW w:w="9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96"/>
        </w:trPr>
        <w:tc>
          <w:tcPr>
            <w:tcW w:w="40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Usage—cash</w:t>
            </w:r>
          </w:p>
        </w:tc>
        <w:tc>
          <w:tcPr>
            <w:tcW w:w="2080" w:type="dxa"/>
            <w:vAlign w:val="bottom"/>
            <w:tcBorders>
              <w:bottom w:val="single" w:sz="8" w:color="61656A"/>
            </w:tcBorders>
          </w:tcPr>
          <w:p>
            <w:pPr>
              <w:spacing w:after="0"/>
              <w:rPr>
                <w:sz w:val="17"/>
                <w:szCs w:val="17"/>
                <w:color w:val="auto"/>
              </w:rPr>
            </w:pPr>
          </w:p>
        </w:tc>
        <w:tc>
          <w:tcPr>
            <w:tcW w:w="11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(22)</w:t>
            </w:r>
          </w:p>
        </w:tc>
        <w:tc>
          <w:tcPr>
            <w:tcW w:w="24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61656A"/>
            </w:tcBorders>
          </w:tcPr>
          <w:p>
            <w:pPr>
              <w:spacing w:after="0"/>
              <w:rPr>
                <w:sz w:val="17"/>
                <w:szCs w:val="17"/>
                <w:color w:val="auto"/>
              </w:rPr>
            </w:pPr>
          </w:p>
        </w:tc>
        <w:tc>
          <w:tcPr>
            <w:tcW w:w="10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(28)</w:t>
            </w:r>
          </w:p>
        </w:tc>
        <w:tc>
          <w:tcPr>
            <w:tcW w:w="360" w:type="dxa"/>
            <w:vAlign w:val="bottom"/>
            <w:tcBorders>
              <w:bottom w:val="single" w:sz="8" w:color="61656A"/>
            </w:tcBorders>
          </w:tcPr>
          <w:p>
            <w:pPr>
              <w:spacing w:after="0"/>
              <w:rPr>
                <w:sz w:val="17"/>
                <w:szCs w:val="17"/>
                <w:color w:val="auto"/>
              </w:rPr>
            </w:pPr>
          </w:p>
        </w:tc>
        <w:tc>
          <w:tcPr>
            <w:tcW w:w="9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96"/>
        </w:trPr>
        <w:tc>
          <w:tcPr>
            <w:tcW w:w="40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Usage—noncash</w:t>
            </w:r>
          </w:p>
        </w:tc>
        <w:tc>
          <w:tcPr>
            <w:tcW w:w="2080" w:type="dxa"/>
            <w:vAlign w:val="bottom"/>
            <w:tcBorders>
              <w:bottom w:val="single" w:sz="8" w:color="61656A"/>
            </w:tcBorders>
          </w:tcPr>
          <w:p>
            <w:pPr>
              <w:spacing w:after="0"/>
              <w:rPr>
                <w:sz w:val="17"/>
                <w:szCs w:val="17"/>
                <w:color w:val="auto"/>
              </w:rPr>
            </w:pPr>
          </w:p>
        </w:tc>
        <w:tc>
          <w:tcPr>
            <w:tcW w:w="11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61656A"/>
            </w:tcBorders>
          </w:tcPr>
          <w:p>
            <w:pPr>
              <w:spacing w:after="0"/>
              <w:rPr>
                <w:sz w:val="17"/>
                <w:szCs w:val="17"/>
                <w:color w:val="auto"/>
              </w:rPr>
            </w:pPr>
          </w:p>
        </w:tc>
        <w:tc>
          <w:tcPr>
            <w:tcW w:w="10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61656A"/>
            </w:tcBorders>
          </w:tcPr>
          <w:p>
            <w:pPr>
              <w:spacing w:after="0"/>
              <w:rPr>
                <w:sz w:val="17"/>
                <w:szCs w:val="17"/>
                <w:color w:val="auto"/>
              </w:rPr>
            </w:pPr>
          </w:p>
        </w:tc>
        <w:tc>
          <w:tcPr>
            <w:tcW w:w="9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40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Foreign currency translation</w:t>
            </w:r>
          </w:p>
        </w:tc>
        <w:tc>
          <w:tcPr>
            <w:tcW w:w="2080" w:type="dxa"/>
            <w:vAlign w:val="bottom"/>
            <w:tcBorders>
              <w:bottom w:val="single" w:sz="8" w:color="61656A"/>
            </w:tcBorders>
          </w:tcPr>
          <w:p>
            <w:pPr>
              <w:spacing w:after="0"/>
              <w:rPr>
                <w:sz w:val="17"/>
                <w:szCs w:val="17"/>
                <w:color w:val="auto"/>
              </w:rPr>
            </w:pPr>
          </w:p>
        </w:tc>
        <w:tc>
          <w:tcPr>
            <w:tcW w:w="11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(3)</w:t>
            </w:r>
          </w:p>
        </w:tc>
        <w:tc>
          <w:tcPr>
            <w:tcW w:w="24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61656A"/>
            </w:tcBorders>
          </w:tcPr>
          <w:p>
            <w:pPr>
              <w:spacing w:after="0"/>
              <w:rPr>
                <w:sz w:val="17"/>
                <w:szCs w:val="17"/>
                <w:color w:val="auto"/>
              </w:rPr>
            </w:pPr>
          </w:p>
        </w:tc>
        <w:tc>
          <w:tcPr>
            <w:tcW w:w="10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61656A"/>
            </w:tcBorders>
          </w:tcPr>
          <w:p>
            <w:pPr>
              <w:spacing w:after="0"/>
              <w:rPr>
                <w:sz w:val="17"/>
                <w:szCs w:val="17"/>
                <w:color w:val="auto"/>
              </w:rPr>
            </w:pPr>
          </w:p>
        </w:tc>
        <w:tc>
          <w:tcPr>
            <w:tcW w:w="9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96"/>
        </w:trPr>
        <w:tc>
          <w:tcPr>
            <w:tcW w:w="404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Adjustments</w:t>
            </w:r>
          </w:p>
        </w:tc>
        <w:tc>
          <w:tcPr>
            <w:tcW w:w="2080" w:type="dxa"/>
            <w:vAlign w:val="bottom"/>
            <w:tcBorders>
              <w:bottom w:val="single" w:sz="8" w:color="D7282F"/>
            </w:tcBorders>
          </w:tcPr>
          <w:p>
            <w:pPr>
              <w:spacing w:after="0"/>
              <w:rPr>
                <w:sz w:val="17"/>
                <w:szCs w:val="17"/>
                <w:color w:val="auto"/>
              </w:rPr>
            </w:pPr>
          </w:p>
        </w:tc>
        <w:tc>
          <w:tcPr>
            <w:tcW w:w="11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(9)</w:t>
            </w:r>
          </w:p>
        </w:tc>
        <w:tc>
          <w:tcPr>
            <w:tcW w:w="24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(1)</w:t>
            </w:r>
          </w:p>
        </w:tc>
        <w:tc>
          <w:tcPr>
            <w:tcW w:w="360" w:type="dxa"/>
            <w:vAlign w:val="bottom"/>
            <w:tcBorders>
              <w:bottom w:val="single" w:sz="8" w:color="D7282F"/>
            </w:tcBorders>
          </w:tcPr>
          <w:p>
            <w:pPr>
              <w:spacing w:after="0"/>
              <w:rPr>
                <w:sz w:val="17"/>
                <w:szCs w:val="17"/>
                <w:color w:val="auto"/>
              </w:rPr>
            </w:pPr>
          </w:p>
        </w:tc>
        <w:tc>
          <w:tcPr>
            <w:tcW w:w="10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(5)</w:t>
            </w:r>
          </w:p>
        </w:tc>
        <w:tc>
          <w:tcPr>
            <w:tcW w:w="360" w:type="dxa"/>
            <w:vAlign w:val="bottom"/>
            <w:tcBorders>
              <w:bottom w:val="single" w:sz="8" w:color="D7282F"/>
            </w:tcBorders>
          </w:tcPr>
          <w:p>
            <w:pPr>
              <w:spacing w:after="0"/>
              <w:rPr>
                <w:sz w:val="17"/>
                <w:szCs w:val="17"/>
                <w:color w:val="auto"/>
              </w:rPr>
            </w:pPr>
          </w:p>
        </w:tc>
        <w:tc>
          <w:tcPr>
            <w:tcW w:w="9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99"/>
        </w:trPr>
        <w:tc>
          <w:tcPr>
            <w:tcW w:w="404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Balance at March 31, 2024</w:t>
            </w:r>
          </w:p>
        </w:tc>
        <w:tc>
          <w:tcPr>
            <w:tcW w:w="20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187</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73</w:t>
            </w:r>
          </w:p>
        </w:tc>
        <w:tc>
          <w:tcPr>
            <w:tcW w:w="3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260</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Certain repositioning projects will recognize exit costs in future periods when the actual liability is incurred. Such exit costs incurred in the three months ended March 31, 2024, and 2023, were $12 million and $10 million,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OTHER CHARGES</w:t>
      </w:r>
    </w:p>
    <w:p>
      <w:pPr>
        <w:spacing w:after="0" w:line="14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During the three months ended March 31, 2024, the Company recognized Other charges of $17 million related to the settlement of a contractual dispute with a Russian entity associated with the Company's suspension and wind down activities in Russia. The charges were recorded in Other (income) expense in the Consolidated Statement of Operations.</w:t>
      </w:r>
    </w:p>
    <w:p>
      <w:pPr>
        <w:spacing w:after="0" w:line="395" w:lineRule="exact"/>
        <w:rPr>
          <w:sz w:val="20"/>
          <w:szCs w:val="20"/>
          <w:color w:val="auto"/>
        </w:rPr>
      </w:pPr>
    </w:p>
    <w:p>
      <w:pPr>
        <w:ind w:left="400" w:hanging="392"/>
        <w:spacing w:after="0"/>
        <w:tabs>
          <w:tab w:leader="none" w:pos="400" w:val="left"/>
        </w:tabs>
        <w:numPr>
          <w:ilvl w:val="0"/>
          <w:numId w:val="16"/>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Given the uncertainty inherent in the Company's remaining obligations related to contracts with Russian counterparties, the Company does not believe it is possible to develop estimates of reasonably possible loss in excess of current accruals for these matters (other than as specifically set forth above). Based on available information to date, the Company’s estimate of potential future losses or other contingencies related to the wind down of activities, including any guarantee payments or any litigation costs or as otherwise related to the Company's wind down in Russia, could adversely affect the Company's consolidated results of operations in the periods recognized but would not be material with respect to the Company's consolidated financial position. See Note 15 Commitments and Contingencies for a discussion of the recognition and measurement of estimate for contingencies.</w:t>
      </w:r>
    </w:p>
    <w:p>
      <w:pPr>
        <w:spacing w:after="0" w:line="240" w:lineRule="exact"/>
        <w:rPr>
          <w:sz w:val="20"/>
          <w:szCs w:val="20"/>
          <w:color w:val="auto"/>
        </w:rPr>
      </w:pPr>
    </w:p>
    <w:p>
      <w:pPr>
        <w:spacing w:after="0"/>
        <w:rPr>
          <w:sz w:val="20"/>
          <w:szCs w:val="20"/>
          <w:color w:val="auto"/>
        </w:rPr>
      </w:pPr>
      <w:r>
        <w:rPr>
          <w:rFonts w:ascii="Arial" w:cs="Arial" w:eastAsia="Arial" w:hAnsi="Arial"/>
          <w:sz w:val="29"/>
          <w:szCs w:val="29"/>
          <w:color w:val="D7282F"/>
        </w:rPr>
        <w:t>NOTE 6. INCOME TAXES</w:t>
      </w:r>
    </w:p>
    <w:p>
      <w:pPr>
        <w:spacing w:after="0" w:line="238"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effective tax rate was higher than the U.S. federal statutory rate of 21% and increased during 2024 compared to 2023 as a result of incremental tax expense from reduced tax reserve activity, partially offset by increased tax benefits from employee-share based compensation and other accrued taxes.</w:t>
      </w:r>
    </w:p>
    <w:p>
      <w:pPr>
        <w:spacing w:after="0" w:line="191" w:lineRule="exact"/>
        <w:rPr>
          <w:sz w:val="20"/>
          <w:szCs w:val="20"/>
          <w:color w:val="auto"/>
        </w:rPr>
      </w:pPr>
    </w:p>
    <w:p>
      <w:pPr>
        <w:spacing w:after="0"/>
        <w:rPr>
          <w:sz w:val="20"/>
          <w:szCs w:val="20"/>
          <w:color w:val="auto"/>
        </w:rPr>
      </w:pPr>
      <w:r>
        <w:rPr>
          <w:rFonts w:ascii="Arial" w:cs="Arial" w:eastAsia="Arial" w:hAnsi="Arial"/>
          <w:sz w:val="29"/>
          <w:szCs w:val="29"/>
          <w:color w:val="D7282F"/>
        </w:rPr>
        <w:t>NOTE 7. INVENTORIES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380" w:type="dxa"/>
            <w:vAlign w:val="bottom"/>
            <w:tcBorders>
              <w:bottom w:val="single" w:sz="8" w:color="D7282F"/>
            </w:tcBorders>
          </w:tcPr>
          <w:p>
            <w:pPr>
              <w:spacing w:after="0"/>
              <w:rPr>
                <w:sz w:val="17"/>
                <w:szCs w:val="17"/>
                <w:color w:val="auto"/>
              </w:rPr>
            </w:pPr>
          </w:p>
        </w:tc>
        <w:tc>
          <w:tcPr>
            <w:tcW w:w="3320" w:type="dxa"/>
            <w:vAlign w:val="bottom"/>
            <w:tcBorders>
              <w:bottom w:val="single" w:sz="8" w:color="D7282F"/>
            </w:tcBorders>
          </w:tcPr>
          <w:p>
            <w:pPr>
              <w:spacing w:after="0"/>
              <w:rPr>
                <w:sz w:val="17"/>
                <w:szCs w:val="17"/>
                <w:color w:val="auto"/>
              </w:rPr>
            </w:pPr>
          </w:p>
        </w:tc>
        <w:tc>
          <w:tcPr>
            <w:tcW w:w="1640" w:type="dxa"/>
            <w:vAlign w:val="bottom"/>
            <w:tcBorders>
              <w:bottom w:val="single" w:sz="8" w:color="D7282F"/>
            </w:tcBorders>
          </w:tcPr>
          <w:p>
            <w:pPr>
              <w:jc w:val="right"/>
              <w:ind w:right="408"/>
              <w:spacing w:after="0"/>
              <w:rPr>
                <w:sz w:val="20"/>
                <w:szCs w:val="20"/>
                <w:color w:val="auto"/>
              </w:rPr>
            </w:pPr>
            <w:r>
              <w:rPr>
                <w:rFonts w:ascii="Arial" w:cs="Arial" w:eastAsia="Arial" w:hAnsi="Arial"/>
                <w:sz w:val="14"/>
                <w:szCs w:val="14"/>
                <w:b w:val="1"/>
                <w:bCs w:val="1"/>
                <w:color w:val="auto"/>
              </w:rPr>
              <w:t>March 31, 2024</w:t>
            </w:r>
          </w:p>
        </w:tc>
        <w:tc>
          <w:tcPr>
            <w:tcW w:w="30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December 31, 2023</w:t>
            </w:r>
          </w:p>
        </w:tc>
      </w:tr>
      <w:tr>
        <w:trPr>
          <w:trHeight w:val="193"/>
        </w:trPr>
        <w:tc>
          <w:tcPr>
            <w:tcW w:w="43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Raw materials</w:t>
            </w:r>
          </w:p>
        </w:tc>
        <w:tc>
          <w:tcPr>
            <w:tcW w:w="332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1,500</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1,704</w:t>
            </w:r>
          </w:p>
        </w:tc>
      </w:tr>
      <w:tr>
        <w:trPr>
          <w:trHeight w:val="196"/>
        </w:trPr>
        <w:tc>
          <w:tcPr>
            <w:tcW w:w="43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Work in process</w:t>
            </w:r>
          </w:p>
        </w:tc>
        <w:tc>
          <w:tcPr>
            <w:tcW w:w="3320" w:type="dxa"/>
            <w:vAlign w:val="bottom"/>
            <w:tcBorders>
              <w:bottom w:val="single" w:sz="8" w:color="61656A"/>
            </w:tcBorders>
          </w:tcPr>
          <w:p>
            <w:pPr>
              <w:spacing w:after="0"/>
              <w:rPr>
                <w:sz w:val="17"/>
                <w:szCs w:val="17"/>
                <w:color w:val="auto"/>
              </w:rPr>
            </w:pPr>
          </w:p>
        </w:tc>
        <w:tc>
          <w:tcPr>
            <w:tcW w:w="16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1,314</w:t>
            </w:r>
          </w:p>
        </w:tc>
        <w:tc>
          <w:tcPr>
            <w:tcW w:w="30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1,217</w:t>
            </w:r>
          </w:p>
        </w:tc>
      </w:tr>
      <w:tr>
        <w:trPr>
          <w:trHeight w:val="196"/>
        </w:trPr>
        <w:tc>
          <w:tcPr>
            <w:tcW w:w="43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Finished products</w:t>
            </w:r>
          </w:p>
        </w:tc>
        <w:tc>
          <w:tcPr>
            <w:tcW w:w="3320" w:type="dxa"/>
            <w:vAlign w:val="bottom"/>
            <w:tcBorders>
              <w:bottom w:val="single" w:sz="8" w:color="D7282F"/>
            </w:tcBorders>
          </w:tcPr>
          <w:p>
            <w:pPr>
              <w:spacing w:after="0"/>
              <w:rPr>
                <w:sz w:val="17"/>
                <w:szCs w:val="17"/>
                <w:color w:val="auto"/>
              </w:rPr>
            </w:pPr>
          </w:p>
        </w:tc>
        <w:tc>
          <w:tcPr>
            <w:tcW w:w="16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3,504</w:t>
            </w:r>
          </w:p>
        </w:tc>
        <w:tc>
          <w:tcPr>
            <w:tcW w:w="30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3,257</w:t>
            </w:r>
          </w:p>
        </w:tc>
      </w:tr>
      <w:tr>
        <w:trPr>
          <w:trHeight w:val="199"/>
        </w:trPr>
        <w:tc>
          <w:tcPr>
            <w:tcW w:w="43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Inventories</w:t>
            </w:r>
          </w:p>
        </w:tc>
        <w:tc>
          <w:tcPr>
            <w:tcW w:w="332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6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6,318</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6,178</w:t>
            </w:r>
          </w:p>
        </w:tc>
      </w:tr>
    </w:tbl>
    <w:p>
      <w:pPr>
        <w:spacing w:after="0" w:line="332" w:lineRule="exact"/>
        <w:rPr>
          <w:sz w:val="20"/>
          <w:szCs w:val="20"/>
          <w:color w:val="auto"/>
        </w:rPr>
      </w:pPr>
    </w:p>
    <w:p>
      <w:pPr>
        <w:spacing w:after="0"/>
        <w:rPr>
          <w:sz w:val="20"/>
          <w:szCs w:val="20"/>
          <w:color w:val="auto"/>
        </w:rPr>
      </w:pPr>
      <w:r>
        <w:rPr>
          <w:rFonts w:ascii="Arial" w:cs="Arial" w:eastAsia="Arial" w:hAnsi="Arial"/>
          <w:sz w:val="29"/>
          <w:szCs w:val="29"/>
          <w:color w:val="D7282F"/>
        </w:rPr>
        <w:t>NOTE 8. GOODWILL AND OTHER INTANGIBLE ASSETS—NET</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change in the carrying amount of goodwill for the three months ended March 31, 2024, by reportable business segment:</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1160" w:type="dxa"/>
            <w:vAlign w:val="bottom"/>
            <w:gridSpan w:val="2"/>
            <w:vMerge w:val="restart"/>
          </w:tcPr>
          <w:p>
            <w:pPr>
              <w:jc w:val="right"/>
              <w:ind w:right="88"/>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4"/>
                <w:szCs w:val="14"/>
                <w:color w:val="auto"/>
              </w:rPr>
            </w:pPr>
          </w:p>
        </w:tc>
        <w:tc>
          <w:tcPr>
            <w:tcW w:w="1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Acquisitions/</w:t>
            </w:r>
          </w:p>
        </w:tc>
        <w:tc>
          <w:tcPr>
            <w:tcW w:w="300" w:type="dxa"/>
            <w:vAlign w:val="bottom"/>
          </w:tcPr>
          <w:p>
            <w:pPr>
              <w:spacing w:after="0"/>
              <w:rPr>
                <w:sz w:val="14"/>
                <w:szCs w:val="14"/>
                <w:color w:val="auto"/>
              </w:rPr>
            </w:pPr>
          </w:p>
        </w:tc>
        <w:tc>
          <w:tcPr>
            <w:tcW w:w="1180" w:type="dxa"/>
            <w:vAlign w:val="bottom"/>
          </w:tcPr>
          <w:p>
            <w:pPr>
              <w:jc w:val="center"/>
              <w:ind w:right="188"/>
              <w:spacing w:after="0"/>
              <w:rPr>
                <w:sz w:val="20"/>
                <w:szCs w:val="20"/>
                <w:color w:val="auto"/>
              </w:rPr>
            </w:pPr>
            <w:r>
              <w:rPr>
                <w:rFonts w:ascii="Arial" w:cs="Arial" w:eastAsia="Arial" w:hAnsi="Arial"/>
                <w:sz w:val="14"/>
                <w:szCs w:val="14"/>
                <w:b w:val="1"/>
                <w:bCs w:val="1"/>
                <w:color w:val="auto"/>
              </w:rPr>
              <w:t>Currency</w:t>
            </w: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59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jc w:val="center"/>
              <w:ind w:right="188"/>
              <w:spacing w:after="0" w:line="145" w:lineRule="exact"/>
              <w:rPr>
                <w:sz w:val="20"/>
                <w:szCs w:val="20"/>
                <w:color w:val="auto"/>
              </w:rPr>
            </w:pPr>
            <w:r>
              <w:rPr>
                <w:rFonts w:ascii="Arial" w:cs="Arial" w:eastAsia="Arial" w:hAnsi="Arial"/>
                <w:sz w:val="14"/>
                <w:szCs w:val="14"/>
                <w:b w:val="1"/>
                <w:bCs w:val="1"/>
                <w:color w:val="auto"/>
              </w:rPr>
              <w:t>Translation</w:t>
            </w:r>
          </w:p>
        </w:tc>
        <w:tc>
          <w:tcPr>
            <w:tcW w:w="11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March 31, 2024</w:t>
            </w:r>
          </w:p>
        </w:tc>
        <w:tc>
          <w:tcPr>
            <w:tcW w:w="0" w:type="dxa"/>
            <w:vAlign w:val="bottom"/>
          </w:tcPr>
          <w:p>
            <w:pPr>
              <w:spacing w:after="0"/>
              <w:rPr>
                <w:sz w:val="1"/>
                <w:szCs w:val="1"/>
                <w:color w:val="auto"/>
              </w:rPr>
            </w:pPr>
          </w:p>
        </w:tc>
      </w:tr>
      <w:tr>
        <w:trPr>
          <w:trHeight w:val="189"/>
        </w:trPr>
        <w:tc>
          <w:tcPr>
            <w:tcW w:w="5980" w:type="dxa"/>
            <w:vAlign w:val="bottom"/>
            <w:tcBorders>
              <w:bottom w:val="single" w:sz="8" w:color="D7282F"/>
            </w:tcBorders>
          </w:tcPr>
          <w:p>
            <w:pPr>
              <w:spacing w:after="0"/>
              <w:rPr>
                <w:sz w:val="16"/>
                <w:szCs w:val="16"/>
                <w:color w:val="auto"/>
              </w:rPr>
            </w:pPr>
          </w:p>
        </w:tc>
        <w:tc>
          <w:tcPr>
            <w:tcW w:w="240" w:type="dxa"/>
            <w:vAlign w:val="bottom"/>
            <w:tcBorders>
              <w:bottom w:val="single" w:sz="8" w:color="D7282F"/>
            </w:tcBorders>
          </w:tcPr>
          <w:p>
            <w:pPr>
              <w:spacing w:after="0"/>
              <w:rPr>
                <w:sz w:val="16"/>
                <w:szCs w:val="16"/>
                <w:color w:val="auto"/>
              </w:rPr>
            </w:pPr>
          </w:p>
        </w:tc>
        <w:tc>
          <w:tcPr>
            <w:tcW w:w="92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bottom w:val="single" w:sz="8" w:color="D7282F"/>
            </w:tcBorders>
          </w:tcPr>
          <w:p>
            <w:pPr>
              <w:spacing w:after="0"/>
              <w:rPr>
                <w:sz w:val="16"/>
                <w:szCs w:val="16"/>
                <w:color w:val="auto"/>
              </w:rPr>
            </w:pPr>
          </w:p>
        </w:tc>
        <w:tc>
          <w:tcPr>
            <w:tcW w:w="1160" w:type="dxa"/>
            <w:vAlign w:val="bottom"/>
            <w:tcBorders>
              <w:bottom w:val="single" w:sz="8" w:color="D7282F"/>
            </w:tcBorders>
          </w:tcPr>
          <w:p>
            <w:pPr>
              <w:ind w:left="60"/>
              <w:spacing w:after="0"/>
              <w:rPr>
                <w:sz w:val="20"/>
                <w:szCs w:val="20"/>
                <w:color w:val="auto"/>
              </w:rPr>
            </w:pPr>
            <w:r>
              <w:rPr>
                <w:rFonts w:ascii="Arial" w:cs="Arial" w:eastAsia="Arial" w:hAnsi="Arial"/>
                <w:sz w:val="14"/>
                <w:szCs w:val="14"/>
                <w:b w:val="1"/>
                <w:bCs w:val="1"/>
                <w:color w:val="auto"/>
              </w:rPr>
              <w:t>Divestitures</w:t>
            </w:r>
          </w:p>
        </w:tc>
        <w:tc>
          <w:tcPr>
            <w:tcW w:w="300" w:type="dxa"/>
            <w:vAlign w:val="bottom"/>
            <w:tcBorders>
              <w:bottom w:val="single" w:sz="8" w:color="D7282F"/>
            </w:tcBorders>
          </w:tcPr>
          <w:p>
            <w:pPr>
              <w:spacing w:after="0"/>
              <w:rPr>
                <w:sz w:val="16"/>
                <w:szCs w:val="16"/>
                <w:color w:val="auto"/>
              </w:rPr>
            </w:pPr>
          </w:p>
        </w:tc>
        <w:tc>
          <w:tcPr>
            <w:tcW w:w="1180" w:type="dxa"/>
            <w:vAlign w:val="bottom"/>
            <w:tcBorders>
              <w:bottom w:val="single" w:sz="8" w:color="D7282F"/>
            </w:tcBorders>
          </w:tcPr>
          <w:p>
            <w:pPr>
              <w:jc w:val="center"/>
              <w:ind w:right="188"/>
              <w:spacing w:after="0"/>
              <w:rPr>
                <w:sz w:val="20"/>
                <w:szCs w:val="20"/>
                <w:color w:val="auto"/>
              </w:rPr>
            </w:pPr>
            <w:r>
              <w:rPr>
                <w:rFonts w:ascii="Arial" w:cs="Arial" w:eastAsia="Arial" w:hAnsi="Arial"/>
                <w:sz w:val="14"/>
                <w:szCs w:val="14"/>
                <w:b w:val="1"/>
                <w:bCs w:val="1"/>
                <w:color w:val="auto"/>
              </w:rPr>
              <w:t>Adjustment</w:t>
            </w:r>
          </w:p>
        </w:tc>
        <w:tc>
          <w:tcPr>
            <w:tcW w:w="1180" w:type="dxa"/>
            <w:vAlign w:val="bottom"/>
            <w:tcBorders>
              <w:bottom w:val="single" w:sz="8" w:color="D7282F"/>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9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Aerospace Technologies</w:t>
            </w:r>
          </w:p>
        </w:tc>
        <w:tc>
          <w:tcPr>
            <w:tcW w:w="2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2,386</w:t>
            </w:r>
          </w:p>
        </w:tc>
        <w:tc>
          <w:tcPr>
            <w:tcW w:w="2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61656A"/>
            </w:tcBorders>
          </w:tcPr>
          <w:p>
            <w:pPr>
              <w:ind w:left="86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(3)</w:t>
            </w:r>
          </w:p>
        </w:tc>
        <w:tc>
          <w:tcPr>
            <w:tcW w:w="4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2,383</w:t>
            </w:r>
          </w:p>
        </w:tc>
        <w:tc>
          <w:tcPr>
            <w:tcW w:w="0" w:type="dxa"/>
            <w:vAlign w:val="bottom"/>
          </w:tcPr>
          <w:p>
            <w:pPr>
              <w:spacing w:after="0"/>
              <w:rPr>
                <w:sz w:val="1"/>
                <w:szCs w:val="1"/>
                <w:color w:val="auto"/>
              </w:rPr>
            </w:pPr>
          </w:p>
        </w:tc>
      </w:tr>
      <w:tr>
        <w:trPr>
          <w:trHeight w:val="196"/>
        </w:trPr>
        <w:tc>
          <w:tcPr>
            <w:tcW w:w="59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Industrial Automation</w:t>
            </w:r>
          </w:p>
        </w:tc>
        <w:tc>
          <w:tcPr>
            <w:tcW w:w="240" w:type="dxa"/>
            <w:vAlign w:val="bottom"/>
            <w:tcBorders>
              <w:bottom w:val="single" w:sz="8" w:color="61656A"/>
            </w:tcBorders>
          </w:tcPr>
          <w:p>
            <w:pPr>
              <w:spacing w:after="0"/>
              <w:rPr>
                <w:sz w:val="17"/>
                <w:szCs w:val="17"/>
                <w:color w:val="auto"/>
              </w:rPr>
            </w:pPr>
          </w:p>
        </w:tc>
        <w:tc>
          <w:tcPr>
            <w:tcW w:w="9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9,650</w:t>
            </w:r>
          </w:p>
        </w:tc>
        <w:tc>
          <w:tcPr>
            <w:tcW w:w="280" w:type="dxa"/>
            <w:vAlign w:val="bottom"/>
            <w:tcBorders>
              <w:bottom w:val="single" w:sz="8" w:color="61656A"/>
            </w:tcBorders>
          </w:tcPr>
          <w:p>
            <w:pPr>
              <w:spacing w:after="0"/>
              <w:rPr>
                <w:sz w:val="17"/>
                <w:szCs w:val="17"/>
                <w:color w:val="auto"/>
              </w:rPr>
            </w:pPr>
          </w:p>
        </w:tc>
        <w:tc>
          <w:tcPr>
            <w:tcW w:w="1160" w:type="dxa"/>
            <w:vAlign w:val="bottom"/>
            <w:tcBorders>
              <w:bottom w:val="single" w:sz="8" w:color="61656A"/>
            </w:tcBorders>
          </w:tcPr>
          <w:p>
            <w:pPr>
              <w:ind w:left="86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spacing w:after="0"/>
              <w:rPr>
                <w:sz w:val="17"/>
                <w:szCs w:val="17"/>
                <w:color w:val="auto"/>
              </w:rPr>
            </w:pPr>
          </w:p>
        </w:tc>
        <w:tc>
          <w:tcPr>
            <w:tcW w:w="11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(38)</w:t>
            </w:r>
          </w:p>
        </w:tc>
        <w:tc>
          <w:tcPr>
            <w:tcW w:w="4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9,612</w:t>
            </w:r>
          </w:p>
        </w:tc>
        <w:tc>
          <w:tcPr>
            <w:tcW w:w="0" w:type="dxa"/>
            <w:vAlign w:val="bottom"/>
          </w:tcPr>
          <w:p>
            <w:pPr>
              <w:spacing w:after="0"/>
              <w:rPr>
                <w:sz w:val="1"/>
                <w:szCs w:val="1"/>
                <w:color w:val="auto"/>
              </w:rPr>
            </w:pPr>
          </w:p>
        </w:tc>
      </w:tr>
      <w:tr>
        <w:trPr>
          <w:trHeight w:val="196"/>
        </w:trPr>
        <w:tc>
          <w:tcPr>
            <w:tcW w:w="59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Building Automation</w:t>
            </w:r>
          </w:p>
        </w:tc>
        <w:tc>
          <w:tcPr>
            <w:tcW w:w="240" w:type="dxa"/>
            <w:vAlign w:val="bottom"/>
            <w:tcBorders>
              <w:bottom w:val="single" w:sz="8" w:color="61656A"/>
            </w:tcBorders>
          </w:tcPr>
          <w:p>
            <w:pPr>
              <w:spacing w:after="0"/>
              <w:rPr>
                <w:sz w:val="17"/>
                <w:szCs w:val="17"/>
                <w:color w:val="auto"/>
              </w:rPr>
            </w:pPr>
          </w:p>
        </w:tc>
        <w:tc>
          <w:tcPr>
            <w:tcW w:w="9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3,380</w:t>
            </w:r>
          </w:p>
        </w:tc>
        <w:tc>
          <w:tcPr>
            <w:tcW w:w="280" w:type="dxa"/>
            <w:vAlign w:val="bottom"/>
            <w:tcBorders>
              <w:bottom w:val="single" w:sz="8" w:color="61656A"/>
            </w:tcBorders>
          </w:tcPr>
          <w:p>
            <w:pPr>
              <w:spacing w:after="0"/>
              <w:rPr>
                <w:sz w:val="17"/>
                <w:szCs w:val="17"/>
                <w:color w:val="auto"/>
              </w:rPr>
            </w:pPr>
          </w:p>
        </w:tc>
        <w:tc>
          <w:tcPr>
            <w:tcW w:w="1160" w:type="dxa"/>
            <w:vAlign w:val="bottom"/>
            <w:tcBorders>
              <w:bottom w:val="single" w:sz="8" w:color="61656A"/>
            </w:tcBorders>
          </w:tcPr>
          <w:p>
            <w:pPr>
              <w:ind w:left="86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spacing w:after="0"/>
              <w:rPr>
                <w:sz w:val="17"/>
                <w:szCs w:val="17"/>
                <w:color w:val="auto"/>
              </w:rPr>
            </w:pPr>
          </w:p>
        </w:tc>
        <w:tc>
          <w:tcPr>
            <w:tcW w:w="11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(20)</w:t>
            </w:r>
          </w:p>
        </w:tc>
        <w:tc>
          <w:tcPr>
            <w:tcW w:w="4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3,360</w:t>
            </w:r>
          </w:p>
        </w:tc>
        <w:tc>
          <w:tcPr>
            <w:tcW w:w="0" w:type="dxa"/>
            <w:vAlign w:val="bottom"/>
          </w:tcPr>
          <w:p>
            <w:pPr>
              <w:spacing w:after="0"/>
              <w:rPr>
                <w:sz w:val="1"/>
                <w:szCs w:val="1"/>
                <w:color w:val="auto"/>
              </w:rPr>
            </w:pPr>
          </w:p>
        </w:tc>
      </w:tr>
      <w:tr>
        <w:trPr>
          <w:trHeight w:val="196"/>
        </w:trPr>
        <w:tc>
          <w:tcPr>
            <w:tcW w:w="59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Energy and Sustainability Solutions</w:t>
            </w:r>
          </w:p>
        </w:tc>
        <w:tc>
          <w:tcPr>
            <w:tcW w:w="240" w:type="dxa"/>
            <w:vAlign w:val="bottom"/>
            <w:tcBorders>
              <w:bottom w:val="single" w:sz="8" w:color="61656A"/>
            </w:tcBorders>
          </w:tcPr>
          <w:p>
            <w:pPr>
              <w:spacing w:after="0"/>
              <w:rPr>
                <w:sz w:val="17"/>
                <w:szCs w:val="17"/>
                <w:color w:val="auto"/>
              </w:rPr>
            </w:pPr>
          </w:p>
        </w:tc>
        <w:tc>
          <w:tcPr>
            <w:tcW w:w="9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1,727</w:t>
            </w:r>
          </w:p>
        </w:tc>
        <w:tc>
          <w:tcPr>
            <w:tcW w:w="280" w:type="dxa"/>
            <w:vAlign w:val="bottom"/>
            <w:tcBorders>
              <w:bottom w:val="single" w:sz="8" w:color="61656A"/>
            </w:tcBorders>
          </w:tcPr>
          <w:p>
            <w:pPr>
              <w:spacing w:after="0"/>
              <w:rPr>
                <w:sz w:val="17"/>
                <w:szCs w:val="17"/>
                <w:color w:val="auto"/>
              </w:rPr>
            </w:pPr>
          </w:p>
        </w:tc>
        <w:tc>
          <w:tcPr>
            <w:tcW w:w="1160" w:type="dxa"/>
            <w:vAlign w:val="bottom"/>
            <w:tcBorders>
              <w:bottom w:val="single" w:sz="8" w:color="61656A"/>
            </w:tcBorders>
          </w:tcPr>
          <w:p>
            <w:pPr>
              <w:ind w:left="86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spacing w:after="0"/>
              <w:rPr>
                <w:sz w:val="17"/>
                <w:szCs w:val="17"/>
                <w:color w:val="auto"/>
              </w:rPr>
            </w:pPr>
          </w:p>
        </w:tc>
        <w:tc>
          <w:tcPr>
            <w:tcW w:w="11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w:t>
            </w:r>
          </w:p>
        </w:tc>
        <w:tc>
          <w:tcPr>
            <w:tcW w:w="4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1,725</w:t>
            </w:r>
          </w:p>
        </w:tc>
        <w:tc>
          <w:tcPr>
            <w:tcW w:w="0" w:type="dxa"/>
            <w:vAlign w:val="bottom"/>
          </w:tcPr>
          <w:p>
            <w:pPr>
              <w:spacing w:after="0"/>
              <w:rPr>
                <w:sz w:val="1"/>
                <w:szCs w:val="1"/>
                <w:color w:val="auto"/>
              </w:rPr>
            </w:pPr>
          </w:p>
        </w:tc>
      </w:tr>
      <w:tr>
        <w:trPr>
          <w:trHeight w:val="196"/>
        </w:trPr>
        <w:tc>
          <w:tcPr>
            <w:tcW w:w="59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Corporate and All Other</w:t>
            </w:r>
          </w:p>
        </w:tc>
        <w:tc>
          <w:tcPr>
            <w:tcW w:w="240" w:type="dxa"/>
            <w:vAlign w:val="bottom"/>
            <w:tcBorders>
              <w:bottom w:val="single" w:sz="8" w:color="D7282F"/>
            </w:tcBorders>
          </w:tcPr>
          <w:p>
            <w:pPr>
              <w:spacing w:after="0"/>
              <w:rPr>
                <w:sz w:val="17"/>
                <w:szCs w:val="17"/>
                <w:color w:val="auto"/>
              </w:rPr>
            </w:pPr>
          </w:p>
        </w:tc>
        <w:tc>
          <w:tcPr>
            <w:tcW w:w="9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906</w:t>
            </w:r>
          </w:p>
        </w:tc>
        <w:tc>
          <w:tcPr>
            <w:tcW w:w="280" w:type="dxa"/>
            <w:vAlign w:val="bottom"/>
            <w:tcBorders>
              <w:bottom w:val="single" w:sz="8" w:color="D7282F"/>
            </w:tcBorders>
          </w:tcPr>
          <w:p>
            <w:pPr>
              <w:spacing w:after="0"/>
              <w:rPr>
                <w:sz w:val="17"/>
                <w:szCs w:val="17"/>
                <w:color w:val="auto"/>
              </w:rPr>
            </w:pPr>
          </w:p>
        </w:tc>
        <w:tc>
          <w:tcPr>
            <w:tcW w:w="1160" w:type="dxa"/>
            <w:vAlign w:val="bottom"/>
            <w:tcBorders>
              <w:bottom w:val="single" w:sz="8" w:color="D7282F"/>
            </w:tcBorders>
          </w:tcPr>
          <w:p>
            <w:pPr>
              <w:ind w:left="86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D7282F"/>
            </w:tcBorders>
          </w:tcPr>
          <w:p>
            <w:pPr>
              <w:spacing w:after="0"/>
              <w:rPr>
                <w:sz w:val="17"/>
                <w:szCs w:val="17"/>
                <w:color w:val="auto"/>
              </w:rPr>
            </w:pPr>
          </w:p>
        </w:tc>
        <w:tc>
          <w:tcPr>
            <w:tcW w:w="11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(1)</w:t>
            </w:r>
          </w:p>
        </w:tc>
        <w:tc>
          <w:tcPr>
            <w:tcW w:w="4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905</w:t>
            </w:r>
          </w:p>
        </w:tc>
        <w:tc>
          <w:tcPr>
            <w:tcW w:w="0" w:type="dxa"/>
            <w:vAlign w:val="bottom"/>
          </w:tcPr>
          <w:p>
            <w:pPr>
              <w:spacing w:after="0"/>
              <w:rPr>
                <w:sz w:val="1"/>
                <w:szCs w:val="1"/>
                <w:color w:val="auto"/>
              </w:rPr>
            </w:pPr>
          </w:p>
        </w:tc>
      </w:tr>
      <w:tr>
        <w:trPr>
          <w:trHeight w:val="199"/>
        </w:trPr>
        <w:tc>
          <w:tcPr>
            <w:tcW w:w="59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Goodwill</w:t>
            </w:r>
          </w:p>
        </w:tc>
        <w:tc>
          <w:tcPr>
            <w:tcW w:w="2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18,049</w:t>
            </w:r>
          </w:p>
        </w:tc>
        <w:tc>
          <w:tcPr>
            <w:tcW w:w="2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D7282F"/>
            </w:tcBorders>
          </w:tcPr>
          <w:p>
            <w:pPr>
              <w:ind w:left="860"/>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(64)</w:t>
            </w:r>
          </w:p>
        </w:tc>
        <w:tc>
          <w:tcPr>
            <w:tcW w:w="44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17,985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DC202E"/>
        </w:rPr>
        <w:t>15</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Other intangible assets are comprised of:</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900" w:type="dxa"/>
            <w:vAlign w:val="bottom"/>
          </w:tcPr>
          <w:p>
            <w:pPr>
              <w:spacing w:after="0"/>
              <w:rPr>
                <w:sz w:val="17"/>
                <w:szCs w:val="17"/>
                <w:color w:val="auto"/>
              </w:rPr>
            </w:pPr>
          </w:p>
        </w:tc>
        <w:tc>
          <w:tcPr>
            <w:tcW w:w="140" w:type="dxa"/>
            <w:vAlign w:val="bottom"/>
            <w:tcBorders>
              <w:bottom w:val="single" w:sz="8" w:color="D7282F"/>
            </w:tcBorders>
          </w:tcPr>
          <w:p>
            <w:pPr>
              <w:spacing w:after="0"/>
              <w:rPr>
                <w:sz w:val="17"/>
                <w:szCs w:val="17"/>
                <w:color w:val="auto"/>
              </w:rPr>
            </w:pPr>
          </w:p>
        </w:tc>
        <w:tc>
          <w:tcPr>
            <w:tcW w:w="860" w:type="dxa"/>
            <w:vAlign w:val="bottom"/>
            <w:tcBorders>
              <w:bottom w:val="single" w:sz="8" w:color="D7282F"/>
            </w:tcBorders>
          </w:tcPr>
          <w:p>
            <w:pPr>
              <w:spacing w:after="0"/>
              <w:rPr>
                <w:sz w:val="17"/>
                <w:szCs w:val="17"/>
                <w:color w:val="auto"/>
              </w:rPr>
            </w:pPr>
          </w:p>
        </w:tc>
        <w:tc>
          <w:tcPr>
            <w:tcW w:w="260" w:type="dxa"/>
            <w:vAlign w:val="bottom"/>
            <w:tcBorders>
              <w:bottom w:val="single" w:sz="8" w:color="D7282F"/>
            </w:tcBorders>
          </w:tcPr>
          <w:p>
            <w:pPr>
              <w:spacing w:after="0"/>
              <w:rPr>
                <w:sz w:val="17"/>
                <w:szCs w:val="17"/>
                <w:color w:val="auto"/>
              </w:rPr>
            </w:pPr>
          </w:p>
        </w:tc>
        <w:tc>
          <w:tcPr>
            <w:tcW w:w="1280" w:type="dxa"/>
            <w:vAlign w:val="bottom"/>
            <w:tcBorders>
              <w:bottom w:val="single" w:sz="8" w:color="D7282F"/>
            </w:tcBorders>
          </w:tcPr>
          <w:p>
            <w:pPr>
              <w:jc w:val="center"/>
              <w:ind w:right="148"/>
              <w:spacing w:after="0"/>
              <w:rPr>
                <w:sz w:val="20"/>
                <w:szCs w:val="20"/>
                <w:color w:val="auto"/>
              </w:rPr>
            </w:pPr>
            <w:r>
              <w:rPr>
                <w:rFonts w:ascii="Arial" w:cs="Arial" w:eastAsia="Arial" w:hAnsi="Arial"/>
                <w:sz w:val="14"/>
                <w:szCs w:val="14"/>
                <w:b w:val="1"/>
                <w:bCs w:val="1"/>
                <w:color w:val="auto"/>
              </w:rPr>
              <w:t>March 31, 2024</w:t>
            </w:r>
          </w:p>
        </w:tc>
        <w:tc>
          <w:tcPr>
            <w:tcW w:w="24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bottom w:val="single" w:sz="8" w:color="D7282F"/>
            </w:tcBorders>
          </w:tcPr>
          <w:p>
            <w:pPr>
              <w:spacing w:after="0"/>
              <w:rPr>
                <w:sz w:val="17"/>
                <w:szCs w:val="17"/>
                <w:color w:val="auto"/>
              </w:rPr>
            </w:pPr>
          </w:p>
        </w:tc>
        <w:tc>
          <w:tcPr>
            <w:tcW w:w="860" w:type="dxa"/>
            <w:vAlign w:val="bottom"/>
            <w:tcBorders>
              <w:bottom w:val="single" w:sz="8" w:color="D7282F"/>
            </w:tcBorders>
          </w:tcPr>
          <w:p>
            <w:pPr>
              <w:spacing w:after="0"/>
              <w:rPr>
                <w:sz w:val="17"/>
                <w:szCs w:val="17"/>
                <w:color w:val="auto"/>
              </w:rPr>
            </w:pPr>
          </w:p>
        </w:tc>
        <w:tc>
          <w:tcPr>
            <w:tcW w:w="1560" w:type="dxa"/>
            <w:vAlign w:val="bottom"/>
            <w:tcBorders>
              <w:bottom w:val="single" w:sz="8" w:color="D7282F"/>
            </w:tcBorders>
            <w:gridSpan w:val="2"/>
          </w:tcPr>
          <w:p>
            <w:pPr>
              <w:jc w:val="right"/>
              <w:ind w:right="48"/>
              <w:spacing w:after="0"/>
              <w:rPr>
                <w:sz w:val="20"/>
                <w:szCs w:val="20"/>
                <w:color w:val="auto"/>
              </w:rPr>
            </w:pPr>
            <w:r>
              <w:rPr>
                <w:rFonts w:ascii="Arial" w:cs="Arial" w:eastAsia="Arial" w:hAnsi="Arial"/>
                <w:sz w:val="14"/>
                <w:szCs w:val="14"/>
                <w:b w:val="1"/>
                <w:bCs w:val="1"/>
                <w:color w:val="auto"/>
              </w:rPr>
              <w:t>December 31, 2023</w:t>
            </w:r>
          </w:p>
        </w:tc>
        <w:tc>
          <w:tcPr>
            <w:tcW w:w="22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282"/>
        </w:trPr>
        <w:tc>
          <w:tcPr>
            <w:tcW w:w="3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center"/>
              <w:ind w:right="148"/>
              <w:spacing w:after="0"/>
              <w:rPr>
                <w:sz w:val="20"/>
                <w:szCs w:val="20"/>
                <w:color w:val="auto"/>
              </w:rPr>
            </w:pPr>
            <w:r>
              <w:rPr>
                <w:rFonts w:ascii="Arial" w:cs="Arial" w:eastAsia="Arial" w:hAnsi="Arial"/>
                <w:sz w:val="14"/>
                <w:szCs w:val="14"/>
                <w:b w:val="1"/>
                <w:bCs w:val="1"/>
                <w:color w:val="auto"/>
                <w:w w:val="98"/>
              </w:rPr>
              <w:t>Gross</w:t>
            </w:r>
          </w:p>
        </w:tc>
        <w:tc>
          <w:tcPr>
            <w:tcW w:w="260" w:type="dxa"/>
            <w:vAlign w:val="bottom"/>
          </w:tcPr>
          <w:p>
            <w:pPr>
              <w:spacing w:after="0"/>
              <w:rPr>
                <w:sz w:val="24"/>
                <w:szCs w:val="24"/>
                <w:color w:val="auto"/>
              </w:rPr>
            </w:pPr>
          </w:p>
        </w:tc>
        <w:tc>
          <w:tcPr>
            <w:tcW w:w="1280" w:type="dxa"/>
            <w:vAlign w:val="bottom"/>
            <w:vMerge w:val="restart"/>
          </w:tcPr>
          <w:p>
            <w:pPr>
              <w:jc w:val="center"/>
              <w:ind w:right="148"/>
              <w:spacing w:after="0"/>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24"/>
                <w:szCs w:val="2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Net</w:t>
            </w:r>
          </w:p>
        </w:tc>
        <w:tc>
          <w:tcPr>
            <w:tcW w:w="140" w:type="dxa"/>
            <w:vAlign w:val="bottom"/>
          </w:tcPr>
          <w:p>
            <w:pPr>
              <w:spacing w:after="0"/>
              <w:rPr>
                <w:sz w:val="24"/>
                <w:szCs w:val="24"/>
                <w:color w:val="auto"/>
              </w:rPr>
            </w:pPr>
          </w:p>
        </w:tc>
        <w:tc>
          <w:tcPr>
            <w:tcW w:w="860" w:type="dxa"/>
            <w:vAlign w:val="bottom"/>
          </w:tcPr>
          <w:p>
            <w:pPr>
              <w:jc w:val="center"/>
              <w:ind w:right="148"/>
              <w:spacing w:after="0"/>
              <w:rPr>
                <w:sz w:val="20"/>
                <w:szCs w:val="20"/>
                <w:color w:val="auto"/>
              </w:rPr>
            </w:pPr>
            <w:r>
              <w:rPr>
                <w:rFonts w:ascii="Arial" w:cs="Arial" w:eastAsia="Arial" w:hAnsi="Arial"/>
                <w:sz w:val="14"/>
                <w:szCs w:val="14"/>
                <w:b w:val="1"/>
                <w:bCs w:val="1"/>
                <w:color w:val="auto"/>
                <w:w w:val="98"/>
              </w:rPr>
              <w:t>Gross</w:t>
            </w:r>
          </w:p>
        </w:tc>
        <w:tc>
          <w:tcPr>
            <w:tcW w:w="380" w:type="dxa"/>
            <w:vAlign w:val="bottom"/>
          </w:tcPr>
          <w:p>
            <w:pPr>
              <w:spacing w:after="0"/>
              <w:rPr>
                <w:sz w:val="24"/>
                <w:szCs w:val="24"/>
                <w:color w:val="auto"/>
              </w:rPr>
            </w:pPr>
          </w:p>
        </w:tc>
        <w:tc>
          <w:tcPr>
            <w:tcW w:w="11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24"/>
                <w:szCs w:val="24"/>
                <w:color w:val="auto"/>
              </w:rPr>
            </w:pPr>
          </w:p>
        </w:tc>
        <w:tc>
          <w:tcPr>
            <w:tcW w:w="780" w:type="dxa"/>
            <w:vAlign w:val="bottom"/>
          </w:tcPr>
          <w:p>
            <w:pPr>
              <w:jc w:val="center"/>
              <w:ind w:right="48"/>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148"/>
              <w:spacing w:after="0" w:line="149" w:lineRule="exact"/>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2"/>
                <w:szCs w:val="12"/>
                <w:color w:val="auto"/>
              </w:rPr>
            </w:pPr>
          </w:p>
        </w:tc>
        <w:tc>
          <w:tcPr>
            <w:tcW w:w="860" w:type="dxa"/>
            <w:vAlign w:val="bottom"/>
          </w:tcPr>
          <w:p>
            <w:pPr>
              <w:jc w:val="center"/>
              <w:ind w:right="148"/>
              <w:spacing w:after="0" w:line="149" w:lineRule="exact"/>
              <w:rPr>
                <w:sz w:val="20"/>
                <w:szCs w:val="20"/>
                <w:color w:val="auto"/>
              </w:rPr>
            </w:pPr>
            <w:r>
              <w:rPr>
                <w:rFonts w:ascii="Arial" w:cs="Arial" w:eastAsia="Arial" w:hAnsi="Arial"/>
                <w:sz w:val="14"/>
                <w:szCs w:val="14"/>
                <w:b w:val="1"/>
                <w:bCs w:val="1"/>
                <w:color w:val="auto"/>
              </w:rPr>
              <w:t>Carrying</w:t>
            </w:r>
          </w:p>
        </w:tc>
        <w:tc>
          <w:tcPr>
            <w:tcW w:w="3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85"/>
        </w:trPr>
        <w:tc>
          <w:tcPr>
            <w:tcW w:w="3900" w:type="dxa"/>
            <w:vAlign w:val="bottom"/>
            <w:tcBorders>
              <w:bottom w:val="single" w:sz="8" w:color="D7282F"/>
            </w:tcBorders>
          </w:tcPr>
          <w:p>
            <w:pPr>
              <w:spacing w:after="0"/>
              <w:rPr>
                <w:sz w:val="16"/>
                <w:szCs w:val="16"/>
                <w:color w:val="auto"/>
              </w:rPr>
            </w:pPr>
          </w:p>
        </w:tc>
        <w:tc>
          <w:tcPr>
            <w:tcW w:w="140" w:type="dxa"/>
            <w:vAlign w:val="bottom"/>
            <w:tcBorders>
              <w:bottom w:val="single" w:sz="8" w:color="D7282F"/>
            </w:tcBorders>
          </w:tcPr>
          <w:p>
            <w:pPr>
              <w:spacing w:after="0"/>
              <w:rPr>
                <w:sz w:val="16"/>
                <w:szCs w:val="16"/>
                <w:color w:val="auto"/>
              </w:rPr>
            </w:pPr>
          </w:p>
        </w:tc>
        <w:tc>
          <w:tcPr>
            <w:tcW w:w="860" w:type="dxa"/>
            <w:vAlign w:val="bottom"/>
            <w:tcBorders>
              <w:bottom w:val="single" w:sz="8" w:color="D7282F"/>
            </w:tcBorders>
          </w:tcPr>
          <w:p>
            <w:pPr>
              <w:jc w:val="center"/>
              <w:ind w:right="128"/>
              <w:spacing w:after="0"/>
              <w:rPr>
                <w:sz w:val="20"/>
                <w:szCs w:val="20"/>
                <w:color w:val="auto"/>
              </w:rPr>
            </w:pPr>
            <w:r>
              <w:rPr>
                <w:rFonts w:ascii="Arial" w:cs="Arial" w:eastAsia="Arial" w:hAnsi="Arial"/>
                <w:sz w:val="14"/>
                <w:szCs w:val="14"/>
                <w:b w:val="1"/>
                <w:bCs w:val="1"/>
                <w:color w:val="auto"/>
              </w:rPr>
              <w:t>Amount</w:t>
            </w:r>
          </w:p>
        </w:tc>
        <w:tc>
          <w:tcPr>
            <w:tcW w:w="260" w:type="dxa"/>
            <w:vAlign w:val="bottom"/>
            <w:tcBorders>
              <w:bottom w:val="single" w:sz="8" w:color="D7282F"/>
            </w:tcBorders>
          </w:tcPr>
          <w:p>
            <w:pPr>
              <w:spacing w:after="0"/>
              <w:rPr>
                <w:sz w:val="16"/>
                <w:szCs w:val="16"/>
                <w:color w:val="auto"/>
              </w:rPr>
            </w:pPr>
          </w:p>
        </w:tc>
        <w:tc>
          <w:tcPr>
            <w:tcW w:w="1280" w:type="dxa"/>
            <w:vAlign w:val="bottom"/>
            <w:tcBorders>
              <w:bottom w:val="single" w:sz="8" w:color="D7282F"/>
            </w:tcBorders>
          </w:tcPr>
          <w:p>
            <w:pPr>
              <w:jc w:val="center"/>
              <w:ind w:right="168"/>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Borders>
              <w:bottom w:val="single" w:sz="8" w:color="D7282F"/>
            </w:tcBorders>
          </w:tcPr>
          <w:p>
            <w:pPr>
              <w:spacing w:after="0"/>
              <w:rPr>
                <w:sz w:val="16"/>
                <w:szCs w:val="16"/>
                <w:color w:val="auto"/>
              </w:rPr>
            </w:pPr>
          </w:p>
        </w:tc>
        <w:tc>
          <w:tcPr>
            <w:tcW w:w="1000" w:type="dxa"/>
            <w:vAlign w:val="bottom"/>
            <w:tcBorders>
              <w:bottom w:val="single" w:sz="8" w:color="D7282F"/>
            </w:tcBorders>
            <w:gridSpan w:val="2"/>
          </w:tcPr>
          <w:p>
            <w:pPr>
              <w:jc w:val="center"/>
              <w:ind w:right="340"/>
              <w:spacing w:after="0"/>
              <w:rPr>
                <w:sz w:val="20"/>
                <w:szCs w:val="20"/>
                <w:color w:val="auto"/>
              </w:rPr>
            </w:pPr>
            <w:r>
              <w:rPr>
                <w:rFonts w:ascii="Arial" w:cs="Arial" w:eastAsia="Arial" w:hAnsi="Arial"/>
                <w:sz w:val="14"/>
                <w:szCs w:val="14"/>
                <w:b w:val="1"/>
                <w:bCs w:val="1"/>
                <w:color w:val="auto"/>
              </w:rPr>
              <w:t>Amount</w:t>
            </w:r>
          </w:p>
        </w:tc>
        <w:tc>
          <w:tcPr>
            <w:tcW w:w="140" w:type="dxa"/>
            <w:vAlign w:val="bottom"/>
            <w:tcBorders>
              <w:bottom w:val="single" w:sz="8" w:color="D7282F"/>
            </w:tcBorders>
          </w:tcPr>
          <w:p>
            <w:pPr>
              <w:spacing w:after="0"/>
              <w:rPr>
                <w:sz w:val="16"/>
                <w:szCs w:val="16"/>
                <w:color w:val="auto"/>
              </w:rPr>
            </w:pPr>
          </w:p>
        </w:tc>
        <w:tc>
          <w:tcPr>
            <w:tcW w:w="860" w:type="dxa"/>
            <w:vAlign w:val="bottom"/>
            <w:tcBorders>
              <w:bottom w:val="single" w:sz="8" w:color="D7282F"/>
            </w:tcBorders>
          </w:tcPr>
          <w:p>
            <w:pPr>
              <w:jc w:val="center"/>
              <w:ind w:right="128"/>
              <w:spacing w:after="0"/>
              <w:rPr>
                <w:sz w:val="20"/>
                <w:szCs w:val="20"/>
                <w:color w:val="auto"/>
              </w:rPr>
            </w:pPr>
            <w:r>
              <w:rPr>
                <w:rFonts w:ascii="Arial" w:cs="Arial" w:eastAsia="Arial" w:hAnsi="Arial"/>
                <w:sz w:val="14"/>
                <w:szCs w:val="14"/>
                <w:b w:val="1"/>
                <w:bCs w:val="1"/>
                <w:color w:val="auto"/>
              </w:rPr>
              <w:t>Amount</w:t>
            </w:r>
          </w:p>
        </w:tc>
        <w:tc>
          <w:tcPr>
            <w:tcW w:w="380" w:type="dxa"/>
            <w:vAlign w:val="bottom"/>
            <w:tcBorders>
              <w:bottom w:val="single" w:sz="8" w:color="D7282F"/>
            </w:tcBorders>
          </w:tcPr>
          <w:p>
            <w:pPr>
              <w:spacing w:after="0"/>
              <w:rPr>
                <w:sz w:val="16"/>
                <w:szCs w:val="16"/>
                <w:color w:val="auto"/>
              </w:rPr>
            </w:pPr>
          </w:p>
        </w:tc>
        <w:tc>
          <w:tcPr>
            <w:tcW w:w="11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Borders>
              <w:bottom w:val="single" w:sz="8" w:color="D7282F"/>
            </w:tcBorders>
          </w:tcPr>
          <w:p>
            <w:pPr>
              <w:spacing w:after="0"/>
              <w:rPr>
                <w:sz w:val="16"/>
                <w:szCs w:val="16"/>
                <w:color w:val="auto"/>
              </w:rPr>
            </w:pPr>
          </w:p>
        </w:tc>
        <w:tc>
          <w:tcPr>
            <w:tcW w:w="780" w:type="dxa"/>
            <w:vAlign w:val="bottom"/>
            <w:tcBorders>
              <w:bottom w:val="single" w:sz="8" w:color="D7282F"/>
            </w:tcBorders>
          </w:tcPr>
          <w:p>
            <w:pPr>
              <w:jc w:val="center"/>
              <w:ind w:right="48"/>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95"/>
        </w:trPr>
        <w:tc>
          <w:tcPr>
            <w:tcW w:w="39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Definite-life intangibles</w:t>
            </w:r>
          </w:p>
        </w:tc>
        <w:tc>
          <w:tcPr>
            <w:tcW w:w="140" w:type="dxa"/>
            <w:vAlign w:val="bottom"/>
            <w:tcBorders>
              <w:bottom w:val="single" w:sz="8" w:color="61656A"/>
            </w:tcBorders>
          </w:tcPr>
          <w:p>
            <w:pPr>
              <w:spacing w:after="0"/>
              <w:rPr>
                <w:sz w:val="16"/>
                <w:szCs w:val="16"/>
                <w:color w:val="auto"/>
              </w:rPr>
            </w:pPr>
          </w:p>
        </w:tc>
        <w:tc>
          <w:tcPr>
            <w:tcW w:w="86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128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140" w:type="dxa"/>
            <w:vAlign w:val="bottom"/>
            <w:tcBorders>
              <w:bottom w:val="single" w:sz="8" w:color="61656A"/>
            </w:tcBorders>
          </w:tcPr>
          <w:p>
            <w:pPr>
              <w:spacing w:after="0"/>
              <w:rPr>
                <w:sz w:val="16"/>
                <w:szCs w:val="16"/>
                <w:color w:val="auto"/>
              </w:rPr>
            </w:pPr>
          </w:p>
        </w:tc>
        <w:tc>
          <w:tcPr>
            <w:tcW w:w="860" w:type="dxa"/>
            <w:vAlign w:val="bottom"/>
            <w:tcBorders>
              <w:bottom w:val="single" w:sz="8" w:color="61656A"/>
            </w:tcBorders>
          </w:tcPr>
          <w:p>
            <w:pPr>
              <w:spacing w:after="0"/>
              <w:rPr>
                <w:sz w:val="16"/>
                <w:szCs w:val="16"/>
                <w:color w:val="auto"/>
              </w:rPr>
            </w:pPr>
          </w:p>
        </w:tc>
        <w:tc>
          <w:tcPr>
            <w:tcW w:w="380" w:type="dxa"/>
            <w:vAlign w:val="bottom"/>
            <w:tcBorders>
              <w:bottom w:val="single" w:sz="8" w:color="61656A"/>
            </w:tcBorders>
          </w:tcPr>
          <w:p>
            <w:pPr>
              <w:spacing w:after="0"/>
              <w:rPr>
                <w:sz w:val="16"/>
                <w:szCs w:val="16"/>
                <w:color w:val="auto"/>
              </w:rPr>
            </w:pPr>
          </w:p>
        </w:tc>
        <w:tc>
          <w:tcPr>
            <w:tcW w:w="118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9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Patents and technology</w:t>
            </w:r>
          </w:p>
        </w:tc>
        <w:tc>
          <w:tcPr>
            <w:tcW w:w="1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2,390</w:t>
            </w:r>
          </w:p>
        </w:tc>
        <w:tc>
          <w:tcPr>
            <w:tcW w:w="2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(1,851)</w:t>
            </w:r>
          </w:p>
        </w:tc>
        <w:tc>
          <w:tcPr>
            <w:tcW w:w="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539</w:t>
            </w:r>
          </w:p>
        </w:tc>
        <w:tc>
          <w:tcPr>
            <w:tcW w:w="220" w:type="dxa"/>
            <w:vAlign w:val="bottom"/>
            <w:tcBorders>
              <w:bottom w:val="single" w:sz="8" w:color="61656A"/>
            </w:tcBorders>
          </w:tcPr>
          <w:p>
            <w:pPr>
              <w:spacing w:after="0"/>
              <w:rPr>
                <w:sz w:val="16"/>
                <w:szCs w:val="16"/>
                <w:color w:val="auto"/>
              </w:rPr>
            </w:pPr>
          </w:p>
        </w:tc>
        <w:tc>
          <w:tcPr>
            <w:tcW w:w="1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2,399</w:t>
            </w:r>
          </w:p>
        </w:tc>
        <w:tc>
          <w:tcPr>
            <w:tcW w:w="3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(1,837)</w:t>
            </w:r>
          </w:p>
        </w:tc>
        <w:tc>
          <w:tcPr>
            <w:tcW w:w="2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562</w:t>
            </w:r>
          </w:p>
        </w:tc>
        <w:tc>
          <w:tcPr>
            <w:tcW w:w="0" w:type="dxa"/>
            <w:vAlign w:val="bottom"/>
          </w:tcPr>
          <w:p>
            <w:pPr>
              <w:spacing w:after="0"/>
              <w:rPr>
                <w:sz w:val="1"/>
                <w:szCs w:val="1"/>
                <w:color w:val="auto"/>
              </w:rPr>
            </w:pPr>
          </w:p>
        </w:tc>
      </w:tr>
      <w:tr>
        <w:trPr>
          <w:trHeight w:val="196"/>
        </w:trPr>
        <w:tc>
          <w:tcPr>
            <w:tcW w:w="39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Customer relationships</w:t>
            </w:r>
          </w:p>
        </w:tc>
        <w:tc>
          <w:tcPr>
            <w:tcW w:w="140" w:type="dxa"/>
            <w:vAlign w:val="bottom"/>
            <w:tcBorders>
              <w:bottom w:val="single" w:sz="8" w:color="61656A"/>
            </w:tcBorders>
          </w:tcPr>
          <w:p>
            <w:pPr>
              <w:spacing w:after="0"/>
              <w:rPr>
                <w:sz w:val="17"/>
                <w:szCs w:val="17"/>
                <w:color w:val="auto"/>
              </w:rPr>
            </w:pPr>
          </w:p>
        </w:tc>
        <w:tc>
          <w:tcPr>
            <w:tcW w:w="8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4,153</w:t>
            </w:r>
          </w:p>
        </w:tc>
        <w:tc>
          <w:tcPr>
            <w:tcW w:w="26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(2,619)</w:t>
            </w:r>
          </w:p>
        </w:tc>
        <w:tc>
          <w:tcPr>
            <w:tcW w:w="24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1,534</w:t>
            </w:r>
          </w:p>
        </w:tc>
        <w:tc>
          <w:tcPr>
            <w:tcW w:w="220" w:type="dxa"/>
            <w:vAlign w:val="bottom"/>
            <w:tcBorders>
              <w:bottom w:val="single" w:sz="8" w:color="61656A"/>
            </w:tcBorders>
          </w:tcPr>
          <w:p>
            <w:pPr>
              <w:spacing w:after="0"/>
              <w:rPr>
                <w:sz w:val="17"/>
                <w:szCs w:val="17"/>
                <w:color w:val="auto"/>
              </w:rPr>
            </w:pPr>
          </w:p>
        </w:tc>
        <w:tc>
          <w:tcPr>
            <w:tcW w:w="140" w:type="dxa"/>
            <w:vAlign w:val="bottom"/>
            <w:tcBorders>
              <w:bottom w:val="single" w:sz="8" w:color="61656A"/>
            </w:tcBorders>
          </w:tcPr>
          <w:p>
            <w:pPr>
              <w:spacing w:after="0"/>
              <w:rPr>
                <w:sz w:val="17"/>
                <w:szCs w:val="17"/>
                <w:color w:val="auto"/>
              </w:rPr>
            </w:pPr>
          </w:p>
        </w:tc>
        <w:tc>
          <w:tcPr>
            <w:tcW w:w="8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4,199</w:t>
            </w:r>
          </w:p>
        </w:tc>
        <w:tc>
          <w:tcPr>
            <w:tcW w:w="380" w:type="dxa"/>
            <w:vAlign w:val="bottom"/>
            <w:tcBorders>
              <w:bottom w:val="single" w:sz="8" w:color="61656A"/>
            </w:tcBorders>
          </w:tcPr>
          <w:p>
            <w:pPr>
              <w:spacing w:after="0"/>
              <w:rPr>
                <w:sz w:val="17"/>
                <w:szCs w:val="17"/>
                <w:color w:val="auto"/>
              </w:rPr>
            </w:pPr>
          </w:p>
        </w:tc>
        <w:tc>
          <w:tcPr>
            <w:tcW w:w="11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(2,601)</w:t>
            </w:r>
          </w:p>
        </w:tc>
        <w:tc>
          <w:tcPr>
            <w:tcW w:w="22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1,598</w:t>
            </w:r>
          </w:p>
        </w:tc>
        <w:tc>
          <w:tcPr>
            <w:tcW w:w="0" w:type="dxa"/>
            <w:vAlign w:val="bottom"/>
          </w:tcPr>
          <w:p>
            <w:pPr>
              <w:spacing w:after="0"/>
              <w:rPr>
                <w:sz w:val="1"/>
                <w:szCs w:val="1"/>
                <w:color w:val="auto"/>
              </w:rPr>
            </w:pPr>
          </w:p>
        </w:tc>
      </w:tr>
      <w:tr>
        <w:trPr>
          <w:trHeight w:val="196"/>
        </w:trPr>
        <w:tc>
          <w:tcPr>
            <w:tcW w:w="39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Trademarks</w:t>
            </w:r>
          </w:p>
        </w:tc>
        <w:tc>
          <w:tcPr>
            <w:tcW w:w="140" w:type="dxa"/>
            <w:vAlign w:val="bottom"/>
            <w:tcBorders>
              <w:bottom w:val="single" w:sz="8" w:color="61656A"/>
            </w:tcBorders>
          </w:tcPr>
          <w:p>
            <w:pPr>
              <w:spacing w:after="0"/>
              <w:rPr>
                <w:sz w:val="17"/>
                <w:szCs w:val="17"/>
                <w:color w:val="auto"/>
              </w:rPr>
            </w:pPr>
          </w:p>
        </w:tc>
        <w:tc>
          <w:tcPr>
            <w:tcW w:w="8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357</w:t>
            </w:r>
          </w:p>
        </w:tc>
        <w:tc>
          <w:tcPr>
            <w:tcW w:w="26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(287)</w:t>
            </w:r>
          </w:p>
        </w:tc>
        <w:tc>
          <w:tcPr>
            <w:tcW w:w="24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70</w:t>
            </w:r>
          </w:p>
        </w:tc>
        <w:tc>
          <w:tcPr>
            <w:tcW w:w="220" w:type="dxa"/>
            <w:vAlign w:val="bottom"/>
            <w:tcBorders>
              <w:bottom w:val="single" w:sz="8" w:color="61656A"/>
            </w:tcBorders>
          </w:tcPr>
          <w:p>
            <w:pPr>
              <w:spacing w:after="0"/>
              <w:rPr>
                <w:sz w:val="17"/>
                <w:szCs w:val="17"/>
                <w:color w:val="auto"/>
              </w:rPr>
            </w:pPr>
          </w:p>
        </w:tc>
        <w:tc>
          <w:tcPr>
            <w:tcW w:w="140" w:type="dxa"/>
            <w:vAlign w:val="bottom"/>
            <w:tcBorders>
              <w:bottom w:val="single" w:sz="8" w:color="61656A"/>
            </w:tcBorders>
          </w:tcPr>
          <w:p>
            <w:pPr>
              <w:spacing w:after="0"/>
              <w:rPr>
                <w:sz w:val="17"/>
                <w:szCs w:val="17"/>
                <w:color w:val="auto"/>
              </w:rPr>
            </w:pPr>
          </w:p>
        </w:tc>
        <w:tc>
          <w:tcPr>
            <w:tcW w:w="8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362</w:t>
            </w:r>
          </w:p>
        </w:tc>
        <w:tc>
          <w:tcPr>
            <w:tcW w:w="380" w:type="dxa"/>
            <w:vAlign w:val="bottom"/>
            <w:tcBorders>
              <w:bottom w:val="single" w:sz="8" w:color="61656A"/>
            </w:tcBorders>
          </w:tcPr>
          <w:p>
            <w:pPr>
              <w:spacing w:after="0"/>
              <w:rPr>
                <w:sz w:val="17"/>
                <w:szCs w:val="17"/>
                <w:color w:val="auto"/>
              </w:rPr>
            </w:pPr>
          </w:p>
        </w:tc>
        <w:tc>
          <w:tcPr>
            <w:tcW w:w="11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(284)</w:t>
            </w:r>
          </w:p>
        </w:tc>
        <w:tc>
          <w:tcPr>
            <w:tcW w:w="22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96"/>
        </w:trPr>
        <w:tc>
          <w:tcPr>
            <w:tcW w:w="39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Other</w:t>
            </w:r>
          </w:p>
        </w:tc>
        <w:tc>
          <w:tcPr>
            <w:tcW w:w="140" w:type="dxa"/>
            <w:vAlign w:val="bottom"/>
            <w:tcBorders>
              <w:bottom w:val="single" w:sz="8" w:color="D7282F"/>
            </w:tcBorders>
          </w:tcPr>
          <w:p>
            <w:pPr>
              <w:spacing w:after="0"/>
              <w:rPr>
                <w:sz w:val="17"/>
                <w:szCs w:val="17"/>
                <w:color w:val="auto"/>
              </w:rPr>
            </w:pPr>
          </w:p>
        </w:tc>
        <w:tc>
          <w:tcPr>
            <w:tcW w:w="8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299</w:t>
            </w:r>
          </w:p>
        </w:tc>
        <w:tc>
          <w:tcPr>
            <w:tcW w:w="260" w:type="dxa"/>
            <w:vAlign w:val="bottom"/>
            <w:tcBorders>
              <w:bottom w:val="single" w:sz="8" w:color="D7282F"/>
            </w:tcBorders>
          </w:tcPr>
          <w:p>
            <w:pPr>
              <w:spacing w:after="0"/>
              <w:rPr>
                <w:sz w:val="17"/>
                <w:szCs w:val="17"/>
                <w:color w:val="auto"/>
              </w:rPr>
            </w:pPr>
          </w:p>
        </w:tc>
        <w:tc>
          <w:tcPr>
            <w:tcW w:w="12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(277)</w:t>
            </w:r>
          </w:p>
        </w:tc>
        <w:tc>
          <w:tcPr>
            <w:tcW w:w="24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22</w:t>
            </w:r>
          </w:p>
        </w:tc>
        <w:tc>
          <w:tcPr>
            <w:tcW w:w="220" w:type="dxa"/>
            <w:vAlign w:val="bottom"/>
            <w:tcBorders>
              <w:bottom w:val="single" w:sz="8" w:color="D7282F"/>
            </w:tcBorders>
          </w:tcPr>
          <w:p>
            <w:pPr>
              <w:spacing w:after="0"/>
              <w:rPr>
                <w:sz w:val="17"/>
                <w:szCs w:val="17"/>
                <w:color w:val="auto"/>
              </w:rPr>
            </w:pPr>
          </w:p>
        </w:tc>
        <w:tc>
          <w:tcPr>
            <w:tcW w:w="140" w:type="dxa"/>
            <w:vAlign w:val="bottom"/>
            <w:tcBorders>
              <w:bottom w:val="single" w:sz="8" w:color="D7282F"/>
            </w:tcBorders>
          </w:tcPr>
          <w:p>
            <w:pPr>
              <w:spacing w:after="0"/>
              <w:rPr>
                <w:sz w:val="17"/>
                <w:szCs w:val="17"/>
                <w:color w:val="auto"/>
              </w:rPr>
            </w:pPr>
          </w:p>
        </w:tc>
        <w:tc>
          <w:tcPr>
            <w:tcW w:w="8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299</w:t>
            </w:r>
          </w:p>
        </w:tc>
        <w:tc>
          <w:tcPr>
            <w:tcW w:w="380" w:type="dxa"/>
            <w:vAlign w:val="bottom"/>
            <w:tcBorders>
              <w:bottom w:val="single" w:sz="8" w:color="D7282F"/>
            </w:tcBorders>
          </w:tcPr>
          <w:p>
            <w:pPr>
              <w:spacing w:after="0"/>
              <w:rPr>
                <w:sz w:val="17"/>
                <w:szCs w:val="17"/>
                <w:color w:val="auto"/>
              </w:rPr>
            </w:pPr>
          </w:p>
        </w:tc>
        <w:tc>
          <w:tcPr>
            <w:tcW w:w="11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(277)</w:t>
            </w:r>
          </w:p>
        </w:tc>
        <w:tc>
          <w:tcPr>
            <w:tcW w:w="22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99"/>
        </w:trPr>
        <w:tc>
          <w:tcPr>
            <w:tcW w:w="390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definite-life intangibles—net</w:t>
            </w:r>
          </w:p>
        </w:tc>
        <w:tc>
          <w:tcPr>
            <w:tcW w:w="140" w:type="dxa"/>
            <w:vAlign w:val="bottom"/>
            <w:tcBorders>
              <w:bottom w:val="single" w:sz="8" w:color="D7282F"/>
            </w:tcBorders>
          </w:tcPr>
          <w:p>
            <w:pPr>
              <w:spacing w:after="0"/>
              <w:rPr>
                <w:sz w:val="17"/>
                <w:szCs w:val="17"/>
                <w:color w:val="auto"/>
              </w:rPr>
            </w:pPr>
          </w:p>
        </w:tc>
        <w:tc>
          <w:tcPr>
            <w:tcW w:w="8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7,199</w:t>
            </w:r>
          </w:p>
        </w:tc>
        <w:tc>
          <w:tcPr>
            <w:tcW w:w="260" w:type="dxa"/>
            <w:vAlign w:val="bottom"/>
            <w:tcBorders>
              <w:bottom w:val="single" w:sz="8" w:color="D7282F"/>
            </w:tcBorders>
          </w:tcPr>
          <w:p>
            <w:pPr>
              <w:spacing w:after="0"/>
              <w:rPr>
                <w:sz w:val="17"/>
                <w:szCs w:val="17"/>
                <w:color w:val="auto"/>
              </w:rPr>
            </w:pPr>
          </w:p>
        </w:tc>
        <w:tc>
          <w:tcPr>
            <w:tcW w:w="12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(5,034)</w:t>
            </w:r>
          </w:p>
        </w:tc>
        <w:tc>
          <w:tcPr>
            <w:tcW w:w="24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2,165</w:t>
            </w:r>
          </w:p>
        </w:tc>
        <w:tc>
          <w:tcPr>
            <w:tcW w:w="220" w:type="dxa"/>
            <w:vAlign w:val="bottom"/>
            <w:tcBorders>
              <w:bottom w:val="single" w:sz="8" w:color="D7282F"/>
            </w:tcBorders>
          </w:tcPr>
          <w:p>
            <w:pPr>
              <w:spacing w:after="0"/>
              <w:rPr>
                <w:sz w:val="17"/>
                <w:szCs w:val="17"/>
                <w:color w:val="auto"/>
              </w:rPr>
            </w:pPr>
          </w:p>
        </w:tc>
        <w:tc>
          <w:tcPr>
            <w:tcW w:w="140" w:type="dxa"/>
            <w:vAlign w:val="bottom"/>
            <w:tcBorders>
              <w:bottom w:val="single" w:sz="8" w:color="D7282F"/>
            </w:tcBorders>
          </w:tcPr>
          <w:p>
            <w:pPr>
              <w:spacing w:after="0"/>
              <w:rPr>
                <w:sz w:val="17"/>
                <w:szCs w:val="17"/>
                <w:color w:val="auto"/>
              </w:rPr>
            </w:pPr>
          </w:p>
        </w:tc>
        <w:tc>
          <w:tcPr>
            <w:tcW w:w="8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7,259</w:t>
            </w:r>
          </w:p>
        </w:tc>
        <w:tc>
          <w:tcPr>
            <w:tcW w:w="380" w:type="dxa"/>
            <w:vAlign w:val="bottom"/>
            <w:tcBorders>
              <w:bottom w:val="single" w:sz="8" w:color="D7282F"/>
            </w:tcBorders>
          </w:tcPr>
          <w:p>
            <w:pPr>
              <w:spacing w:after="0"/>
              <w:rPr>
                <w:sz w:val="17"/>
                <w:szCs w:val="17"/>
                <w:color w:val="auto"/>
              </w:rPr>
            </w:pPr>
          </w:p>
        </w:tc>
        <w:tc>
          <w:tcPr>
            <w:tcW w:w="11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(4,999)</w:t>
            </w:r>
          </w:p>
        </w:tc>
        <w:tc>
          <w:tcPr>
            <w:tcW w:w="22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2,260</w:t>
            </w:r>
          </w:p>
        </w:tc>
        <w:tc>
          <w:tcPr>
            <w:tcW w:w="0" w:type="dxa"/>
            <w:vAlign w:val="bottom"/>
          </w:tcPr>
          <w:p>
            <w:pPr>
              <w:spacing w:after="0"/>
              <w:rPr>
                <w:sz w:val="1"/>
                <w:szCs w:val="1"/>
                <w:color w:val="auto"/>
              </w:rPr>
            </w:pPr>
          </w:p>
        </w:tc>
      </w:tr>
      <w:tr>
        <w:trPr>
          <w:trHeight w:val="196"/>
        </w:trPr>
        <w:tc>
          <w:tcPr>
            <w:tcW w:w="39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Indefinite-life intangibles</w:t>
            </w:r>
          </w:p>
        </w:tc>
        <w:tc>
          <w:tcPr>
            <w:tcW w:w="140" w:type="dxa"/>
            <w:vAlign w:val="bottom"/>
            <w:tcBorders>
              <w:bottom w:val="single" w:sz="8" w:color="61656A"/>
            </w:tcBorders>
          </w:tcPr>
          <w:p>
            <w:pPr>
              <w:spacing w:after="0"/>
              <w:rPr>
                <w:sz w:val="17"/>
                <w:szCs w:val="17"/>
                <w:color w:val="auto"/>
              </w:rPr>
            </w:pPr>
          </w:p>
        </w:tc>
        <w:tc>
          <w:tcPr>
            <w:tcW w:w="86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140" w:type="dxa"/>
            <w:vAlign w:val="bottom"/>
            <w:tcBorders>
              <w:bottom w:val="single" w:sz="8" w:color="61656A"/>
            </w:tcBorders>
          </w:tcPr>
          <w:p>
            <w:pPr>
              <w:spacing w:after="0"/>
              <w:rPr>
                <w:sz w:val="17"/>
                <w:szCs w:val="17"/>
                <w:color w:val="auto"/>
              </w:rPr>
            </w:pPr>
          </w:p>
        </w:tc>
        <w:tc>
          <w:tcPr>
            <w:tcW w:w="860" w:type="dxa"/>
            <w:vAlign w:val="bottom"/>
            <w:tcBorders>
              <w:bottom w:val="single" w:sz="8" w:color="61656A"/>
            </w:tcBorders>
          </w:tcPr>
          <w:p>
            <w:pPr>
              <w:spacing w:after="0"/>
              <w:rPr>
                <w:sz w:val="17"/>
                <w:szCs w:val="17"/>
                <w:color w:val="auto"/>
              </w:rPr>
            </w:pPr>
          </w:p>
        </w:tc>
        <w:tc>
          <w:tcPr>
            <w:tcW w:w="380" w:type="dxa"/>
            <w:vAlign w:val="bottom"/>
            <w:tcBorders>
              <w:bottom w:val="single" w:sz="8" w:color="61656A"/>
            </w:tcBorders>
          </w:tcPr>
          <w:p>
            <w:pPr>
              <w:spacing w:after="0"/>
              <w:rPr>
                <w:sz w:val="17"/>
                <w:szCs w:val="17"/>
                <w:color w:val="auto"/>
              </w:rPr>
            </w:pPr>
          </w:p>
        </w:tc>
        <w:tc>
          <w:tcPr>
            <w:tcW w:w="118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9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Trademarks</w:t>
            </w:r>
          </w:p>
        </w:tc>
        <w:tc>
          <w:tcPr>
            <w:tcW w:w="140" w:type="dxa"/>
            <w:vAlign w:val="bottom"/>
            <w:tcBorders>
              <w:bottom w:val="single" w:sz="8" w:color="D7282F"/>
            </w:tcBorders>
          </w:tcPr>
          <w:p>
            <w:pPr>
              <w:spacing w:after="0"/>
              <w:rPr>
                <w:sz w:val="16"/>
                <w:szCs w:val="16"/>
                <w:color w:val="auto"/>
              </w:rPr>
            </w:pPr>
          </w:p>
        </w:tc>
        <w:tc>
          <w:tcPr>
            <w:tcW w:w="8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971</w:t>
            </w:r>
          </w:p>
        </w:tc>
        <w:tc>
          <w:tcPr>
            <w:tcW w:w="260" w:type="dxa"/>
            <w:vAlign w:val="bottom"/>
            <w:tcBorders>
              <w:bottom w:val="single" w:sz="8" w:color="D7282F"/>
            </w:tcBorders>
          </w:tcPr>
          <w:p>
            <w:pPr>
              <w:spacing w:after="0"/>
              <w:rPr>
                <w:sz w:val="16"/>
                <w:szCs w:val="16"/>
                <w:color w:val="auto"/>
              </w:rPr>
            </w:pPr>
          </w:p>
        </w:tc>
        <w:tc>
          <w:tcPr>
            <w:tcW w:w="12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D7282F"/>
            </w:tcBorders>
          </w:tcPr>
          <w:p>
            <w:pPr>
              <w:spacing w:after="0"/>
              <w:rPr>
                <w:sz w:val="16"/>
                <w:szCs w:val="16"/>
                <w:color w:val="auto"/>
              </w:rPr>
            </w:pPr>
          </w:p>
        </w:tc>
        <w:tc>
          <w:tcPr>
            <w:tcW w:w="7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971</w:t>
            </w:r>
          </w:p>
        </w:tc>
        <w:tc>
          <w:tcPr>
            <w:tcW w:w="220" w:type="dxa"/>
            <w:vAlign w:val="bottom"/>
            <w:tcBorders>
              <w:bottom w:val="single" w:sz="8" w:color="D7282F"/>
            </w:tcBorders>
          </w:tcPr>
          <w:p>
            <w:pPr>
              <w:spacing w:after="0"/>
              <w:rPr>
                <w:sz w:val="16"/>
                <w:szCs w:val="16"/>
                <w:color w:val="auto"/>
              </w:rPr>
            </w:pPr>
          </w:p>
        </w:tc>
        <w:tc>
          <w:tcPr>
            <w:tcW w:w="140" w:type="dxa"/>
            <w:vAlign w:val="bottom"/>
            <w:tcBorders>
              <w:bottom w:val="single" w:sz="8" w:color="D7282F"/>
            </w:tcBorders>
          </w:tcPr>
          <w:p>
            <w:pPr>
              <w:spacing w:after="0"/>
              <w:rPr>
                <w:sz w:val="16"/>
                <w:szCs w:val="16"/>
                <w:color w:val="auto"/>
              </w:rPr>
            </w:pPr>
          </w:p>
        </w:tc>
        <w:tc>
          <w:tcPr>
            <w:tcW w:w="8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971</w:t>
            </w:r>
          </w:p>
        </w:tc>
        <w:tc>
          <w:tcPr>
            <w:tcW w:w="380" w:type="dxa"/>
            <w:vAlign w:val="bottom"/>
            <w:tcBorders>
              <w:bottom w:val="single" w:sz="8" w:color="D7282F"/>
            </w:tcBorders>
          </w:tcPr>
          <w:p>
            <w:pPr>
              <w:spacing w:after="0"/>
              <w:rPr>
                <w:sz w:val="16"/>
                <w:szCs w:val="16"/>
                <w:color w:val="auto"/>
              </w:rPr>
            </w:pPr>
          </w:p>
        </w:tc>
        <w:tc>
          <w:tcPr>
            <w:tcW w:w="118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D7282F"/>
            </w:tcBorders>
          </w:tcPr>
          <w:p>
            <w:pPr>
              <w:spacing w:after="0"/>
              <w:rPr>
                <w:sz w:val="16"/>
                <w:szCs w:val="16"/>
                <w:color w:val="auto"/>
              </w:rPr>
            </w:pPr>
          </w:p>
        </w:tc>
        <w:tc>
          <w:tcPr>
            <w:tcW w:w="7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971</w:t>
            </w:r>
          </w:p>
        </w:tc>
        <w:tc>
          <w:tcPr>
            <w:tcW w:w="0" w:type="dxa"/>
            <w:vAlign w:val="bottom"/>
          </w:tcPr>
          <w:p>
            <w:pPr>
              <w:spacing w:after="0"/>
              <w:rPr>
                <w:sz w:val="1"/>
                <w:szCs w:val="1"/>
                <w:color w:val="auto"/>
              </w:rPr>
            </w:pPr>
          </w:p>
        </w:tc>
      </w:tr>
      <w:tr>
        <w:trPr>
          <w:trHeight w:val="199"/>
        </w:trPr>
        <w:tc>
          <w:tcPr>
            <w:tcW w:w="3900" w:type="dxa"/>
            <w:vAlign w:val="bottom"/>
            <w:tcBorders>
              <w:bottom w:val="single" w:sz="8" w:color="D7282F"/>
            </w:tcBorders>
          </w:tcPr>
          <w:p>
            <w:pPr>
              <w:ind w:left="360"/>
              <w:spacing w:after="0"/>
              <w:rPr>
                <w:sz w:val="20"/>
                <w:szCs w:val="20"/>
                <w:color w:val="auto"/>
              </w:rPr>
            </w:pPr>
            <w:r>
              <w:rPr>
                <w:rFonts w:ascii="Arial" w:cs="Arial" w:eastAsia="Arial" w:hAnsi="Arial"/>
                <w:sz w:val="14"/>
                <w:szCs w:val="14"/>
                <w:b w:val="1"/>
                <w:bCs w:val="1"/>
                <w:color w:val="auto"/>
              </w:rPr>
              <w:t>Total Other intangible assets—net</w:t>
            </w:r>
          </w:p>
        </w:tc>
        <w:tc>
          <w:tcPr>
            <w:tcW w:w="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8,170</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(5,034)</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3,136</w:t>
            </w:r>
          </w:p>
        </w:tc>
        <w:tc>
          <w:tcPr>
            <w:tcW w:w="220" w:type="dxa"/>
            <w:vAlign w:val="bottom"/>
            <w:tcBorders>
              <w:bottom w:val="single" w:sz="8" w:color="D7282F"/>
            </w:tcBorders>
          </w:tcPr>
          <w:p>
            <w:pPr>
              <w:spacing w:after="0"/>
              <w:rPr>
                <w:sz w:val="17"/>
                <w:szCs w:val="17"/>
                <w:color w:val="auto"/>
              </w:rPr>
            </w:pPr>
          </w:p>
        </w:tc>
        <w:tc>
          <w:tcPr>
            <w:tcW w:w="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8,230</w:t>
            </w:r>
          </w:p>
        </w:tc>
        <w:tc>
          <w:tcPr>
            <w:tcW w:w="3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(4,999)</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3,231</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Other intangible assets amortization includes $70 million and $68 million of acquisition-related intangible amortization expense for the three months ended March 31, 2024, and 2023, respectively.</w:t>
      </w:r>
    </w:p>
    <w:p>
      <w:pPr>
        <w:spacing w:after="0" w:line="400" w:lineRule="exact"/>
        <w:rPr>
          <w:sz w:val="20"/>
          <w:szCs w:val="20"/>
          <w:color w:val="auto"/>
        </w:rPr>
      </w:pPr>
    </w:p>
    <w:p>
      <w:pPr>
        <w:ind w:left="400" w:hanging="392"/>
        <w:spacing w:after="0"/>
        <w:tabs>
          <w:tab w:leader="none" w:pos="400" w:val="left"/>
        </w:tabs>
        <w:numPr>
          <w:ilvl w:val="0"/>
          <w:numId w:val="17"/>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9"/>
          <w:szCs w:val="29"/>
          <w:color w:val="D7282F"/>
        </w:rPr>
        <w:t>NOTE 9. LONG-TERM DEBT AND CREDIT AGREEMENTS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340" w:type="dxa"/>
            <w:vAlign w:val="bottom"/>
            <w:tcBorders>
              <w:bottom w:val="single" w:sz="8" w:color="D7282F"/>
            </w:tcBorders>
          </w:tcPr>
          <w:p>
            <w:pPr>
              <w:spacing w:after="0"/>
              <w:rPr>
                <w:sz w:val="17"/>
                <w:szCs w:val="17"/>
                <w:color w:val="auto"/>
              </w:rPr>
            </w:pPr>
          </w:p>
        </w:tc>
        <w:tc>
          <w:tcPr>
            <w:tcW w:w="360" w:type="dxa"/>
            <w:vAlign w:val="bottom"/>
            <w:tcBorders>
              <w:bottom w:val="single" w:sz="8" w:color="D7282F"/>
            </w:tcBorders>
          </w:tcPr>
          <w:p>
            <w:pPr>
              <w:spacing w:after="0"/>
              <w:rPr>
                <w:sz w:val="17"/>
                <w:szCs w:val="17"/>
                <w:color w:val="auto"/>
              </w:rPr>
            </w:pPr>
          </w:p>
        </w:tc>
        <w:tc>
          <w:tcPr>
            <w:tcW w:w="1660" w:type="dxa"/>
            <w:vAlign w:val="bottom"/>
            <w:tcBorders>
              <w:bottom w:val="single" w:sz="8" w:color="D7282F"/>
            </w:tcBorders>
          </w:tcPr>
          <w:p>
            <w:pPr>
              <w:jc w:val="right"/>
              <w:ind w:right="428"/>
              <w:spacing w:after="0"/>
              <w:rPr>
                <w:sz w:val="20"/>
                <w:szCs w:val="20"/>
                <w:color w:val="auto"/>
              </w:rPr>
            </w:pPr>
            <w:r>
              <w:rPr>
                <w:rFonts w:ascii="Arial" w:cs="Arial" w:eastAsia="Arial" w:hAnsi="Arial"/>
                <w:sz w:val="14"/>
                <w:szCs w:val="14"/>
                <w:b w:val="1"/>
                <w:bCs w:val="1"/>
                <w:color w:val="auto"/>
              </w:rPr>
              <w:t>March 31, 2024</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December 31, 2023</w:t>
            </w:r>
          </w:p>
        </w:tc>
      </w:tr>
      <w:tr>
        <w:trPr>
          <w:trHeight w:val="193"/>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0.00% Euro notes due 2024</w:t>
            </w:r>
          </w:p>
        </w:tc>
        <w:tc>
          <w:tcPr>
            <w:tcW w:w="36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547</w:t>
            </w:r>
          </w:p>
        </w:tc>
      </w:tr>
      <w:tr>
        <w:trPr>
          <w:trHeight w:val="196"/>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2.30% notes due 2024</w:t>
            </w:r>
          </w:p>
        </w:tc>
        <w:tc>
          <w:tcPr>
            <w:tcW w:w="36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750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750</w:t>
            </w:r>
          </w:p>
        </w:tc>
      </w:tr>
      <w:tr>
        <w:trPr>
          <w:trHeight w:val="196"/>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4.85% notes due 2024</w:t>
            </w:r>
          </w:p>
        </w:tc>
        <w:tc>
          <w:tcPr>
            <w:tcW w:w="36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400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400</w:t>
            </w:r>
          </w:p>
        </w:tc>
      </w:tr>
      <w:tr>
        <w:trPr>
          <w:trHeight w:val="196"/>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1.35% notes due 2025</w:t>
            </w:r>
          </w:p>
        </w:tc>
        <w:tc>
          <w:tcPr>
            <w:tcW w:w="36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1,250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1,250</w:t>
            </w:r>
          </w:p>
        </w:tc>
      </w:tr>
      <w:tr>
        <w:trPr>
          <w:trHeight w:val="196"/>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2.50% notes due 2026</w:t>
            </w:r>
          </w:p>
        </w:tc>
        <w:tc>
          <w:tcPr>
            <w:tcW w:w="36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1,500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1,500</w:t>
            </w:r>
          </w:p>
        </w:tc>
      </w:tr>
      <w:tr>
        <w:trPr>
          <w:trHeight w:val="196"/>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1.10% notes due 2027</w:t>
            </w:r>
          </w:p>
        </w:tc>
        <w:tc>
          <w:tcPr>
            <w:tcW w:w="36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1,000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1,000</w:t>
            </w:r>
          </w:p>
        </w:tc>
      </w:tr>
      <w:tr>
        <w:trPr>
          <w:trHeight w:val="196"/>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3.50% Euro notes due 2027</w:t>
            </w:r>
          </w:p>
        </w:tc>
        <w:tc>
          <w:tcPr>
            <w:tcW w:w="36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703</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711</w:t>
            </w:r>
          </w:p>
        </w:tc>
      </w:tr>
      <w:tr>
        <w:trPr>
          <w:trHeight w:val="196"/>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4.95% notes due 2028</w:t>
            </w:r>
          </w:p>
        </w:tc>
        <w:tc>
          <w:tcPr>
            <w:tcW w:w="36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500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500</w:t>
            </w:r>
          </w:p>
        </w:tc>
      </w:tr>
      <w:tr>
        <w:trPr>
          <w:trHeight w:val="196"/>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2.25% Euro notes due 2028</w:t>
            </w:r>
          </w:p>
        </w:tc>
        <w:tc>
          <w:tcPr>
            <w:tcW w:w="36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811</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820</w:t>
            </w:r>
          </w:p>
        </w:tc>
      </w:tr>
      <w:tr>
        <w:trPr>
          <w:trHeight w:val="196"/>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4.25% notes due 2029</w:t>
            </w:r>
          </w:p>
        </w:tc>
        <w:tc>
          <w:tcPr>
            <w:tcW w:w="36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750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750</w:t>
            </w:r>
          </w:p>
        </w:tc>
      </w:tr>
      <w:tr>
        <w:trPr>
          <w:trHeight w:val="196"/>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2.70% notes due 2029</w:t>
            </w:r>
          </w:p>
        </w:tc>
        <w:tc>
          <w:tcPr>
            <w:tcW w:w="36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750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750</w:t>
            </w:r>
          </w:p>
        </w:tc>
      </w:tr>
      <w:tr>
        <w:trPr>
          <w:trHeight w:val="196"/>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4.875% notes due 2029</w:t>
            </w:r>
          </w:p>
        </w:tc>
        <w:tc>
          <w:tcPr>
            <w:tcW w:w="36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500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3.375% Euro notes due 2030</w:t>
            </w:r>
          </w:p>
        </w:tc>
        <w:tc>
          <w:tcPr>
            <w:tcW w:w="36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811</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1.95% notes due 2030</w:t>
            </w:r>
          </w:p>
        </w:tc>
        <w:tc>
          <w:tcPr>
            <w:tcW w:w="36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1,000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1,000</w:t>
            </w:r>
          </w:p>
        </w:tc>
      </w:tr>
      <w:tr>
        <w:trPr>
          <w:trHeight w:val="196"/>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4.95% notes due 2031</w:t>
            </w:r>
          </w:p>
        </w:tc>
        <w:tc>
          <w:tcPr>
            <w:tcW w:w="36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500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1.75% notes due 2031</w:t>
            </w:r>
          </w:p>
        </w:tc>
        <w:tc>
          <w:tcPr>
            <w:tcW w:w="36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1,500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1,500</w:t>
            </w:r>
          </w:p>
        </w:tc>
      </w:tr>
      <w:tr>
        <w:trPr>
          <w:trHeight w:val="196"/>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0.75% Euro notes due 2032</w:t>
            </w:r>
          </w:p>
        </w:tc>
        <w:tc>
          <w:tcPr>
            <w:tcW w:w="36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541</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547</w:t>
            </w:r>
          </w:p>
        </w:tc>
      </w:tr>
      <w:tr>
        <w:trPr>
          <w:trHeight w:val="196"/>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3.75% Euro notes due 2032</w:t>
            </w:r>
          </w:p>
        </w:tc>
        <w:tc>
          <w:tcPr>
            <w:tcW w:w="36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541</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547</w:t>
            </w:r>
          </w:p>
        </w:tc>
      </w:tr>
      <w:tr>
        <w:trPr>
          <w:trHeight w:val="196"/>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5.00% notes due 2033</w:t>
            </w:r>
          </w:p>
        </w:tc>
        <w:tc>
          <w:tcPr>
            <w:tcW w:w="36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1,100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1,100</w:t>
            </w:r>
          </w:p>
        </w:tc>
      </w:tr>
      <w:tr>
        <w:trPr>
          <w:trHeight w:val="196"/>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4.50% notes due 2034</w:t>
            </w:r>
          </w:p>
        </w:tc>
        <w:tc>
          <w:tcPr>
            <w:tcW w:w="36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1,000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1,000</w:t>
            </w:r>
          </w:p>
        </w:tc>
      </w:tr>
      <w:tr>
        <w:trPr>
          <w:trHeight w:val="196"/>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4.125% Euro notes due 2034</w:t>
            </w:r>
          </w:p>
        </w:tc>
        <w:tc>
          <w:tcPr>
            <w:tcW w:w="36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1,082</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1,094</w:t>
            </w:r>
          </w:p>
        </w:tc>
      </w:tr>
      <w:tr>
        <w:trPr>
          <w:trHeight w:val="196"/>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5.00% notes due 2035</w:t>
            </w:r>
          </w:p>
        </w:tc>
        <w:tc>
          <w:tcPr>
            <w:tcW w:w="36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750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3.75% Euro notes due 2036</w:t>
            </w:r>
          </w:p>
        </w:tc>
        <w:tc>
          <w:tcPr>
            <w:tcW w:w="36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811</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5.70% notes due 2036</w:t>
            </w:r>
          </w:p>
        </w:tc>
        <w:tc>
          <w:tcPr>
            <w:tcW w:w="36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441</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441</w:t>
            </w:r>
          </w:p>
        </w:tc>
      </w:tr>
      <w:tr>
        <w:trPr>
          <w:trHeight w:val="196"/>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5.70% notes due 2037</w:t>
            </w:r>
          </w:p>
        </w:tc>
        <w:tc>
          <w:tcPr>
            <w:tcW w:w="36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462</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462</w:t>
            </w:r>
          </w:p>
        </w:tc>
      </w:tr>
      <w:tr>
        <w:trPr>
          <w:trHeight w:val="196"/>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5.375% notes due 2041</w:t>
            </w:r>
          </w:p>
        </w:tc>
        <w:tc>
          <w:tcPr>
            <w:tcW w:w="36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417</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417</w:t>
            </w:r>
          </w:p>
        </w:tc>
      </w:tr>
      <w:tr>
        <w:trPr>
          <w:trHeight w:val="196"/>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3.812% notes due 2047</w:t>
            </w:r>
          </w:p>
        </w:tc>
        <w:tc>
          <w:tcPr>
            <w:tcW w:w="36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442</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442</w:t>
            </w:r>
          </w:p>
        </w:tc>
      </w:tr>
      <w:tr>
        <w:trPr>
          <w:trHeight w:val="196"/>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2.80% notes due 2050</w:t>
            </w:r>
          </w:p>
        </w:tc>
        <w:tc>
          <w:tcPr>
            <w:tcW w:w="36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750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750</w:t>
            </w:r>
          </w:p>
        </w:tc>
      </w:tr>
      <w:tr>
        <w:trPr>
          <w:trHeight w:val="196"/>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5.25% notes due 2054</w:t>
            </w:r>
          </w:p>
        </w:tc>
        <w:tc>
          <w:tcPr>
            <w:tcW w:w="36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1,750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5.35% notes due 2064</w:t>
            </w:r>
          </w:p>
        </w:tc>
        <w:tc>
          <w:tcPr>
            <w:tcW w:w="36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650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Industrial development bond obligations, floating rate maturing at various dates through 2037</w:t>
            </w:r>
          </w:p>
        </w:tc>
        <w:tc>
          <w:tcPr>
            <w:tcW w:w="36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22</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22</w:t>
            </w:r>
          </w:p>
        </w:tc>
      </w:tr>
      <w:tr>
        <w:trPr>
          <w:trHeight w:val="196"/>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6.625% debentures due 2028</w:t>
            </w:r>
          </w:p>
        </w:tc>
        <w:tc>
          <w:tcPr>
            <w:tcW w:w="36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201</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201</w:t>
            </w:r>
          </w:p>
        </w:tc>
      </w:tr>
      <w:tr>
        <w:trPr>
          <w:trHeight w:val="196"/>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9.065% debentures due 2033</w:t>
            </w:r>
          </w:p>
        </w:tc>
        <w:tc>
          <w:tcPr>
            <w:tcW w:w="36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51</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51</w:t>
            </w:r>
          </w:p>
        </w:tc>
      </w:tr>
      <w:tr>
        <w:trPr>
          <w:trHeight w:val="196"/>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Other (including capitalized leases), 6.5% weighted average interest rate maturing at various dates through 2029</w:t>
            </w:r>
          </w:p>
        </w:tc>
        <w:tc>
          <w:tcPr>
            <w:tcW w:w="36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213</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217</w:t>
            </w:r>
          </w:p>
        </w:tc>
      </w:tr>
      <w:tr>
        <w:trPr>
          <w:trHeight w:val="196"/>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Fair value of hedging instruments</w:t>
            </w:r>
          </w:p>
        </w:tc>
        <w:tc>
          <w:tcPr>
            <w:tcW w:w="36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(208)</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(166)</w:t>
            </w:r>
          </w:p>
        </w:tc>
      </w:tr>
      <w:tr>
        <w:trPr>
          <w:trHeight w:val="196"/>
        </w:trPr>
        <w:tc>
          <w:tcPr>
            <w:tcW w:w="73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Debt issuance costs</w:t>
            </w:r>
          </w:p>
        </w:tc>
        <w:tc>
          <w:tcPr>
            <w:tcW w:w="360" w:type="dxa"/>
            <w:vAlign w:val="bottom"/>
            <w:tcBorders>
              <w:bottom w:val="single" w:sz="8" w:color="D7282F"/>
            </w:tcBorders>
          </w:tcPr>
          <w:p>
            <w:pPr>
              <w:spacing w:after="0"/>
              <w:rPr>
                <w:sz w:val="17"/>
                <w:szCs w:val="17"/>
                <w:color w:val="auto"/>
              </w:rPr>
            </w:pPr>
          </w:p>
        </w:tc>
        <w:tc>
          <w:tcPr>
            <w:tcW w:w="16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(304)</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(245)</w:t>
            </w:r>
          </w:p>
        </w:tc>
      </w:tr>
      <w:tr>
        <w:trPr>
          <w:trHeight w:val="199"/>
        </w:trPr>
        <w:tc>
          <w:tcPr>
            <w:tcW w:w="734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Long-term debt and current related maturities</w:t>
            </w:r>
          </w:p>
        </w:tc>
        <w:tc>
          <w:tcPr>
            <w:tcW w:w="360" w:type="dxa"/>
            <w:vAlign w:val="bottom"/>
            <w:tcBorders>
              <w:bottom w:val="single" w:sz="8" w:color="D7282F"/>
            </w:tcBorders>
          </w:tcPr>
          <w:p>
            <w:pPr>
              <w:spacing w:after="0"/>
              <w:rPr>
                <w:sz w:val="17"/>
                <w:szCs w:val="17"/>
                <w:color w:val="auto"/>
              </w:rPr>
            </w:pPr>
          </w:p>
        </w:tc>
        <w:tc>
          <w:tcPr>
            <w:tcW w:w="16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23,437</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18,358</w:t>
            </w:r>
          </w:p>
        </w:tc>
      </w:tr>
      <w:tr>
        <w:trPr>
          <w:trHeight w:val="193"/>
        </w:trPr>
        <w:tc>
          <w:tcPr>
            <w:tcW w:w="73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Less: Current maturities of long-term debt</w:t>
            </w:r>
          </w:p>
        </w:tc>
        <w:tc>
          <w:tcPr>
            <w:tcW w:w="360" w:type="dxa"/>
            <w:vAlign w:val="bottom"/>
            <w:tcBorders>
              <w:bottom w:val="single" w:sz="8" w:color="D7282F"/>
            </w:tcBorders>
          </w:tcPr>
          <w:p>
            <w:pPr>
              <w:spacing w:after="0"/>
              <w:rPr>
                <w:sz w:val="16"/>
                <w:szCs w:val="16"/>
                <w:color w:val="auto"/>
              </w:rPr>
            </w:pPr>
          </w:p>
        </w:tc>
        <w:tc>
          <w:tcPr>
            <w:tcW w:w="16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1,254</w:t>
            </w:r>
          </w:p>
        </w:tc>
        <w:tc>
          <w:tcPr>
            <w:tcW w:w="280" w:type="dxa"/>
            <w:vAlign w:val="bottom"/>
            <w:tcBorders>
              <w:bottom w:val="single" w:sz="8" w:color="D7282F"/>
            </w:tcBorders>
          </w:tcPr>
          <w:p>
            <w:pPr>
              <w:spacing w:after="0"/>
              <w:rPr>
                <w:sz w:val="16"/>
                <w:szCs w:val="16"/>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1,796</w:t>
            </w:r>
          </w:p>
        </w:tc>
      </w:tr>
      <w:tr>
        <w:trPr>
          <w:trHeight w:val="199"/>
        </w:trPr>
        <w:tc>
          <w:tcPr>
            <w:tcW w:w="734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Long-term debt</w:t>
            </w:r>
          </w:p>
        </w:tc>
        <w:tc>
          <w:tcPr>
            <w:tcW w:w="36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6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22,183</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16,562</w:t>
            </w:r>
          </w:p>
        </w:tc>
      </w:tr>
    </w:tbl>
    <w:p>
      <w:pPr>
        <w:spacing w:after="0" w:line="200" w:lineRule="exact"/>
        <w:rPr>
          <w:sz w:val="20"/>
          <w:szCs w:val="20"/>
          <w:color w:val="auto"/>
        </w:rPr>
      </w:pPr>
    </w:p>
    <w:p>
      <w:pPr>
        <w:spacing w:after="0" w:line="30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DC202E"/>
        </w:rPr>
        <w:t>17</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On March 1, 2024, the Company issued $500 million 4.875% Senior Notes due 2029, $500 million 4.95% Senior Notes due 2031, $750 million 5.00% Senior Notes due 2035, $1.75 billion 5.25% Senior Notes due 2054, and $650 million 5.35% Senior Notes due 2064 (collectively, the 2024 USD Notes). The Company may redeem the 2024 USD Notes at any time, and from time to time, in whole or in part, at the Company's option at the applicable redemption price. The offering provided gross proceeds of $4.2 billion, offset by $44 million in discount and closing costs related to the offering.</w:t>
      </w:r>
    </w:p>
    <w:p>
      <w:pPr>
        <w:spacing w:after="0" w:line="7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On March 1, 2024, the Company issued €750 million 3.375% Senior Notes due 2030 and €750 million 3.75% Senior Notes due 2036 (collectively, the 2024 Euro Notes). The Company may redeem the 2024 Euro Notes at any time, and from time to time, in whole or in part, at the Company's option at the applicable redemption price. The offering provided gross proceeds of $1.6 billion, offset by $21 million in discount and closing costs related to the offering.</w:t>
      </w:r>
    </w:p>
    <w:p>
      <w:pPr>
        <w:spacing w:after="0" w:line="7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2024 USD Notes and 2024 Euro Notes are senior unsecured and unsubordinated obligations of the Company and rank equally with each other and with all of the Company's existing and future senior unsecured debt and senior to all of the Company's subordinated debt. The Company intends to use the proceeds from the issuances for general corporate purposes, which may include, among other things, the repayment of outstanding debt and financing of possible acquisitions or business expansion.</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auto"/>
        </w:rPr>
        <w:t>On March 11, 2024, the Company repaid its 0.00% Euro notes due 2024.</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On March 18, 2024, the Company entered into a $1.5 billion 364-day credit agreement (the 364-Day Credit Agreement) and a $4.0 billion amended and restated five-year credit agreement (the 5-Year Credit Agreement). The 364-Day Credit Agreement replaced the $1.5 billion 364-day credit agreement dated as of March 20, 2023, which was terminated in accordance with its terms effective March 18, 2024. Amounts borrowed under the 364-Day Credit Agreement are required to be repaid no later than March 17, 2025, unless (i) Honeywell elects to convert all then outstanding amounts into a term loan, upon which such amounts shall be repaid in full on March 17, 2026, or (ii) the 364-Day Credit Agreement is terminated earlier pursuant to its terms. The 5-Year Credit Agreement amended and restated the previously reported $4.0 billion amended and restated five-year credit agreement dated as of March 20, 2023. Commitments under the 5-Year Credit Agreement can be increased pursuant to the terms of the 5-Year Credit Agreement to an aggregate amount not to exceed $4.5 billion. The 364-Day Credit Agreement and 5-Year Credit Agreement are maintained for general corporate purposes.</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As of March 31, 2024, there were no outstanding borrowings under the 364-Day Credit Agreement or the 5-Year Credit Agreement.</w:t>
      </w:r>
    </w:p>
    <w:p>
      <w:pPr>
        <w:spacing w:after="0" w:line="284" w:lineRule="exact"/>
        <w:rPr>
          <w:sz w:val="20"/>
          <w:szCs w:val="20"/>
          <w:color w:val="auto"/>
        </w:rPr>
      </w:pPr>
    </w:p>
    <w:p>
      <w:pPr>
        <w:spacing w:after="0"/>
        <w:rPr>
          <w:sz w:val="20"/>
          <w:szCs w:val="20"/>
          <w:color w:val="auto"/>
        </w:rPr>
      </w:pPr>
      <w:r>
        <w:rPr>
          <w:rFonts w:ascii="Arial" w:cs="Arial" w:eastAsia="Arial" w:hAnsi="Arial"/>
          <w:sz w:val="29"/>
          <w:szCs w:val="29"/>
          <w:color w:val="D7282F"/>
        </w:rPr>
        <w:t>NOTE 10. LEASES</w:t>
      </w:r>
    </w:p>
    <w:p>
      <w:pPr>
        <w:spacing w:after="0" w:line="238"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Company's operating and finance lease portfolio is described in Note 10 Leases of Notes to Consolidated Financial Statements in the Company's 2023 Annual Report on Form 10-K.</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Supplemental cash flow information related to leases was as follows:</w:t>
      </w:r>
    </w:p>
    <w:p>
      <w:pPr>
        <w:spacing w:after="0" w:line="158" w:lineRule="exact"/>
        <w:rPr>
          <w:sz w:val="20"/>
          <w:szCs w:val="20"/>
          <w:color w:val="auto"/>
        </w:rPr>
      </w:pPr>
    </w:p>
    <w:p>
      <w:pPr>
        <w:jc w:val="center"/>
        <w:ind w:left="9260"/>
        <w:spacing w:after="0"/>
        <w:rPr>
          <w:sz w:val="20"/>
          <w:szCs w:val="20"/>
          <w:color w:val="auto"/>
        </w:rPr>
      </w:pPr>
      <w:r>
        <w:rPr>
          <w:rFonts w:ascii="Arial" w:cs="Arial" w:eastAsia="Arial" w:hAnsi="Arial"/>
          <w:sz w:val="14"/>
          <w:szCs w:val="14"/>
          <w:b w:val="1"/>
          <w:bCs w:val="1"/>
          <w:color w:val="auto"/>
        </w:rPr>
        <w:t>Three Months Ended March</w:t>
      </w:r>
    </w:p>
    <w:p>
      <w:pPr>
        <w:spacing w:after="0" w:line="2" w:lineRule="exact"/>
        <w:rPr>
          <w:sz w:val="20"/>
          <w:szCs w:val="20"/>
          <w:color w:val="auto"/>
        </w:rPr>
      </w:pPr>
    </w:p>
    <w:p>
      <w:pPr>
        <w:jc w:val="center"/>
        <w:ind w:left="9260"/>
        <w:spacing w:after="0"/>
        <w:rPr>
          <w:sz w:val="20"/>
          <w:szCs w:val="20"/>
          <w:color w:val="auto"/>
        </w:rPr>
      </w:pPr>
      <w:r>
        <w:rPr>
          <w:rFonts w:ascii="Arial" w:cs="Arial" w:eastAsia="Arial" w:hAnsi="Arial"/>
          <w:sz w:val="14"/>
          <w:szCs w:val="14"/>
          <w:b w:val="1"/>
          <w:bCs w:val="1"/>
          <w:color w:val="auto"/>
        </w:rPr>
        <w:t>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280" w:type="dxa"/>
            <w:vAlign w:val="bottom"/>
            <w:tcBorders>
              <w:bottom w:val="single" w:sz="8" w:color="D7282F"/>
            </w:tcBorders>
          </w:tcPr>
          <w:p>
            <w:pPr>
              <w:spacing w:after="0"/>
              <w:rPr>
                <w:sz w:val="17"/>
                <w:szCs w:val="17"/>
                <w:color w:val="auto"/>
              </w:rPr>
            </w:pPr>
          </w:p>
        </w:tc>
        <w:tc>
          <w:tcPr>
            <w:tcW w:w="620" w:type="dxa"/>
            <w:vAlign w:val="bottom"/>
            <w:tcBorders>
              <w:top w:val="single" w:sz="8" w:color="D7282F"/>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2024</w:t>
            </w:r>
          </w:p>
        </w:tc>
        <w:tc>
          <w:tcPr>
            <w:tcW w:w="340" w:type="dxa"/>
            <w:vAlign w:val="bottom"/>
            <w:tcBorders>
              <w:top w:val="single" w:sz="8" w:color="D7282F"/>
              <w:bottom w:val="single" w:sz="8" w:color="D7282F"/>
            </w:tcBorders>
          </w:tcPr>
          <w:p>
            <w:pPr>
              <w:spacing w:after="0"/>
              <w:rPr>
                <w:sz w:val="17"/>
                <w:szCs w:val="17"/>
                <w:color w:val="auto"/>
              </w:rPr>
            </w:pPr>
          </w:p>
        </w:tc>
        <w:tc>
          <w:tcPr>
            <w:tcW w:w="320" w:type="dxa"/>
            <w:vAlign w:val="bottom"/>
            <w:tcBorders>
              <w:top w:val="single" w:sz="8" w:color="D7282F"/>
              <w:bottom w:val="single" w:sz="8" w:color="D7282F"/>
            </w:tcBorders>
          </w:tcPr>
          <w:p>
            <w:pPr>
              <w:spacing w:after="0"/>
              <w:rPr>
                <w:sz w:val="17"/>
                <w:szCs w:val="17"/>
                <w:color w:val="auto"/>
              </w:rPr>
            </w:pPr>
          </w:p>
        </w:tc>
        <w:tc>
          <w:tcPr>
            <w:tcW w:w="680" w:type="dxa"/>
            <w:vAlign w:val="bottom"/>
            <w:tcBorders>
              <w:top w:val="single" w:sz="8" w:color="D7282F"/>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2023</w:t>
            </w:r>
          </w:p>
        </w:tc>
      </w:tr>
      <w:tr>
        <w:trPr>
          <w:trHeight w:val="195"/>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Right-of-use assets obtained in exchange for lease obligations</w:t>
            </w:r>
          </w:p>
        </w:tc>
        <w:tc>
          <w:tcPr>
            <w:tcW w:w="620" w:type="dxa"/>
            <w:vAlign w:val="bottom"/>
            <w:tcBorders>
              <w:bottom w:val="single" w:sz="8" w:color="61656A"/>
            </w:tcBorders>
          </w:tcPr>
          <w:p>
            <w:pPr>
              <w:spacing w:after="0"/>
              <w:rPr>
                <w:sz w:val="16"/>
                <w:szCs w:val="16"/>
                <w:color w:val="auto"/>
              </w:rPr>
            </w:pPr>
          </w:p>
        </w:tc>
        <w:tc>
          <w:tcPr>
            <w:tcW w:w="34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spacing w:after="0"/>
              <w:rPr>
                <w:sz w:val="16"/>
                <w:szCs w:val="16"/>
                <w:color w:val="auto"/>
              </w:rPr>
            </w:pPr>
          </w:p>
        </w:tc>
      </w:tr>
      <w:tr>
        <w:trPr>
          <w:trHeight w:val="193"/>
        </w:trPr>
        <w:tc>
          <w:tcPr>
            <w:tcW w:w="9280" w:type="dxa"/>
            <w:vAlign w:val="bottom"/>
            <w:tcBorders>
              <w:bottom w:val="single" w:sz="8" w:color="61656A"/>
            </w:tcBorders>
          </w:tcPr>
          <w:p>
            <w:pPr>
              <w:ind w:left="120"/>
              <w:spacing w:after="0"/>
              <w:rPr>
                <w:sz w:val="20"/>
                <w:szCs w:val="20"/>
                <w:color w:val="auto"/>
              </w:rPr>
            </w:pPr>
            <w:r>
              <w:rPr>
                <w:rFonts w:ascii="Arial" w:cs="Arial" w:eastAsia="Arial" w:hAnsi="Arial"/>
                <w:sz w:val="14"/>
                <w:szCs w:val="14"/>
                <w:color w:val="auto"/>
              </w:rPr>
              <w:t>Operating leases</w:t>
            </w:r>
          </w:p>
        </w:tc>
        <w:tc>
          <w:tcPr>
            <w:tcW w:w="620" w:type="dxa"/>
            <w:vAlign w:val="bottom"/>
            <w:tcBorders>
              <w:bottom w:val="single" w:sz="8" w:color="61656A"/>
            </w:tcBorders>
          </w:tcPr>
          <w:p>
            <w:pPr>
              <w:jc w:val="right"/>
              <w:ind w:right="44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58</w:t>
            </w:r>
          </w:p>
        </w:tc>
        <w:tc>
          <w:tcPr>
            <w:tcW w:w="32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20</w:t>
            </w:r>
          </w:p>
        </w:tc>
      </w:tr>
      <w:tr>
        <w:trPr>
          <w:trHeight w:val="196"/>
        </w:trPr>
        <w:tc>
          <w:tcPr>
            <w:tcW w:w="9280" w:type="dxa"/>
            <w:vAlign w:val="bottom"/>
            <w:tcBorders>
              <w:bottom w:val="single" w:sz="8" w:color="D7282F"/>
            </w:tcBorders>
          </w:tcPr>
          <w:p>
            <w:pPr>
              <w:ind w:left="120"/>
              <w:spacing w:after="0"/>
              <w:rPr>
                <w:sz w:val="20"/>
                <w:szCs w:val="20"/>
                <w:color w:val="auto"/>
              </w:rPr>
            </w:pPr>
            <w:r>
              <w:rPr>
                <w:rFonts w:ascii="Arial" w:cs="Arial" w:eastAsia="Arial" w:hAnsi="Arial"/>
                <w:sz w:val="14"/>
                <w:szCs w:val="14"/>
                <w:color w:val="auto"/>
              </w:rPr>
              <w:t>Finance leases</w:t>
            </w:r>
          </w:p>
        </w:tc>
        <w:tc>
          <w:tcPr>
            <w:tcW w:w="62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24</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31</w:t>
            </w:r>
          </w:p>
        </w:tc>
      </w:tr>
    </w:tbl>
    <w:p>
      <w:pPr>
        <w:spacing w:after="0" w:line="200" w:lineRule="exact"/>
        <w:rPr>
          <w:sz w:val="20"/>
          <w:szCs w:val="20"/>
          <w:color w:val="auto"/>
        </w:rPr>
      </w:pPr>
    </w:p>
    <w:p>
      <w:pPr>
        <w:spacing w:after="0" w:line="30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DC202E"/>
        </w:rPr>
        <w:t>18</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Supplemental balance sheet information related to leases was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080" w:type="dxa"/>
            <w:vAlign w:val="bottom"/>
            <w:tcBorders>
              <w:bottom w:val="single" w:sz="8" w:color="D7282F"/>
            </w:tcBorders>
          </w:tcPr>
          <w:p>
            <w:pPr>
              <w:spacing w:after="0"/>
              <w:rPr>
                <w:sz w:val="17"/>
                <w:szCs w:val="17"/>
                <w:color w:val="auto"/>
              </w:rPr>
            </w:pPr>
          </w:p>
        </w:tc>
        <w:tc>
          <w:tcPr>
            <w:tcW w:w="2620" w:type="dxa"/>
            <w:vAlign w:val="bottom"/>
            <w:tcBorders>
              <w:bottom w:val="single" w:sz="8" w:color="D7282F"/>
            </w:tcBorders>
          </w:tcPr>
          <w:p>
            <w:pPr>
              <w:spacing w:after="0"/>
              <w:rPr>
                <w:sz w:val="17"/>
                <w:szCs w:val="17"/>
                <w:color w:val="auto"/>
              </w:rPr>
            </w:pPr>
          </w:p>
        </w:tc>
        <w:tc>
          <w:tcPr>
            <w:tcW w:w="1660" w:type="dxa"/>
            <w:vAlign w:val="bottom"/>
            <w:tcBorders>
              <w:bottom w:val="single" w:sz="8" w:color="D7282F"/>
            </w:tcBorders>
          </w:tcPr>
          <w:p>
            <w:pPr>
              <w:jc w:val="right"/>
              <w:ind w:right="428"/>
              <w:spacing w:after="0"/>
              <w:rPr>
                <w:sz w:val="20"/>
                <w:szCs w:val="20"/>
                <w:color w:val="auto"/>
              </w:rPr>
            </w:pPr>
            <w:r>
              <w:rPr>
                <w:rFonts w:ascii="Arial" w:cs="Arial" w:eastAsia="Arial" w:hAnsi="Arial"/>
                <w:sz w:val="14"/>
                <w:szCs w:val="14"/>
                <w:b w:val="1"/>
                <w:bCs w:val="1"/>
                <w:color w:val="auto"/>
              </w:rPr>
              <w:t>March 31, 2024</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December 31, 2023</w:t>
            </w:r>
          </w:p>
        </w:tc>
      </w:tr>
      <w:tr>
        <w:trPr>
          <w:trHeight w:val="196"/>
        </w:trPr>
        <w:tc>
          <w:tcPr>
            <w:tcW w:w="50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Operating leases</w:t>
            </w:r>
          </w:p>
        </w:tc>
        <w:tc>
          <w:tcPr>
            <w:tcW w:w="2620" w:type="dxa"/>
            <w:vAlign w:val="bottom"/>
            <w:tcBorders>
              <w:bottom w:val="single" w:sz="8" w:color="D7282F"/>
            </w:tcBorders>
          </w:tcPr>
          <w:p>
            <w:pPr>
              <w:spacing w:after="0"/>
              <w:rPr>
                <w:sz w:val="17"/>
                <w:szCs w:val="17"/>
                <w:color w:val="auto"/>
              </w:rPr>
            </w:pPr>
          </w:p>
        </w:tc>
        <w:tc>
          <w:tcPr>
            <w:tcW w:w="166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spacing w:after="0"/>
              <w:rPr>
                <w:sz w:val="17"/>
                <w:szCs w:val="17"/>
                <w:color w:val="auto"/>
              </w:rPr>
            </w:pPr>
          </w:p>
        </w:tc>
      </w:tr>
      <w:tr>
        <w:trPr>
          <w:trHeight w:val="196"/>
        </w:trPr>
        <w:tc>
          <w:tcPr>
            <w:tcW w:w="50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Other assets</w:t>
            </w:r>
          </w:p>
        </w:tc>
        <w:tc>
          <w:tcPr>
            <w:tcW w:w="262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6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1,007</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1,004</w:t>
            </w:r>
          </w:p>
        </w:tc>
      </w:tr>
      <w:tr>
        <w:trPr>
          <w:trHeight w:val="193"/>
        </w:trPr>
        <w:tc>
          <w:tcPr>
            <w:tcW w:w="50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Accrued liabilities</w:t>
            </w:r>
          </w:p>
        </w:tc>
        <w:tc>
          <w:tcPr>
            <w:tcW w:w="2620" w:type="dxa"/>
            <w:vAlign w:val="bottom"/>
            <w:tcBorders>
              <w:bottom w:val="single" w:sz="8" w:color="61656A"/>
            </w:tcBorders>
          </w:tcPr>
          <w:p>
            <w:pPr>
              <w:spacing w:after="0"/>
              <w:rPr>
                <w:sz w:val="16"/>
                <w:szCs w:val="16"/>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196</w:t>
            </w:r>
          </w:p>
        </w:tc>
        <w:tc>
          <w:tcPr>
            <w:tcW w:w="280" w:type="dxa"/>
            <w:vAlign w:val="bottom"/>
            <w:tcBorders>
              <w:bottom w:val="single" w:sz="8" w:color="61656A"/>
            </w:tcBorders>
          </w:tcPr>
          <w:p>
            <w:pPr>
              <w:spacing w:after="0"/>
              <w:rPr>
                <w:sz w:val="16"/>
                <w:szCs w:val="16"/>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196</w:t>
            </w:r>
          </w:p>
        </w:tc>
      </w:tr>
      <w:tr>
        <w:trPr>
          <w:trHeight w:val="196"/>
        </w:trPr>
        <w:tc>
          <w:tcPr>
            <w:tcW w:w="50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Other liabilities</w:t>
            </w:r>
          </w:p>
        </w:tc>
        <w:tc>
          <w:tcPr>
            <w:tcW w:w="2620" w:type="dxa"/>
            <w:vAlign w:val="bottom"/>
            <w:tcBorders>
              <w:bottom w:val="single" w:sz="8" w:color="D7282F"/>
            </w:tcBorders>
          </w:tcPr>
          <w:p>
            <w:pPr>
              <w:spacing w:after="0"/>
              <w:rPr>
                <w:sz w:val="17"/>
                <w:szCs w:val="17"/>
                <w:color w:val="auto"/>
              </w:rPr>
            </w:pPr>
          </w:p>
        </w:tc>
        <w:tc>
          <w:tcPr>
            <w:tcW w:w="16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902</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897</w:t>
            </w:r>
          </w:p>
        </w:tc>
      </w:tr>
      <w:tr>
        <w:trPr>
          <w:trHeight w:val="199"/>
        </w:trPr>
        <w:tc>
          <w:tcPr>
            <w:tcW w:w="50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operating lease liabilities</w:t>
            </w:r>
          </w:p>
        </w:tc>
        <w:tc>
          <w:tcPr>
            <w:tcW w:w="2620" w:type="dxa"/>
            <w:vAlign w:val="bottom"/>
            <w:tcBorders>
              <w:bottom w:val="single" w:sz="8" w:color="D7282F"/>
            </w:tcBorders>
          </w:tcPr>
          <w:p>
            <w:pPr>
              <w:spacing w:after="0"/>
              <w:rPr>
                <w:sz w:val="17"/>
                <w:szCs w:val="17"/>
                <w:color w:val="auto"/>
              </w:rPr>
            </w:pPr>
          </w:p>
        </w:tc>
        <w:tc>
          <w:tcPr>
            <w:tcW w:w="16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1,098</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1,093</w:t>
            </w:r>
          </w:p>
        </w:tc>
      </w:tr>
      <w:tr>
        <w:trPr>
          <w:trHeight w:val="196"/>
        </w:trPr>
        <w:tc>
          <w:tcPr>
            <w:tcW w:w="508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Finance leases</w:t>
            </w:r>
          </w:p>
        </w:tc>
        <w:tc>
          <w:tcPr>
            <w:tcW w:w="262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spacing w:after="0"/>
              <w:rPr>
                <w:sz w:val="17"/>
                <w:szCs w:val="17"/>
                <w:color w:val="auto"/>
              </w:rPr>
            </w:pP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spacing w:after="0"/>
              <w:rPr>
                <w:sz w:val="17"/>
                <w:szCs w:val="17"/>
                <w:color w:val="auto"/>
              </w:rPr>
            </w:pPr>
          </w:p>
        </w:tc>
      </w:tr>
      <w:tr>
        <w:trPr>
          <w:trHeight w:val="193"/>
        </w:trPr>
        <w:tc>
          <w:tcPr>
            <w:tcW w:w="5080" w:type="dxa"/>
            <w:vAlign w:val="bottom"/>
            <w:tcBorders>
              <w:bottom w:val="single" w:sz="8" w:color="61656A"/>
            </w:tcBorders>
          </w:tcPr>
          <w:p>
            <w:pPr>
              <w:ind w:left="120"/>
              <w:spacing w:after="0"/>
              <w:rPr>
                <w:sz w:val="20"/>
                <w:szCs w:val="20"/>
                <w:color w:val="auto"/>
              </w:rPr>
            </w:pPr>
            <w:r>
              <w:rPr>
                <w:rFonts w:ascii="Arial" w:cs="Arial" w:eastAsia="Arial" w:hAnsi="Arial"/>
                <w:sz w:val="14"/>
                <w:szCs w:val="14"/>
                <w:color w:val="auto"/>
              </w:rPr>
              <w:t>Property, plant and equipment</w:t>
            </w:r>
          </w:p>
        </w:tc>
        <w:tc>
          <w:tcPr>
            <w:tcW w:w="2620" w:type="dxa"/>
            <w:vAlign w:val="bottom"/>
            <w:tcBorders>
              <w:bottom w:val="single" w:sz="8" w:color="61656A"/>
            </w:tcBorders>
          </w:tcPr>
          <w:p>
            <w:pPr>
              <w:spacing w:after="0"/>
              <w:rPr>
                <w:sz w:val="16"/>
                <w:szCs w:val="16"/>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404</w:t>
            </w:r>
          </w:p>
        </w:tc>
        <w:tc>
          <w:tcPr>
            <w:tcW w:w="280" w:type="dxa"/>
            <w:vAlign w:val="bottom"/>
            <w:tcBorders>
              <w:bottom w:val="single" w:sz="8" w:color="61656A"/>
            </w:tcBorders>
          </w:tcPr>
          <w:p>
            <w:pPr>
              <w:spacing w:after="0"/>
              <w:rPr>
                <w:sz w:val="16"/>
                <w:szCs w:val="16"/>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402</w:t>
            </w:r>
          </w:p>
        </w:tc>
      </w:tr>
      <w:tr>
        <w:trPr>
          <w:trHeight w:val="196"/>
        </w:trPr>
        <w:tc>
          <w:tcPr>
            <w:tcW w:w="5080" w:type="dxa"/>
            <w:vAlign w:val="bottom"/>
            <w:tcBorders>
              <w:bottom w:val="single" w:sz="8" w:color="D7282F"/>
            </w:tcBorders>
          </w:tcPr>
          <w:p>
            <w:pPr>
              <w:ind w:left="120"/>
              <w:spacing w:after="0"/>
              <w:rPr>
                <w:sz w:val="20"/>
                <w:szCs w:val="20"/>
                <w:color w:val="auto"/>
              </w:rPr>
            </w:pPr>
            <w:r>
              <w:rPr>
                <w:rFonts w:ascii="Arial" w:cs="Arial" w:eastAsia="Arial" w:hAnsi="Arial"/>
                <w:sz w:val="14"/>
                <w:szCs w:val="14"/>
                <w:color w:val="auto"/>
              </w:rPr>
              <w:t>Accumulated depreciation</w:t>
            </w:r>
          </w:p>
        </w:tc>
        <w:tc>
          <w:tcPr>
            <w:tcW w:w="2620" w:type="dxa"/>
            <w:vAlign w:val="bottom"/>
            <w:tcBorders>
              <w:bottom w:val="single" w:sz="8" w:color="D7282F"/>
            </w:tcBorders>
          </w:tcPr>
          <w:p>
            <w:pPr>
              <w:spacing w:after="0"/>
              <w:rPr>
                <w:sz w:val="17"/>
                <w:szCs w:val="17"/>
                <w:color w:val="auto"/>
              </w:rPr>
            </w:pPr>
          </w:p>
        </w:tc>
        <w:tc>
          <w:tcPr>
            <w:tcW w:w="16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(211)</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(204)</w:t>
            </w:r>
          </w:p>
        </w:tc>
      </w:tr>
      <w:tr>
        <w:trPr>
          <w:trHeight w:val="199"/>
        </w:trPr>
        <w:tc>
          <w:tcPr>
            <w:tcW w:w="50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Property, plant and equipment—net</w:t>
            </w:r>
          </w:p>
        </w:tc>
        <w:tc>
          <w:tcPr>
            <w:tcW w:w="2620" w:type="dxa"/>
            <w:vAlign w:val="bottom"/>
            <w:tcBorders>
              <w:bottom w:val="single" w:sz="8" w:color="D7282F"/>
            </w:tcBorders>
          </w:tcPr>
          <w:p>
            <w:pPr>
              <w:spacing w:after="0"/>
              <w:rPr>
                <w:sz w:val="17"/>
                <w:szCs w:val="17"/>
                <w:color w:val="auto"/>
              </w:rPr>
            </w:pPr>
          </w:p>
        </w:tc>
        <w:tc>
          <w:tcPr>
            <w:tcW w:w="16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193</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198</w:t>
            </w:r>
          </w:p>
        </w:tc>
      </w:tr>
      <w:tr>
        <w:trPr>
          <w:trHeight w:val="193"/>
        </w:trPr>
        <w:tc>
          <w:tcPr>
            <w:tcW w:w="5080" w:type="dxa"/>
            <w:vAlign w:val="bottom"/>
            <w:tcBorders>
              <w:bottom w:val="single" w:sz="8" w:color="61656A"/>
            </w:tcBorders>
          </w:tcPr>
          <w:p>
            <w:pPr>
              <w:ind w:left="120"/>
              <w:spacing w:after="0"/>
              <w:rPr>
                <w:sz w:val="20"/>
                <w:szCs w:val="20"/>
                <w:color w:val="auto"/>
              </w:rPr>
            </w:pPr>
            <w:r>
              <w:rPr>
                <w:rFonts w:ascii="Arial" w:cs="Arial" w:eastAsia="Arial" w:hAnsi="Arial"/>
                <w:sz w:val="14"/>
                <w:szCs w:val="14"/>
                <w:color w:val="auto"/>
              </w:rPr>
              <w:t>Current maturities of long-term debt</w:t>
            </w:r>
          </w:p>
        </w:tc>
        <w:tc>
          <w:tcPr>
            <w:tcW w:w="2620" w:type="dxa"/>
            <w:vAlign w:val="bottom"/>
            <w:tcBorders>
              <w:bottom w:val="single" w:sz="8" w:color="61656A"/>
            </w:tcBorders>
          </w:tcPr>
          <w:p>
            <w:pPr>
              <w:spacing w:after="0"/>
              <w:rPr>
                <w:sz w:val="16"/>
                <w:szCs w:val="16"/>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88</w:t>
            </w:r>
          </w:p>
        </w:tc>
        <w:tc>
          <w:tcPr>
            <w:tcW w:w="280" w:type="dxa"/>
            <w:vAlign w:val="bottom"/>
            <w:tcBorders>
              <w:bottom w:val="single" w:sz="8" w:color="61656A"/>
            </w:tcBorders>
          </w:tcPr>
          <w:p>
            <w:pPr>
              <w:spacing w:after="0"/>
              <w:rPr>
                <w:sz w:val="16"/>
                <w:szCs w:val="16"/>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86</w:t>
            </w:r>
          </w:p>
        </w:tc>
      </w:tr>
      <w:tr>
        <w:trPr>
          <w:trHeight w:val="196"/>
        </w:trPr>
        <w:tc>
          <w:tcPr>
            <w:tcW w:w="5080" w:type="dxa"/>
            <w:vAlign w:val="bottom"/>
            <w:tcBorders>
              <w:bottom w:val="single" w:sz="8" w:color="D7282F"/>
            </w:tcBorders>
          </w:tcPr>
          <w:p>
            <w:pPr>
              <w:ind w:left="120"/>
              <w:spacing w:after="0"/>
              <w:rPr>
                <w:sz w:val="20"/>
                <w:szCs w:val="20"/>
                <w:color w:val="auto"/>
              </w:rPr>
            </w:pPr>
            <w:r>
              <w:rPr>
                <w:rFonts w:ascii="Arial" w:cs="Arial" w:eastAsia="Arial" w:hAnsi="Arial"/>
                <w:sz w:val="14"/>
                <w:szCs w:val="14"/>
                <w:color w:val="auto"/>
              </w:rPr>
              <w:t>Long-term debt</w:t>
            </w:r>
          </w:p>
        </w:tc>
        <w:tc>
          <w:tcPr>
            <w:tcW w:w="2620" w:type="dxa"/>
            <w:vAlign w:val="bottom"/>
            <w:tcBorders>
              <w:bottom w:val="single" w:sz="8" w:color="D7282F"/>
            </w:tcBorders>
          </w:tcPr>
          <w:p>
            <w:pPr>
              <w:spacing w:after="0"/>
              <w:rPr>
                <w:sz w:val="17"/>
                <w:szCs w:val="17"/>
                <w:color w:val="auto"/>
              </w:rPr>
            </w:pPr>
          </w:p>
        </w:tc>
        <w:tc>
          <w:tcPr>
            <w:tcW w:w="16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89</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99</w:t>
            </w:r>
          </w:p>
        </w:tc>
      </w:tr>
      <w:tr>
        <w:trPr>
          <w:trHeight w:val="199"/>
        </w:trPr>
        <w:tc>
          <w:tcPr>
            <w:tcW w:w="50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finance lease liabilities</w:t>
            </w:r>
          </w:p>
        </w:tc>
        <w:tc>
          <w:tcPr>
            <w:tcW w:w="262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6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177</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185</w:t>
            </w:r>
          </w:p>
        </w:tc>
      </w:tr>
    </w:tbl>
    <w:p>
      <w:pPr>
        <w:spacing w:after="0" w:line="346" w:lineRule="exact"/>
        <w:rPr>
          <w:sz w:val="20"/>
          <w:szCs w:val="20"/>
          <w:color w:val="auto"/>
        </w:rPr>
      </w:pPr>
    </w:p>
    <w:p>
      <w:pPr>
        <w:spacing w:after="0"/>
        <w:rPr>
          <w:sz w:val="20"/>
          <w:szCs w:val="20"/>
          <w:color w:val="auto"/>
        </w:rPr>
      </w:pPr>
      <w:r>
        <w:rPr>
          <w:rFonts w:ascii="Arial" w:cs="Arial" w:eastAsia="Arial" w:hAnsi="Arial"/>
          <w:sz w:val="29"/>
          <w:szCs w:val="29"/>
          <w:color w:val="D7282F"/>
        </w:rPr>
        <w:t>NOTE 11. DERIVATIVE INSTRUMENTS AND HEDGING TRANSACTIONS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Honeywell's foreign currency, interest rate, credit, and commodity price risk management policies are described in Note 11 Derivative Instruments and Hedging Transactions of Notes to Consolidated Financial Statements in the Company's 2023 Annual Report on Form 10-K.</w:t>
      </w:r>
    </w:p>
    <w:p>
      <w:pPr>
        <w:spacing w:after="0" w:line="6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following table summarizes the notional amounts and fair values of the Company’s outstanding derivatives by risk category and instrument type within the Consolidated Balance Sheet:</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620" w:type="dxa"/>
            <w:vAlign w:val="bottom"/>
          </w:tcPr>
          <w:p>
            <w:pPr>
              <w:spacing w:after="0"/>
              <w:rPr>
                <w:sz w:val="17"/>
                <w:szCs w:val="17"/>
                <w:color w:val="auto"/>
              </w:rPr>
            </w:pPr>
          </w:p>
        </w:tc>
        <w:tc>
          <w:tcPr>
            <w:tcW w:w="340" w:type="dxa"/>
            <w:vAlign w:val="bottom"/>
            <w:tcBorders>
              <w:bottom w:val="single" w:sz="8" w:color="D7282F"/>
            </w:tcBorders>
          </w:tcPr>
          <w:p>
            <w:pPr>
              <w:spacing w:after="0"/>
              <w:rPr>
                <w:sz w:val="17"/>
                <w:szCs w:val="17"/>
                <w:color w:val="auto"/>
              </w:rPr>
            </w:pPr>
          </w:p>
        </w:tc>
        <w:tc>
          <w:tcPr>
            <w:tcW w:w="1240" w:type="dxa"/>
            <w:vAlign w:val="bottom"/>
            <w:tcBorders>
              <w:bottom w:val="single" w:sz="8" w:color="D7282F"/>
            </w:tcBorders>
            <w:gridSpan w:val="2"/>
          </w:tcPr>
          <w:p>
            <w:pPr>
              <w:jc w:val="right"/>
              <w:ind w:right="28"/>
              <w:spacing w:after="0"/>
              <w:rPr>
                <w:sz w:val="20"/>
                <w:szCs w:val="20"/>
                <w:color w:val="auto"/>
              </w:rPr>
            </w:pPr>
            <w:r>
              <w:rPr>
                <w:rFonts w:ascii="Arial" w:cs="Arial" w:eastAsia="Arial" w:hAnsi="Arial"/>
                <w:sz w:val="14"/>
                <w:szCs w:val="14"/>
                <w:b w:val="1"/>
                <w:bCs w:val="1"/>
                <w:color w:val="auto"/>
              </w:rPr>
              <w:t>Notional</w:t>
            </w:r>
          </w:p>
        </w:tc>
        <w:tc>
          <w:tcPr>
            <w:tcW w:w="800" w:type="dxa"/>
            <w:vAlign w:val="bottom"/>
            <w:tcBorders>
              <w:bottom w:val="single" w:sz="8" w:color="D7282F"/>
            </w:tcBorders>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Borders>
              <w:bottom w:val="single" w:sz="8" w:color="D7282F"/>
            </w:tcBorders>
          </w:tcPr>
          <w:p>
            <w:pPr>
              <w:spacing w:after="0"/>
              <w:rPr>
                <w:sz w:val="17"/>
                <w:szCs w:val="17"/>
                <w:color w:val="auto"/>
              </w:rPr>
            </w:pPr>
          </w:p>
        </w:tc>
        <w:tc>
          <w:tcPr>
            <w:tcW w:w="1720" w:type="dxa"/>
            <w:vAlign w:val="bottom"/>
            <w:tcBorders>
              <w:bottom w:val="single" w:sz="8" w:color="D7282F"/>
            </w:tcBorders>
            <w:gridSpan w:val="2"/>
          </w:tcPr>
          <w:p>
            <w:pPr>
              <w:jc w:val="right"/>
              <w:ind w:right="268"/>
              <w:spacing w:after="0"/>
              <w:rPr>
                <w:sz w:val="20"/>
                <w:szCs w:val="20"/>
                <w:color w:val="auto"/>
              </w:rPr>
            </w:pPr>
            <w:r>
              <w:rPr>
                <w:rFonts w:ascii="Arial" w:cs="Arial" w:eastAsia="Arial" w:hAnsi="Arial"/>
                <w:sz w:val="14"/>
                <w:szCs w:val="14"/>
                <w:b w:val="1"/>
                <w:bCs w:val="1"/>
                <w:color w:val="auto"/>
              </w:rPr>
              <w:t>Fair Value Asset</w:t>
            </w:r>
          </w:p>
        </w:tc>
        <w:tc>
          <w:tcPr>
            <w:tcW w:w="300" w:type="dxa"/>
            <w:vAlign w:val="bottom"/>
            <w:tcBorders>
              <w:bottom w:val="single" w:sz="8" w:color="D7282F"/>
            </w:tcBorders>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Borders>
              <w:bottom w:val="single" w:sz="8" w:color="D7282F"/>
            </w:tcBorders>
          </w:tcPr>
          <w:p>
            <w:pPr>
              <w:spacing w:after="0"/>
              <w:rPr>
                <w:sz w:val="17"/>
                <w:szCs w:val="17"/>
                <w:color w:val="auto"/>
              </w:rPr>
            </w:pPr>
          </w:p>
        </w:tc>
        <w:tc>
          <w:tcPr>
            <w:tcW w:w="1700" w:type="dxa"/>
            <w:vAlign w:val="bottom"/>
            <w:tcBorders>
              <w:bottom w:val="single" w:sz="8" w:color="D7282F"/>
            </w:tcBorders>
            <w:gridSpan w:val="2"/>
          </w:tcPr>
          <w:p>
            <w:pPr>
              <w:jc w:val="right"/>
              <w:ind w:right="68"/>
              <w:spacing w:after="0"/>
              <w:rPr>
                <w:sz w:val="20"/>
                <w:szCs w:val="20"/>
                <w:color w:val="auto"/>
              </w:rPr>
            </w:pPr>
            <w:r>
              <w:rPr>
                <w:rFonts w:ascii="Arial" w:cs="Arial" w:eastAsia="Arial" w:hAnsi="Arial"/>
                <w:sz w:val="14"/>
                <w:szCs w:val="14"/>
                <w:b w:val="1"/>
                <w:bCs w:val="1"/>
                <w:color w:val="auto"/>
              </w:rPr>
              <w:t>Fair Value (Liability)</w:t>
            </w:r>
          </w:p>
        </w:tc>
        <w:tc>
          <w:tcPr>
            <w:tcW w:w="38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3620" w:type="dxa"/>
            <w:vAlign w:val="bottom"/>
          </w:tcPr>
          <w:p>
            <w:pPr>
              <w:spacing w:after="0"/>
              <w:rPr>
                <w:sz w:val="14"/>
                <w:szCs w:val="14"/>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March 31, 2024</w:t>
            </w:r>
          </w:p>
        </w:tc>
        <w:tc>
          <w:tcPr>
            <w:tcW w:w="1440" w:type="dxa"/>
            <w:vAlign w:val="bottom"/>
            <w:gridSpan w:val="3"/>
          </w:tcPr>
          <w:p>
            <w:pPr>
              <w:ind w:left="200"/>
              <w:spacing w:after="0"/>
              <w:rPr>
                <w:sz w:val="20"/>
                <w:szCs w:val="20"/>
                <w:color w:val="auto"/>
              </w:rPr>
            </w:pPr>
            <w:r>
              <w:rPr>
                <w:rFonts w:ascii="Arial" w:cs="Arial" w:eastAsia="Arial" w:hAnsi="Arial"/>
                <w:sz w:val="14"/>
                <w:szCs w:val="14"/>
                <w:b w:val="1"/>
                <w:bCs w:val="1"/>
                <w:color w:val="auto"/>
              </w:rPr>
              <w:t>December 31,</w:t>
            </w:r>
          </w:p>
        </w:tc>
        <w:tc>
          <w:tcPr>
            <w:tcW w:w="1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March 31, 2024</w:t>
            </w:r>
          </w:p>
        </w:tc>
        <w:tc>
          <w:tcPr>
            <w:tcW w:w="1440" w:type="dxa"/>
            <w:vAlign w:val="bottom"/>
            <w:gridSpan w:val="3"/>
          </w:tcPr>
          <w:p>
            <w:pPr>
              <w:ind w:left="200"/>
              <w:spacing w:after="0"/>
              <w:rPr>
                <w:sz w:val="20"/>
                <w:szCs w:val="20"/>
                <w:color w:val="auto"/>
              </w:rPr>
            </w:pPr>
            <w:r>
              <w:rPr>
                <w:rFonts w:ascii="Arial" w:cs="Arial" w:eastAsia="Arial" w:hAnsi="Arial"/>
                <w:sz w:val="14"/>
                <w:szCs w:val="14"/>
                <w:b w:val="1"/>
                <w:bCs w:val="1"/>
                <w:color w:val="auto"/>
              </w:rPr>
              <w:t>December 31,</w:t>
            </w:r>
          </w:p>
        </w:tc>
        <w:tc>
          <w:tcPr>
            <w:tcW w:w="1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March 31, 2024</w:t>
            </w:r>
          </w:p>
        </w:tc>
        <w:tc>
          <w:tcPr>
            <w:tcW w:w="120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9"/>
        </w:trPr>
        <w:tc>
          <w:tcPr>
            <w:tcW w:w="3620" w:type="dxa"/>
            <w:vAlign w:val="bottom"/>
            <w:tcBorders>
              <w:bottom w:val="single" w:sz="8" w:color="D7282F"/>
            </w:tcBorders>
          </w:tcPr>
          <w:p>
            <w:pPr>
              <w:spacing w:after="0"/>
              <w:rPr>
                <w:sz w:val="16"/>
                <w:szCs w:val="16"/>
                <w:color w:val="auto"/>
              </w:rPr>
            </w:pPr>
          </w:p>
        </w:tc>
        <w:tc>
          <w:tcPr>
            <w:tcW w:w="1180" w:type="dxa"/>
            <w:vAlign w:val="bottom"/>
            <w:tcBorders>
              <w:bottom w:val="single" w:sz="8" w:color="D7282F"/>
            </w:tcBorders>
            <w:gridSpan w:val="2"/>
            <w:vMerge w:val="continue"/>
          </w:tcPr>
          <w:p>
            <w:pPr>
              <w:spacing w:after="0"/>
              <w:rPr>
                <w:sz w:val="16"/>
                <w:szCs w:val="16"/>
                <w:color w:val="auto"/>
              </w:rPr>
            </w:pPr>
          </w:p>
        </w:tc>
        <w:tc>
          <w:tcPr>
            <w:tcW w:w="400" w:type="dxa"/>
            <w:vAlign w:val="bottom"/>
            <w:tcBorders>
              <w:bottom w:val="single" w:sz="8" w:color="D7282F"/>
            </w:tcBorders>
          </w:tcPr>
          <w:p>
            <w:pPr>
              <w:spacing w:after="0"/>
              <w:rPr>
                <w:sz w:val="16"/>
                <w:szCs w:val="16"/>
                <w:color w:val="auto"/>
              </w:rPr>
            </w:pPr>
          </w:p>
        </w:tc>
        <w:tc>
          <w:tcPr>
            <w:tcW w:w="80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bottom w:val="single" w:sz="8" w:color="D7282F"/>
            </w:tcBorders>
          </w:tcPr>
          <w:p>
            <w:pPr>
              <w:spacing w:after="0"/>
              <w:rPr>
                <w:sz w:val="16"/>
                <w:szCs w:val="16"/>
                <w:color w:val="auto"/>
              </w:rPr>
            </w:pPr>
          </w:p>
        </w:tc>
        <w:tc>
          <w:tcPr>
            <w:tcW w:w="1180" w:type="dxa"/>
            <w:vAlign w:val="bottom"/>
            <w:tcBorders>
              <w:bottom w:val="single" w:sz="8" w:color="D7282F"/>
            </w:tcBorders>
            <w:gridSpan w:val="2"/>
            <w:vMerge w:val="continue"/>
          </w:tcPr>
          <w:p>
            <w:pPr>
              <w:spacing w:after="0"/>
              <w:rPr>
                <w:sz w:val="16"/>
                <w:szCs w:val="16"/>
                <w:color w:val="auto"/>
              </w:rPr>
            </w:pPr>
          </w:p>
        </w:tc>
        <w:tc>
          <w:tcPr>
            <w:tcW w:w="9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bottom w:val="single" w:sz="8" w:color="D7282F"/>
            </w:tcBorders>
          </w:tcPr>
          <w:p>
            <w:pPr>
              <w:spacing w:after="0"/>
              <w:rPr>
                <w:sz w:val="16"/>
                <w:szCs w:val="16"/>
                <w:color w:val="auto"/>
              </w:rPr>
            </w:pPr>
          </w:p>
        </w:tc>
        <w:tc>
          <w:tcPr>
            <w:tcW w:w="240" w:type="dxa"/>
            <w:vAlign w:val="bottom"/>
            <w:tcBorders>
              <w:bottom w:val="single" w:sz="8" w:color="D7282F"/>
            </w:tcBorders>
          </w:tcPr>
          <w:p>
            <w:pPr>
              <w:spacing w:after="0"/>
              <w:rPr>
                <w:sz w:val="16"/>
                <w:szCs w:val="16"/>
                <w:color w:val="auto"/>
              </w:rPr>
            </w:pPr>
          </w:p>
        </w:tc>
        <w:tc>
          <w:tcPr>
            <w:tcW w:w="1180" w:type="dxa"/>
            <w:vAlign w:val="bottom"/>
            <w:tcBorders>
              <w:bottom w:val="single" w:sz="8" w:color="D7282F"/>
            </w:tcBorders>
            <w:gridSpan w:val="2"/>
            <w:vMerge w:val="continue"/>
          </w:tcPr>
          <w:p>
            <w:pPr>
              <w:spacing w:after="0"/>
              <w:rPr>
                <w:sz w:val="16"/>
                <w:szCs w:val="16"/>
                <w:color w:val="auto"/>
              </w:rPr>
            </w:pPr>
          </w:p>
        </w:tc>
        <w:tc>
          <w:tcPr>
            <w:tcW w:w="8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2023</w:t>
            </w:r>
          </w:p>
        </w:tc>
        <w:tc>
          <w:tcPr>
            <w:tcW w:w="380" w:type="dxa"/>
            <w:vAlign w:val="bottom"/>
            <w:tcBorders>
              <w:bottom w:val="single" w:sz="8" w:color="D7282F"/>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62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Derivatives in fair value hedging relationships</w:t>
            </w:r>
          </w:p>
        </w:tc>
        <w:tc>
          <w:tcPr>
            <w:tcW w:w="340" w:type="dxa"/>
            <w:vAlign w:val="bottom"/>
            <w:tcBorders>
              <w:bottom w:val="single" w:sz="8" w:color="61656A"/>
            </w:tcBorders>
          </w:tcPr>
          <w:p>
            <w:pPr>
              <w:spacing w:after="0"/>
              <w:rPr>
                <w:sz w:val="19"/>
                <w:szCs w:val="19"/>
                <w:color w:val="auto"/>
              </w:rPr>
            </w:pPr>
          </w:p>
        </w:tc>
        <w:tc>
          <w:tcPr>
            <w:tcW w:w="840" w:type="dxa"/>
            <w:vAlign w:val="bottom"/>
            <w:tcBorders>
              <w:bottom w:val="single" w:sz="8" w:color="61656A"/>
            </w:tcBorders>
          </w:tcPr>
          <w:p>
            <w:pPr>
              <w:spacing w:after="0"/>
              <w:rPr>
                <w:sz w:val="19"/>
                <w:szCs w:val="19"/>
                <w:color w:val="auto"/>
              </w:rPr>
            </w:pPr>
          </w:p>
        </w:tc>
        <w:tc>
          <w:tcPr>
            <w:tcW w:w="400" w:type="dxa"/>
            <w:vAlign w:val="bottom"/>
            <w:tcBorders>
              <w:bottom w:val="single" w:sz="8" w:color="61656A"/>
            </w:tcBorders>
          </w:tcPr>
          <w:p>
            <w:pPr>
              <w:spacing w:after="0"/>
              <w:rPr>
                <w:sz w:val="19"/>
                <w:szCs w:val="19"/>
                <w:color w:val="auto"/>
              </w:rPr>
            </w:pPr>
          </w:p>
        </w:tc>
        <w:tc>
          <w:tcPr>
            <w:tcW w:w="800" w:type="dxa"/>
            <w:vAlign w:val="bottom"/>
            <w:tcBorders>
              <w:bottom w:val="single" w:sz="8" w:color="61656A"/>
            </w:tcBorders>
          </w:tcPr>
          <w:p>
            <w:pPr>
              <w:spacing w:after="0"/>
              <w:rPr>
                <w:sz w:val="19"/>
                <w:szCs w:val="19"/>
                <w:color w:val="auto"/>
              </w:rPr>
            </w:pPr>
          </w:p>
        </w:tc>
        <w:tc>
          <w:tcPr>
            <w:tcW w:w="240" w:type="dxa"/>
            <w:vAlign w:val="bottom"/>
            <w:tcBorders>
              <w:bottom w:val="single" w:sz="8" w:color="61656A"/>
            </w:tcBorders>
          </w:tcPr>
          <w:p>
            <w:pPr>
              <w:spacing w:after="0"/>
              <w:rPr>
                <w:sz w:val="19"/>
                <w:szCs w:val="19"/>
                <w:color w:val="auto"/>
              </w:rPr>
            </w:pPr>
          </w:p>
        </w:tc>
        <w:tc>
          <w:tcPr>
            <w:tcW w:w="360" w:type="dxa"/>
            <w:vAlign w:val="bottom"/>
            <w:tcBorders>
              <w:bottom w:val="single" w:sz="8" w:color="61656A"/>
            </w:tcBorders>
          </w:tcPr>
          <w:p>
            <w:pPr>
              <w:spacing w:after="0"/>
              <w:rPr>
                <w:sz w:val="19"/>
                <w:szCs w:val="19"/>
                <w:color w:val="auto"/>
              </w:rPr>
            </w:pPr>
          </w:p>
        </w:tc>
        <w:tc>
          <w:tcPr>
            <w:tcW w:w="820" w:type="dxa"/>
            <w:vAlign w:val="bottom"/>
            <w:tcBorders>
              <w:bottom w:val="single" w:sz="8" w:color="61656A"/>
            </w:tcBorders>
          </w:tcPr>
          <w:p>
            <w:pPr>
              <w:spacing w:after="0"/>
              <w:rPr>
                <w:sz w:val="19"/>
                <w:szCs w:val="19"/>
                <w:color w:val="auto"/>
              </w:rPr>
            </w:pPr>
          </w:p>
        </w:tc>
        <w:tc>
          <w:tcPr>
            <w:tcW w:w="900" w:type="dxa"/>
            <w:vAlign w:val="bottom"/>
            <w:tcBorders>
              <w:bottom w:val="single" w:sz="8" w:color="61656A"/>
            </w:tcBorders>
          </w:tcPr>
          <w:p>
            <w:pPr>
              <w:spacing w:after="0"/>
              <w:rPr>
                <w:sz w:val="19"/>
                <w:szCs w:val="19"/>
                <w:color w:val="auto"/>
              </w:rPr>
            </w:pPr>
          </w:p>
        </w:tc>
        <w:tc>
          <w:tcPr>
            <w:tcW w:w="300" w:type="dxa"/>
            <w:vAlign w:val="bottom"/>
            <w:tcBorders>
              <w:bottom w:val="single" w:sz="8" w:color="61656A"/>
            </w:tcBorders>
          </w:tcPr>
          <w:p>
            <w:pPr>
              <w:spacing w:after="0"/>
              <w:rPr>
                <w:sz w:val="19"/>
                <w:szCs w:val="19"/>
                <w:color w:val="auto"/>
              </w:rPr>
            </w:pPr>
          </w:p>
        </w:tc>
        <w:tc>
          <w:tcPr>
            <w:tcW w:w="240" w:type="dxa"/>
            <w:vAlign w:val="bottom"/>
            <w:tcBorders>
              <w:bottom w:val="single" w:sz="8" w:color="61656A"/>
            </w:tcBorders>
          </w:tcPr>
          <w:p>
            <w:pPr>
              <w:spacing w:after="0"/>
              <w:rPr>
                <w:sz w:val="19"/>
                <w:szCs w:val="19"/>
                <w:color w:val="auto"/>
              </w:rPr>
            </w:pPr>
          </w:p>
        </w:tc>
        <w:tc>
          <w:tcPr>
            <w:tcW w:w="300" w:type="dxa"/>
            <w:vAlign w:val="bottom"/>
            <w:tcBorders>
              <w:bottom w:val="single" w:sz="8" w:color="61656A"/>
            </w:tcBorders>
          </w:tcPr>
          <w:p>
            <w:pPr>
              <w:spacing w:after="0"/>
              <w:rPr>
                <w:sz w:val="19"/>
                <w:szCs w:val="19"/>
                <w:color w:val="auto"/>
              </w:rPr>
            </w:pPr>
          </w:p>
        </w:tc>
        <w:tc>
          <w:tcPr>
            <w:tcW w:w="880" w:type="dxa"/>
            <w:vAlign w:val="bottom"/>
            <w:tcBorders>
              <w:bottom w:val="single" w:sz="8" w:color="61656A"/>
            </w:tcBorders>
          </w:tcPr>
          <w:p>
            <w:pPr>
              <w:spacing w:after="0"/>
              <w:rPr>
                <w:sz w:val="19"/>
                <w:szCs w:val="19"/>
                <w:color w:val="auto"/>
              </w:rPr>
            </w:pPr>
          </w:p>
        </w:tc>
        <w:tc>
          <w:tcPr>
            <w:tcW w:w="820" w:type="dxa"/>
            <w:vAlign w:val="bottom"/>
            <w:tcBorders>
              <w:bottom w:val="single" w:sz="8" w:color="61656A"/>
            </w:tcBorders>
          </w:tcPr>
          <w:p>
            <w:pPr>
              <w:spacing w:after="0"/>
              <w:rPr>
                <w:sz w:val="19"/>
                <w:szCs w:val="19"/>
                <w:color w:val="auto"/>
              </w:rPr>
            </w:pPr>
          </w:p>
        </w:tc>
        <w:tc>
          <w:tcPr>
            <w:tcW w:w="380" w:type="dxa"/>
            <w:vAlign w:val="bottom"/>
            <w:tcBorders>
              <w:bottom w:val="single" w:sz="8" w:color="61656A"/>
            </w:tcBorders>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36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Interest rate swap agreements</w:t>
            </w:r>
          </w:p>
        </w:tc>
        <w:tc>
          <w:tcPr>
            <w:tcW w:w="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4,702</w:t>
            </w:r>
          </w:p>
        </w:tc>
        <w:tc>
          <w:tcPr>
            <w:tcW w:w="4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4,717</w:t>
            </w:r>
          </w:p>
        </w:tc>
        <w:tc>
          <w:tcPr>
            <w:tcW w:w="240" w:type="dxa"/>
            <w:vAlign w:val="bottom"/>
            <w:tcBorders>
              <w:bottom w:val="single" w:sz="8" w:color="61656A"/>
            </w:tcBorders>
          </w:tcPr>
          <w:p>
            <w:pPr>
              <w:spacing w:after="0"/>
              <w:rPr>
                <w:sz w:val="16"/>
                <w:szCs w:val="16"/>
                <w:color w:val="auto"/>
              </w:rPr>
            </w:pPr>
          </w:p>
        </w:tc>
        <w:tc>
          <w:tcPr>
            <w:tcW w:w="360" w:type="dxa"/>
            <w:vAlign w:val="bottom"/>
            <w:tcBorders>
              <w:bottom w:val="single" w:sz="8" w:color="61656A"/>
            </w:tcBorders>
          </w:tcPr>
          <w:p>
            <w:pPr>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61656A"/>
            </w:tcBorders>
          </w:tcPr>
          <w:p>
            <w:pPr>
              <w:jc w:val="right"/>
              <w:ind w:right="60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18</w:t>
            </w:r>
          </w:p>
        </w:tc>
        <w:tc>
          <w:tcPr>
            <w:tcW w:w="240" w:type="dxa"/>
            <w:vAlign w:val="bottom"/>
            <w:tcBorders>
              <w:bottom w:val="single" w:sz="8" w:color="61656A"/>
            </w:tcBorders>
          </w:tcPr>
          <w:p>
            <w:pPr>
              <w:spacing w:after="0"/>
              <w:rPr>
                <w:sz w:val="16"/>
                <w:szCs w:val="16"/>
                <w:color w:val="auto"/>
              </w:rPr>
            </w:pPr>
          </w:p>
        </w:tc>
        <w:tc>
          <w:tcPr>
            <w:tcW w:w="300" w:type="dxa"/>
            <w:vAlign w:val="bottom"/>
            <w:tcBorders>
              <w:bottom w:val="single" w:sz="8" w:color="61656A"/>
            </w:tcBorders>
          </w:tcPr>
          <w:p>
            <w:pPr>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(208)</w:t>
            </w:r>
          </w:p>
        </w:tc>
        <w:tc>
          <w:tcPr>
            <w:tcW w:w="820" w:type="dxa"/>
            <w:vAlign w:val="bottom"/>
            <w:tcBorders>
              <w:bottom w:val="single" w:sz="8" w:color="61656A"/>
            </w:tcBorders>
          </w:tcPr>
          <w:p>
            <w:pPr>
              <w:jc w:val="right"/>
              <w:ind w:right="52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r>
        <w:trPr>
          <w:trHeight w:val="199"/>
        </w:trPr>
        <w:tc>
          <w:tcPr>
            <w:tcW w:w="362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Derivatives in cash flow hedging relationships</w:t>
            </w:r>
          </w:p>
        </w:tc>
        <w:tc>
          <w:tcPr>
            <w:tcW w:w="340" w:type="dxa"/>
            <w:vAlign w:val="bottom"/>
            <w:tcBorders>
              <w:bottom w:val="single" w:sz="8" w:color="61656A"/>
            </w:tcBorders>
          </w:tcPr>
          <w:p>
            <w:pPr>
              <w:spacing w:after="0"/>
              <w:rPr>
                <w:sz w:val="17"/>
                <w:szCs w:val="17"/>
                <w:color w:val="auto"/>
              </w:rPr>
            </w:pPr>
          </w:p>
        </w:tc>
        <w:tc>
          <w:tcPr>
            <w:tcW w:w="840" w:type="dxa"/>
            <w:vAlign w:val="bottom"/>
            <w:tcBorders>
              <w:bottom w:val="single" w:sz="8" w:color="61656A"/>
            </w:tcBorders>
          </w:tcPr>
          <w:p>
            <w:pPr>
              <w:spacing w:after="0"/>
              <w:rPr>
                <w:sz w:val="17"/>
                <w:szCs w:val="17"/>
                <w:color w:val="auto"/>
              </w:rPr>
            </w:pPr>
          </w:p>
        </w:tc>
        <w:tc>
          <w:tcPr>
            <w:tcW w:w="40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36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spacing w:after="0"/>
              <w:rPr>
                <w:sz w:val="17"/>
                <w:szCs w:val="17"/>
                <w:color w:val="auto"/>
              </w:rPr>
            </w:pPr>
          </w:p>
        </w:tc>
        <w:tc>
          <w:tcPr>
            <w:tcW w:w="900" w:type="dxa"/>
            <w:vAlign w:val="bottom"/>
            <w:tcBorders>
              <w:bottom w:val="single" w:sz="8" w:color="61656A"/>
            </w:tcBorders>
          </w:tcPr>
          <w:p>
            <w:pPr>
              <w:spacing w:after="0"/>
              <w:rPr>
                <w:sz w:val="17"/>
                <w:szCs w:val="17"/>
                <w:color w:val="auto"/>
              </w:rPr>
            </w:pPr>
          </w:p>
        </w:tc>
        <w:tc>
          <w:tcPr>
            <w:tcW w:w="30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300" w:type="dxa"/>
            <w:vAlign w:val="bottom"/>
            <w:tcBorders>
              <w:bottom w:val="single" w:sz="8" w:color="61656A"/>
            </w:tcBorders>
          </w:tcPr>
          <w:p>
            <w:pPr>
              <w:spacing w:after="0"/>
              <w:rPr>
                <w:sz w:val="17"/>
                <w:szCs w:val="17"/>
                <w:color w:val="auto"/>
              </w:rPr>
            </w:pPr>
          </w:p>
        </w:tc>
        <w:tc>
          <w:tcPr>
            <w:tcW w:w="88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spacing w:after="0"/>
              <w:rPr>
                <w:sz w:val="17"/>
                <w:szCs w:val="17"/>
                <w:color w:val="auto"/>
              </w:rPr>
            </w:pPr>
          </w:p>
        </w:tc>
        <w:tc>
          <w:tcPr>
            <w:tcW w:w="38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6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Foreign currency exchange contracts</w:t>
            </w:r>
          </w:p>
        </w:tc>
        <w:tc>
          <w:tcPr>
            <w:tcW w:w="340" w:type="dxa"/>
            <w:vAlign w:val="bottom"/>
            <w:tcBorders>
              <w:bottom w:val="single" w:sz="8" w:color="61656A"/>
            </w:tcBorders>
          </w:tcPr>
          <w:p>
            <w:pPr>
              <w:spacing w:after="0"/>
              <w:rPr>
                <w:sz w:val="16"/>
                <w:szCs w:val="16"/>
                <w:color w:val="auto"/>
              </w:rPr>
            </w:pPr>
          </w:p>
        </w:tc>
        <w:tc>
          <w:tcPr>
            <w:tcW w:w="8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742</w:t>
            </w:r>
          </w:p>
        </w:tc>
        <w:tc>
          <w:tcPr>
            <w:tcW w:w="40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712</w:t>
            </w:r>
          </w:p>
        </w:tc>
        <w:tc>
          <w:tcPr>
            <w:tcW w:w="240" w:type="dxa"/>
            <w:vAlign w:val="bottom"/>
            <w:tcBorders>
              <w:bottom w:val="single" w:sz="8" w:color="61656A"/>
            </w:tcBorders>
          </w:tcPr>
          <w:p>
            <w:pPr>
              <w:spacing w:after="0"/>
              <w:rPr>
                <w:sz w:val="16"/>
                <w:szCs w:val="16"/>
                <w:color w:val="auto"/>
              </w:rPr>
            </w:pPr>
          </w:p>
        </w:tc>
        <w:tc>
          <w:tcPr>
            <w:tcW w:w="360" w:type="dxa"/>
            <w:vAlign w:val="bottom"/>
            <w:tcBorders>
              <w:bottom w:val="single" w:sz="8" w:color="61656A"/>
            </w:tcBorders>
          </w:tcPr>
          <w:p>
            <w:pPr>
              <w:spacing w:after="0"/>
              <w:rPr>
                <w:sz w:val="16"/>
                <w:szCs w:val="16"/>
                <w:color w:val="auto"/>
              </w:rPr>
            </w:pPr>
          </w:p>
        </w:tc>
        <w:tc>
          <w:tcPr>
            <w:tcW w:w="8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42</w:t>
            </w:r>
          </w:p>
        </w:tc>
        <w:tc>
          <w:tcPr>
            <w:tcW w:w="900" w:type="dxa"/>
            <w:vAlign w:val="bottom"/>
            <w:tcBorders>
              <w:bottom w:val="single" w:sz="8" w:color="61656A"/>
            </w:tcBorders>
          </w:tcPr>
          <w:p>
            <w:pPr>
              <w:spacing w:after="0"/>
              <w:rPr>
                <w:sz w:val="16"/>
                <w:szCs w:val="16"/>
                <w:color w:val="auto"/>
              </w:rPr>
            </w:pPr>
          </w:p>
        </w:tc>
        <w:tc>
          <w:tcPr>
            <w:tcW w:w="3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28</w:t>
            </w:r>
          </w:p>
        </w:tc>
        <w:tc>
          <w:tcPr>
            <w:tcW w:w="240" w:type="dxa"/>
            <w:vAlign w:val="bottom"/>
            <w:tcBorders>
              <w:bottom w:val="single" w:sz="8" w:color="61656A"/>
            </w:tcBorders>
          </w:tcPr>
          <w:p>
            <w:pPr>
              <w:spacing w:after="0"/>
              <w:rPr>
                <w:sz w:val="16"/>
                <w:szCs w:val="16"/>
                <w:color w:val="auto"/>
              </w:rPr>
            </w:pPr>
          </w:p>
        </w:tc>
        <w:tc>
          <w:tcPr>
            <w:tcW w:w="300" w:type="dxa"/>
            <w:vAlign w:val="bottom"/>
            <w:tcBorders>
              <w:bottom w:val="single" w:sz="8" w:color="61656A"/>
            </w:tcBorders>
          </w:tcPr>
          <w:p>
            <w:pPr>
              <w:spacing w:after="0"/>
              <w:rPr>
                <w:sz w:val="16"/>
                <w:szCs w:val="16"/>
                <w:color w:val="auto"/>
              </w:rPr>
            </w:pPr>
          </w:p>
        </w:tc>
        <w:tc>
          <w:tcPr>
            <w:tcW w:w="8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w:t>
            </w:r>
          </w:p>
        </w:tc>
        <w:tc>
          <w:tcPr>
            <w:tcW w:w="820" w:type="dxa"/>
            <w:vAlign w:val="bottom"/>
            <w:tcBorders>
              <w:bottom w:val="single" w:sz="8" w:color="61656A"/>
            </w:tcBorders>
          </w:tcPr>
          <w:p>
            <w:pPr>
              <w:spacing w:after="0"/>
              <w:rPr>
                <w:sz w:val="16"/>
                <w:szCs w:val="16"/>
                <w:color w:val="auto"/>
              </w:rPr>
            </w:pPr>
          </w:p>
        </w:tc>
        <w:tc>
          <w:tcPr>
            <w:tcW w:w="3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96"/>
        </w:trPr>
        <w:tc>
          <w:tcPr>
            <w:tcW w:w="36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Commodity contracts</w:t>
            </w:r>
          </w:p>
        </w:tc>
        <w:tc>
          <w:tcPr>
            <w:tcW w:w="340" w:type="dxa"/>
            <w:vAlign w:val="bottom"/>
            <w:tcBorders>
              <w:bottom w:val="single" w:sz="8" w:color="61656A"/>
            </w:tcBorders>
          </w:tcPr>
          <w:p>
            <w:pPr>
              <w:spacing w:after="0"/>
              <w:rPr>
                <w:sz w:val="17"/>
                <w:szCs w:val="17"/>
                <w:color w:val="auto"/>
              </w:rPr>
            </w:pPr>
          </w:p>
        </w:tc>
        <w:tc>
          <w:tcPr>
            <w:tcW w:w="8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w:t>
            </w:r>
          </w:p>
        </w:tc>
        <w:tc>
          <w:tcPr>
            <w:tcW w:w="40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w:t>
            </w:r>
          </w:p>
        </w:tc>
        <w:tc>
          <w:tcPr>
            <w:tcW w:w="240" w:type="dxa"/>
            <w:vAlign w:val="bottom"/>
            <w:tcBorders>
              <w:bottom w:val="single" w:sz="8" w:color="61656A"/>
            </w:tcBorders>
          </w:tcPr>
          <w:p>
            <w:pPr>
              <w:spacing w:after="0"/>
              <w:rPr>
                <w:sz w:val="17"/>
                <w:szCs w:val="17"/>
                <w:color w:val="auto"/>
              </w:rPr>
            </w:pPr>
          </w:p>
        </w:tc>
        <w:tc>
          <w:tcPr>
            <w:tcW w:w="36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61656A"/>
            </w:tcBorders>
          </w:tcPr>
          <w:p>
            <w:pPr>
              <w:spacing w:after="0"/>
              <w:rPr>
                <w:sz w:val="17"/>
                <w:szCs w:val="17"/>
                <w:color w:val="auto"/>
              </w:rPr>
            </w:pPr>
          </w:p>
        </w:tc>
        <w:tc>
          <w:tcPr>
            <w:tcW w:w="540" w:type="dxa"/>
            <w:vAlign w:val="bottom"/>
            <w:tcBorders>
              <w:bottom w:val="single" w:sz="8" w:color="61656A"/>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spacing w:after="0"/>
              <w:rPr>
                <w:sz w:val="17"/>
                <w:szCs w:val="17"/>
                <w:color w:val="auto"/>
              </w:rPr>
            </w:pPr>
          </w:p>
        </w:tc>
        <w:tc>
          <w:tcPr>
            <w:tcW w:w="8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61656A"/>
            </w:tcBorders>
          </w:tcPr>
          <w:p>
            <w:pPr>
              <w:spacing w:after="0"/>
              <w:rPr>
                <w:sz w:val="17"/>
                <w:szCs w:val="17"/>
                <w:color w:val="auto"/>
              </w:rPr>
            </w:pPr>
          </w:p>
        </w:tc>
        <w:tc>
          <w:tcPr>
            <w:tcW w:w="3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9"/>
        </w:trPr>
        <w:tc>
          <w:tcPr>
            <w:tcW w:w="362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Derivatives in net investment hedging relationships</w:t>
            </w:r>
          </w:p>
        </w:tc>
        <w:tc>
          <w:tcPr>
            <w:tcW w:w="340" w:type="dxa"/>
            <w:vAlign w:val="bottom"/>
            <w:tcBorders>
              <w:bottom w:val="single" w:sz="8" w:color="61656A"/>
            </w:tcBorders>
          </w:tcPr>
          <w:p>
            <w:pPr>
              <w:spacing w:after="0"/>
              <w:rPr>
                <w:sz w:val="17"/>
                <w:szCs w:val="17"/>
                <w:color w:val="auto"/>
              </w:rPr>
            </w:pPr>
          </w:p>
        </w:tc>
        <w:tc>
          <w:tcPr>
            <w:tcW w:w="840" w:type="dxa"/>
            <w:vAlign w:val="bottom"/>
            <w:tcBorders>
              <w:bottom w:val="single" w:sz="8" w:color="61656A"/>
            </w:tcBorders>
          </w:tcPr>
          <w:p>
            <w:pPr>
              <w:spacing w:after="0"/>
              <w:rPr>
                <w:sz w:val="17"/>
                <w:szCs w:val="17"/>
                <w:color w:val="auto"/>
              </w:rPr>
            </w:pPr>
          </w:p>
        </w:tc>
        <w:tc>
          <w:tcPr>
            <w:tcW w:w="40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36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spacing w:after="0"/>
              <w:rPr>
                <w:sz w:val="17"/>
                <w:szCs w:val="17"/>
                <w:color w:val="auto"/>
              </w:rPr>
            </w:pPr>
          </w:p>
        </w:tc>
        <w:tc>
          <w:tcPr>
            <w:tcW w:w="900" w:type="dxa"/>
            <w:vAlign w:val="bottom"/>
            <w:tcBorders>
              <w:bottom w:val="single" w:sz="8" w:color="61656A"/>
            </w:tcBorders>
          </w:tcPr>
          <w:p>
            <w:pPr>
              <w:spacing w:after="0"/>
              <w:rPr>
                <w:sz w:val="17"/>
                <w:szCs w:val="17"/>
                <w:color w:val="auto"/>
              </w:rPr>
            </w:pPr>
          </w:p>
        </w:tc>
        <w:tc>
          <w:tcPr>
            <w:tcW w:w="30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300" w:type="dxa"/>
            <w:vAlign w:val="bottom"/>
            <w:tcBorders>
              <w:bottom w:val="single" w:sz="8" w:color="61656A"/>
            </w:tcBorders>
          </w:tcPr>
          <w:p>
            <w:pPr>
              <w:spacing w:after="0"/>
              <w:rPr>
                <w:sz w:val="17"/>
                <w:szCs w:val="17"/>
                <w:color w:val="auto"/>
              </w:rPr>
            </w:pPr>
          </w:p>
        </w:tc>
        <w:tc>
          <w:tcPr>
            <w:tcW w:w="88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spacing w:after="0"/>
              <w:rPr>
                <w:sz w:val="17"/>
                <w:szCs w:val="17"/>
                <w:color w:val="auto"/>
              </w:rPr>
            </w:pPr>
          </w:p>
        </w:tc>
        <w:tc>
          <w:tcPr>
            <w:tcW w:w="38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62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Cross currency swap agreements</w:t>
            </w:r>
          </w:p>
        </w:tc>
        <w:tc>
          <w:tcPr>
            <w:tcW w:w="340" w:type="dxa"/>
            <w:vAlign w:val="bottom"/>
            <w:tcBorders>
              <w:bottom w:val="single" w:sz="8" w:color="D7282F"/>
            </w:tcBorders>
          </w:tcPr>
          <w:p>
            <w:pPr>
              <w:spacing w:after="0"/>
              <w:rPr>
                <w:sz w:val="16"/>
                <w:szCs w:val="16"/>
                <w:color w:val="auto"/>
              </w:rPr>
            </w:pPr>
          </w:p>
        </w:tc>
        <w:tc>
          <w:tcPr>
            <w:tcW w:w="8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5,864</w:t>
            </w:r>
          </w:p>
        </w:tc>
        <w:tc>
          <w:tcPr>
            <w:tcW w:w="400" w:type="dxa"/>
            <w:vAlign w:val="bottom"/>
            <w:tcBorders>
              <w:bottom w:val="single" w:sz="8" w:color="D7282F"/>
            </w:tcBorders>
          </w:tcPr>
          <w:p>
            <w:pPr>
              <w:spacing w:after="0"/>
              <w:rPr>
                <w:sz w:val="16"/>
                <w:szCs w:val="16"/>
                <w:color w:val="auto"/>
              </w:rPr>
            </w:pPr>
          </w:p>
        </w:tc>
        <w:tc>
          <w:tcPr>
            <w:tcW w:w="8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4,264</w:t>
            </w:r>
          </w:p>
        </w:tc>
        <w:tc>
          <w:tcPr>
            <w:tcW w:w="240" w:type="dxa"/>
            <w:vAlign w:val="bottom"/>
            <w:tcBorders>
              <w:bottom w:val="single" w:sz="8" w:color="D7282F"/>
            </w:tcBorders>
          </w:tcPr>
          <w:p>
            <w:pPr>
              <w:spacing w:after="0"/>
              <w:rPr>
                <w:sz w:val="16"/>
                <w:szCs w:val="16"/>
                <w:color w:val="auto"/>
              </w:rPr>
            </w:pPr>
          </w:p>
        </w:tc>
        <w:tc>
          <w:tcPr>
            <w:tcW w:w="360" w:type="dxa"/>
            <w:vAlign w:val="bottom"/>
            <w:tcBorders>
              <w:bottom w:val="single" w:sz="8" w:color="D7282F"/>
            </w:tcBorders>
          </w:tcPr>
          <w:p>
            <w:pPr>
              <w:spacing w:after="0"/>
              <w:rPr>
                <w:sz w:val="16"/>
                <w:szCs w:val="16"/>
                <w:color w:val="auto"/>
              </w:rPr>
            </w:pPr>
          </w:p>
        </w:tc>
        <w:tc>
          <w:tcPr>
            <w:tcW w:w="8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4</w:t>
            </w:r>
          </w:p>
        </w:tc>
        <w:tc>
          <w:tcPr>
            <w:tcW w:w="900" w:type="dxa"/>
            <w:vAlign w:val="bottom"/>
            <w:tcBorders>
              <w:bottom w:val="single" w:sz="8" w:color="D7282F"/>
            </w:tcBorders>
          </w:tcPr>
          <w:p>
            <w:pPr>
              <w:spacing w:after="0"/>
              <w:rPr>
                <w:sz w:val="16"/>
                <w:szCs w:val="16"/>
                <w:color w:val="auto"/>
              </w:rPr>
            </w:pPr>
          </w:p>
        </w:tc>
        <w:tc>
          <w:tcPr>
            <w:tcW w:w="540" w:type="dxa"/>
            <w:vAlign w:val="bottom"/>
            <w:tcBorders>
              <w:bottom w:val="single" w:sz="8" w:color="D7282F"/>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D7282F"/>
            </w:tcBorders>
          </w:tcPr>
          <w:p>
            <w:pPr>
              <w:spacing w:after="0"/>
              <w:rPr>
                <w:sz w:val="16"/>
                <w:szCs w:val="16"/>
                <w:color w:val="auto"/>
              </w:rPr>
            </w:pPr>
          </w:p>
        </w:tc>
        <w:tc>
          <w:tcPr>
            <w:tcW w:w="8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(72)</w:t>
            </w:r>
          </w:p>
        </w:tc>
        <w:tc>
          <w:tcPr>
            <w:tcW w:w="820" w:type="dxa"/>
            <w:vAlign w:val="bottom"/>
            <w:tcBorders>
              <w:bottom w:val="single" w:sz="8" w:color="D7282F"/>
            </w:tcBorders>
          </w:tcPr>
          <w:p>
            <w:pPr>
              <w:spacing w:after="0"/>
              <w:rPr>
                <w:sz w:val="16"/>
                <w:szCs w:val="16"/>
                <w:color w:val="auto"/>
              </w:rPr>
            </w:pPr>
          </w:p>
        </w:tc>
        <w:tc>
          <w:tcPr>
            <w:tcW w:w="3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146"/>
        </w:trPr>
        <w:tc>
          <w:tcPr>
            <w:tcW w:w="3620" w:type="dxa"/>
            <w:vAlign w:val="bottom"/>
          </w:tcPr>
          <w:p>
            <w:pPr>
              <w:ind w:left="240"/>
              <w:spacing w:after="0" w:line="146" w:lineRule="exact"/>
              <w:rPr>
                <w:sz w:val="20"/>
                <w:szCs w:val="20"/>
                <w:color w:val="auto"/>
              </w:rPr>
            </w:pPr>
            <w:r>
              <w:rPr>
                <w:rFonts w:ascii="Arial" w:cs="Arial" w:eastAsia="Arial" w:hAnsi="Arial"/>
                <w:sz w:val="14"/>
                <w:szCs w:val="14"/>
                <w:b w:val="1"/>
                <w:bCs w:val="1"/>
                <w:color w:val="auto"/>
              </w:rPr>
              <w:t>Total derivatives designated as hedging</w:t>
            </w:r>
          </w:p>
        </w:tc>
        <w:tc>
          <w:tcPr>
            <w:tcW w:w="340" w:type="dxa"/>
            <w:vAlign w:val="bottom"/>
          </w:tcPr>
          <w:p>
            <w:pPr>
              <w:spacing w:after="0"/>
              <w:rPr>
                <w:sz w:val="12"/>
                <w:szCs w:val="12"/>
                <w:color w:val="auto"/>
              </w:rPr>
            </w:pPr>
          </w:p>
        </w:tc>
        <w:tc>
          <w:tcPr>
            <w:tcW w:w="8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11,312</w:t>
            </w:r>
          </w:p>
        </w:tc>
        <w:tc>
          <w:tcPr>
            <w:tcW w:w="4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9,699</w:t>
            </w: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46</w:t>
            </w:r>
          </w:p>
        </w:tc>
        <w:tc>
          <w:tcPr>
            <w:tcW w:w="900" w:type="dxa"/>
            <w:vAlign w:val="bottom"/>
          </w:tcPr>
          <w:p>
            <w:pPr>
              <w:spacing w:after="0"/>
              <w:rPr>
                <w:sz w:val="12"/>
                <w:szCs w:val="12"/>
                <w:color w:val="auto"/>
              </w:rPr>
            </w:pPr>
          </w:p>
        </w:tc>
        <w:tc>
          <w:tcPr>
            <w:tcW w:w="3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46</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(281)</w:t>
            </w:r>
          </w:p>
        </w:tc>
        <w:tc>
          <w:tcPr>
            <w:tcW w:w="820" w:type="dxa"/>
            <w:vAlign w:val="bottom"/>
          </w:tcPr>
          <w:p>
            <w:pPr>
              <w:spacing w:after="0"/>
              <w:rPr>
                <w:sz w:val="12"/>
                <w:szCs w:val="12"/>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(334)</w:t>
            </w:r>
          </w:p>
        </w:tc>
        <w:tc>
          <w:tcPr>
            <w:tcW w:w="0" w:type="dxa"/>
            <w:vAlign w:val="bottom"/>
          </w:tcPr>
          <w:p>
            <w:pPr>
              <w:spacing w:after="0"/>
              <w:rPr>
                <w:sz w:val="1"/>
                <w:szCs w:val="1"/>
                <w:color w:val="auto"/>
              </w:rPr>
            </w:pPr>
          </w:p>
        </w:tc>
      </w:tr>
      <w:tr>
        <w:trPr>
          <w:trHeight w:val="189"/>
        </w:trPr>
        <w:tc>
          <w:tcPr>
            <w:tcW w:w="362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instruments</w:t>
            </w:r>
          </w:p>
        </w:tc>
        <w:tc>
          <w:tcPr>
            <w:tcW w:w="340" w:type="dxa"/>
            <w:vAlign w:val="bottom"/>
            <w:tcBorders>
              <w:bottom w:val="single" w:sz="8" w:color="D7282F"/>
            </w:tcBorders>
          </w:tcPr>
          <w:p>
            <w:pPr>
              <w:spacing w:after="0"/>
              <w:rPr>
                <w:sz w:val="16"/>
                <w:szCs w:val="16"/>
                <w:color w:val="auto"/>
              </w:rPr>
            </w:pPr>
          </w:p>
        </w:tc>
        <w:tc>
          <w:tcPr>
            <w:tcW w:w="840" w:type="dxa"/>
            <w:vAlign w:val="bottom"/>
            <w:tcBorders>
              <w:bottom w:val="single" w:sz="8" w:color="D7282F"/>
            </w:tcBorders>
            <w:vMerge w:val="continue"/>
          </w:tcPr>
          <w:p>
            <w:pPr>
              <w:spacing w:after="0"/>
              <w:rPr>
                <w:sz w:val="16"/>
                <w:szCs w:val="16"/>
                <w:color w:val="auto"/>
              </w:rPr>
            </w:pPr>
          </w:p>
        </w:tc>
        <w:tc>
          <w:tcPr>
            <w:tcW w:w="400" w:type="dxa"/>
            <w:vAlign w:val="bottom"/>
            <w:tcBorders>
              <w:bottom w:val="single" w:sz="8" w:color="D7282F"/>
            </w:tcBorders>
          </w:tcPr>
          <w:p>
            <w:pPr>
              <w:spacing w:after="0"/>
              <w:rPr>
                <w:sz w:val="16"/>
                <w:szCs w:val="16"/>
                <w:color w:val="auto"/>
              </w:rPr>
            </w:pPr>
          </w:p>
        </w:tc>
        <w:tc>
          <w:tcPr>
            <w:tcW w:w="800" w:type="dxa"/>
            <w:vAlign w:val="bottom"/>
            <w:tcBorders>
              <w:bottom w:val="single" w:sz="8" w:color="D7282F"/>
            </w:tcBorders>
            <w:vMerge w:val="continue"/>
          </w:tcPr>
          <w:p>
            <w:pPr>
              <w:spacing w:after="0"/>
              <w:rPr>
                <w:sz w:val="16"/>
                <w:szCs w:val="16"/>
                <w:color w:val="auto"/>
              </w:rPr>
            </w:pPr>
          </w:p>
        </w:tc>
        <w:tc>
          <w:tcPr>
            <w:tcW w:w="240" w:type="dxa"/>
            <w:vAlign w:val="bottom"/>
            <w:tcBorders>
              <w:bottom w:val="single" w:sz="8" w:color="D7282F"/>
            </w:tcBorders>
          </w:tcPr>
          <w:p>
            <w:pPr>
              <w:spacing w:after="0"/>
              <w:rPr>
                <w:sz w:val="16"/>
                <w:szCs w:val="16"/>
                <w:color w:val="auto"/>
              </w:rPr>
            </w:pPr>
          </w:p>
        </w:tc>
        <w:tc>
          <w:tcPr>
            <w:tcW w:w="360" w:type="dxa"/>
            <w:vAlign w:val="bottom"/>
            <w:tcBorders>
              <w:bottom w:val="single" w:sz="8" w:color="D7282F"/>
            </w:tcBorders>
          </w:tcPr>
          <w:p>
            <w:pPr>
              <w:spacing w:after="0"/>
              <w:rPr>
                <w:sz w:val="16"/>
                <w:szCs w:val="16"/>
                <w:color w:val="auto"/>
              </w:rPr>
            </w:pPr>
          </w:p>
        </w:tc>
        <w:tc>
          <w:tcPr>
            <w:tcW w:w="820" w:type="dxa"/>
            <w:vAlign w:val="bottom"/>
            <w:tcBorders>
              <w:bottom w:val="single" w:sz="8" w:color="D7282F"/>
            </w:tcBorders>
            <w:vMerge w:val="continue"/>
          </w:tcPr>
          <w:p>
            <w:pPr>
              <w:spacing w:after="0"/>
              <w:rPr>
                <w:sz w:val="16"/>
                <w:szCs w:val="16"/>
                <w:color w:val="auto"/>
              </w:rPr>
            </w:pPr>
          </w:p>
        </w:tc>
        <w:tc>
          <w:tcPr>
            <w:tcW w:w="900" w:type="dxa"/>
            <w:vAlign w:val="bottom"/>
            <w:tcBorders>
              <w:bottom w:val="single" w:sz="8" w:color="D7282F"/>
            </w:tcBorders>
          </w:tcPr>
          <w:p>
            <w:pPr>
              <w:spacing w:after="0"/>
              <w:rPr>
                <w:sz w:val="16"/>
                <w:szCs w:val="16"/>
                <w:color w:val="auto"/>
              </w:rPr>
            </w:pPr>
          </w:p>
        </w:tc>
        <w:tc>
          <w:tcPr>
            <w:tcW w:w="300" w:type="dxa"/>
            <w:vAlign w:val="bottom"/>
            <w:tcBorders>
              <w:bottom w:val="single" w:sz="8" w:color="D7282F"/>
            </w:tcBorders>
            <w:vMerge w:val="continue"/>
          </w:tcPr>
          <w:p>
            <w:pPr>
              <w:spacing w:after="0"/>
              <w:rPr>
                <w:sz w:val="16"/>
                <w:szCs w:val="16"/>
                <w:color w:val="auto"/>
              </w:rPr>
            </w:pPr>
          </w:p>
        </w:tc>
        <w:tc>
          <w:tcPr>
            <w:tcW w:w="240" w:type="dxa"/>
            <w:vAlign w:val="bottom"/>
            <w:tcBorders>
              <w:bottom w:val="single" w:sz="8" w:color="D7282F"/>
            </w:tcBorders>
          </w:tcPr>
          <w:p>
            <w:pPr>
              <w:spacing w:after="0"/>
              <w:rPr>
                <w:sz w:val="16"/>
                <w:szCs w:val="16"/>
                <w:color w:val="auto"/>
              </w:rPr>
            </w:pPr>
          </w:p>
        </w:tc>
        <w:tc>
          <w:tcPr>
            <w:tcW w:w="300" w:type="dxa"/>
            <w:vAlign w:val="bottom"/>
            <w:tcBorders>
              <w:bottom w:val="single" w:sz="8" w:color="D7282F"/>
            </w:tcBorders>
          </w:tcPr>
          <w:p>
            <w:pPr>
              <w:spacing w:after="0"/>
              <w:rPr>
                <w:sz w:val="16"/>
                <w:szCs w:val="16"/>
                <w:color w:val="auto"/>
              </w:rPr>
            </w:pPr>
          </w:p>
        </w:tc>
        <w:tc>
          <w:tcPr>
            <w:tcW w:w="880" w:type="dxa"/>
            <w:vAlign w:val="bottom"/>
            <w:tcBorders>
              <w:bottom w:val="single" w:sz="8" w:color="D7282F"/>
            </w:tcBorders>
            <w:vMerge w:val="continue"/>
          </w:tcPr>
          <w:p>
            <w:pPr>
              <w:spacing w:after="0"/>
              <w:rPr>
                <w:sz w:val="16"/>
                <w:szCs w:val="16"/>
                <w:color w:val="auto"/>
              </w:rPr>
            </w:pPr>
          </w:p>
        </w:tc>
        <w:tc>
          <w:tcPr>
            <w:tcW w:w="820" w:type="dxa"/>
            <w:vAlign w:val="bottom"/>
            <w:tcBorders>
              <w:bottom w:val="single" w:sz="8" w:color="D7282F"/>
            </w:tcBorders>
          </w:tcPr>
          <w:p>
            <w:pPr>
              <w:spacing w:after="0"/>
              <w:rPr>
                <w:sz w:val="16"/>
                <w:szCs w:val="16"/>
                <w:color w:val="auto"/>
              </w:rPr>
            </w:pPr>
          </w:p>
        </w:tc>
        <w:tc>
          <w:tcPr>
            <w:tcW w:w="380" w:type="dxa"/>
            <w:vAlign w:val="bottom"/>
            <w:tcBorders>
              <w:bottom w:val="single" w:sz="8" w:color="D7282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62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340" w:type="dxa"/>
            <w:vAlign w:val="bottom"/>
            <w:tcBorders>
              <w:bottom w:val="single" w:sz="8" w:color="61656A"/>
            </w:tcBorders>
          </w:tcPr>
          <w:p>
            <w:pPr>
              <w:spacing w:after="0"/>
              <w:rPr>
                <w:sz w:val="16"/>
                <w:szCs w:val="16"/>
                <w:color w:val="auto"/>
              </w:rPr>
            </w:pPr>
          </w:p>
        </w:tc>
        <w:tc>
          <w:tcPr>
            <w:tcW w:w="840" w:type="dxa"/>
            <w:vAlign w:val="bottom"/>
            <w:tcBorders>
              <w:bottom w:val="single" w:sz="8" w:color="61656A"/>
            </w:tcBorders>
          </w:tcPr>
          <w:p>
            <w:pPr>
              <w:spacing w:after="0"/>
              <w:rPr>
                <w:sz w:val="16"/>
                <w:szCs w:val="16"/>
                <w:color w:val="auto"/>
              </w:rPr>
            </w:pPr>
          </w:p>
        </w:tc>
        <w:tc>
          <w:tcPr>
            <w:tcW w:w="40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360" w:type="dxa"/>
            <w:vAlign w:val="bottom"/>
            <w:tcBorders>
              <w:bottom w:val="single" w:sz="8" w:color="61656A"/>
            </w:tcBorders>
          </w:tcPr>
          <w:p>
            <w:pPr>
              <w:spacing w:after="0"/>
              <w:rPr>
                <w:sz w:val="16"/>
                <w:szCs w:val="16"/>
                <w:color w:val="auto"/>
              </w:rPr>
            </w:pPr>
          </w:p>
        </w:tc>
        <w:tc>
          <w:tcPr>
            <w:tcW w:w="820" w:type="dxa"/>
            <w:vAlign w:val="bottom"/>
            <w:tcBorders>
              <w:bottom w:val="single" w:sz="8" w:color="61656A"/>
            </w:tcBorders>
          </w:tcPr>
          <w:p>
            <w:pPr>
              <w:spacing w:after="0"/>
              <w:rPr>
                <w:sz w:val="16"/>
                <w:szCs w:val="16"/>
                <w:color w:val="auto"/>
              </w:rPr>
            </w:pPr>
          </w:p>
        </w:tc>
        <w:tc>
          <w:tcPr>
            <w:tcW w:w="900" w:type="dxa"/>
            <w:vAlign w:val="bottom"/>
            <w:tcBorders>
              <w:bottom w:val="single" w:sz="8" w:color="61656A"/>
            </w:tcBorders>
          </w:tcPr>
          <w:p>
            <w:pPr>
              <w:spacing w:after="0"/>
              <w:rPr>
                <w:sz w:val="16"/>
                <w:szCs w:val="16"/>
                <w:color w:val="auto"/>
              </w:rPr>
            </w:pPr>
          </w:p>
        </w:tc>
        <w:tc>
          <w:tcPr>
            <w:tcW w:w="30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300" w:type="dxa"/>
            <w:vAlign w:val="bottom"/>
            <w:tcBorders>
              <w:bottom w:val="single" w:sz="8" w:color="61656A"/>
            </w:tcBorders>
          </w:tcPr>
          <w:p>
            <w:pPr>
              <w:spacing w:after="0"/>
              <w:rPr>
                <w:sz w:val="16"/>
                <w:szCs w:val="16"/>
                <w:color w:val="auto"/>
              </w:rPr>
            </w:pPr>
          </w:p>
        </w:tc>
        <w:tc>
          <w:tcPr>
            <w:tcW w:w="880" w:type="dxa"/>
            <w:vAlign w:val="bottom"/>
            <w:tcBorders>
              <w:bottom w:val="single" w:sz="8" w:color="61656A"/>
            </w:tcBorders>
          </w:tcPr>
          <w:p>
            <w:pPr>
              <w:spacing w:after="0"/>
              <w:rPr>
                <w:sz w:val="16"/>
                <w:szCs w:val="16"/>
                <w:color w:val="auto"/>
              </w:rPr>
            </w:pPr>
          </w:p>
        </w:tc>
        <w:tc>
          <w:tcPr>
            <w:tcW w:w="820" w:type="dxa"/>
            <w:vAlign w:val="bottom"/>
            <w:tcBorders>
              <w:bottom w:val="single" w:sz="8" w:color="61656A"/>
            </w:tcBorders>
          </w:tcPr>
          <w:p>
            <w:pPr>
              <w:spacing w:after="0"/>
              <w:rPr>
                <w:sz w:val="16"/>
                <w:szCs w:val="16"/>
                <w:color w:val="auto"/>
              </w:rPr>
            </w:pPr>
          </w:p>
        </w:tc>
        <w:tc>
          <w:tcPr>
            <w:tcW w:w="38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62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Foreign currency exchange contracts</w:t>
            </w:r>
          </w:p>
        </w:tc>
        <w:tc>
          <w:tcPr>
            <w:tcW w:w="340" w:type="dxa"/>
            <w:vAlign w:val="bottom"/>
            <w:tcBorders>
              <w:bottom w:val="single" w:sz="8" w:color="D7282F"/>
            </w:tcBorders>
          </w:tcPr>
          <w:p>
            <w:pPr>
              <w:spacing w:after="0"/>
              <w:rPr>
                <w:sz w:val="16"/>
                <w:szCs w:val="16"/>
                <w:color w:val="auto"/>
              </w:rPr>
            </w:pPr>
          </w:p>
        </w:tc>
        <w:tc>
          <w:tcPr>
            <w:tcW w:w="8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11,119</w:t>
            </w:r>
          </w:p>
        </w:tc>
        <w:tc>
          <w:tcPr>
            <w:tcW w:w="400" w:type="dxa"/>
            <w:vAlign w:val="bottom"/>
            <w:tcBorders>
              <w:bottom w:val="single" w:sz="8" w:color="D7282F"/>
            </w:tcBorders>
          </w:tcPr>
          <w:p>
            <w:pPr>
              <w:spacing w:after="0"/>
              <w:rPr>
                <w:sz w:val="16"/>
                <w:szCs w:val="16"/>
                <w:color w:val="auto"/>
              </w:rPr>
            </w:pPr>
          </w:p>
        </w:tc>
        <w:tc>
          <w:tcPr>
            <w:tcW w:w="8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8,198</w:t>
            </w:r>
          </w:p>
        </w:tc>
        <w:tc>
          <w:tcPr>
            <w:tcW w:w="240" w:type="dxa"/>
            <w:vAlign w:val="bottom"/>
            <w:tcBorders>
              <w:bottom w:val="single" w:sz="8" w:color="D7282F"/>
            </w:tcBorders>
          </w:tcPr>
          <w:p>
            <w:pPr>
              <w:spacing w:after="0"/>
              <w:rPr>
                <w:sz w:val="16"/>
                <w:szCs w:val="16"/>
                <w:color w:val="auto"/>
              </w:rPr>
            </w:pPr>
          </w:p>
        </w:tc>
        <w:tc>
          <w:tcPr>
            <w:tcW w:w="360" w:type="dxa"/>
            <w:vAlign w:val="bottom"/>
            <w:tcBorders>
              <w:bottom w:val="single" w:sz="8" w:color="D7282F"/>
            </w:tcBorders>
          </w:tcPr>
          <w:p>
            <w:pPr>
              <w:spacing w:after="0"/>
              <w:rPr>
                <w:sz w:val="16"/>
                <w:szCs w:val="16"/>
                <w:color w:val="auto"/>
              </w:rPr>
            </w:pPr>
          </w:p>
        </w:tc>
        <w:tc>
          <w:tcPr>
            <w:tcW w:w="8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8</w:t>
            </w:r>
          </w:p>
        </w:tc>
        <w:tc>
          <w:tcPr>
            <w:tcW w:w="900" w:type="dxa"/>
            <w:vAlign w:val="bottom"/>
            <w:tcBorders>
              <w:bottom w:val="single" w:sz="8" w:color="D7282F"/>
            </w:tcBorders>
          </w:tcPr>
          <w:p>
            <w:pPr>
              <w:spacing w:after="0"/>
              <w:rPr>
                <w:sz w:val="16"/>
                <w:szCs w:val="16"/>
                <w:color w:val="auto"/>
              </w:rPr>
            </w:pPr>
          </w:p>
        </w:tc>
        <w:tc>
          <w:tcPr>
            <w:tcW w:w="3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7</w:t>
            </w:r>
          </w:p>
        </w:tc>
        <w:tc>
          <w:tcPr>
            <w:tcW w:w="240" w:type="dxa"/>
            <w:vAlign w:val="bottom"/>
            <w:tcBorders>
              <w:bottom w:val="single" w:sz="8" w:color="D7282F"/>
            </w:tcBorders>
          </w:tcPr>
          <w:p>
            <w:pPr>
              <w:spacing w:after="0"/>
              <w:rPr>
                <w:sz w:val="16"/>
                <w:szCs w:val="16"/>
                <w:color w:val="auto"/>
              </w:rPr>
            </w:pPr>
          </w:p>
        </w:tc>
        <w:tc>
          <w:tcPr>
            <w:tcW w:w="300" w:type="dxa"/>
            <w:vAlign w:val="bottom"/>
            <w:tcBorders>
              <w:bottom w:val="single" w:sz="8" w:color="D7282F"/>
            </w:tcBorders>
          </w:tcPr>
          <w:p>
            <w:pPr>
              <w:spacing w:after="0"/>
              <w:rPr>
                <w:sz w:val="16"/>
                <w:szCs w:val="16"/>
                <w:color w:val="auto"/>
              </w:rPr>
            </w:pPr>
          </w:p>
        </w:tc>
        <w:tc>
          <w:tcPr>
            <w:tcW w:w="8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(18)</w:t>
            </w:r>
          </w:p>
        </w:tc>
        <w:tc>
          <w:tcPr>
            <w:tcW w:w="820" w:type="dxa"/>
            <w:vAlign w:val="bottom"/>
            <w:tcBorders>
              <w:bottom w:val="single" w:sz="8" w:color="D7282F"/>
            </w:tcBorders>
          </w:tcPr>
          <w:p>
            <w:pPr>
              <w:spacing w:after="0"/>
              <w:rPr>
                <w:sz w:val="16"/>
                <w:szCs w:val="16"/>
                <w:color w:val="auto"/>
              </w:rPr>
            </w:pPr>
          </w:p>
        </w:tc>
        <w:tc>
          <w:tcPr>
            <w:tcW w:w="3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99"/>
        </w:trPr>
        <w:tc>
          <w:tcPr>
            <w:tcW w:w="3620" w:type="dxa"/>
            <w:vAlign w:val="bottom"/>
            <w:tcBorders>
              <w:bottom w:val="single" w:sz="8" w:color="D7282F"/>
            </w:tcBorders>
          </w:tcPr>
          <w:p>
            <w:pPr>
              <w:ind w:left="360"/>
              <w:spacing w:after="0"/>
              <w:rPr>
                <w:sz w:val="20"/>
                <w:szCs w:val="20"/>
                <w:color w:val="auto"/>
              </w:rPr>
            </w:pPr>
            <w:r>
              <w:rPr>
                <w:rFonts w:ascii="Arial" w:cs="Arial" w:eastAsia="Arial" w:hAnsi="Arial"/>
                <w:sz w:val="14"/>
                <w:szCs w:val="14"/>
                <w:b w:val="1"/>
                <w:bCs w:val="1"/>
                <w:color w:val="auto"/>
              </w:rPr>
              <w:t>Total derivatives at fair value</w:t>
            </w:r>
          </w:p>
        </w:tc>
        <w:tc>
          <w:tcPr>
            <w:tcW w:w="34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22,431</w:t>
            </w:r>
          </w:p>
        </w:tc>
        <w:tc>
          <w:tcPr>
            <w:tcW w:w="4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17,897</w:t>
            </w:r>
          </w:p>
        </w:tc>
        <w:tc>
          <w:tcPr>
            <w:tcW w:w="240" w:type="dxa"/>
            <w:vAlign w:val="bottom"/>
            <w:tcBorders>
              <w:bottom w:val="single" w:sz="8" w:color="D7282F"/>
            </w:tcBorders>
          </w:tcPr>
          <w:p>
            <w:pPr>
              <w:spacing w:after="0"/>
              <w:rPr>
                <w:sz w:val="17"/>
                <w:szCs w:val="17"/>
                <w:color w:val="auto"/>
              </w:rPr>
            </w:pPr>
          </w:p>
        </w:tc>
        <w:tc>
          <w:tcPr>
            <w:tcW w:w="360" w:type="dxa"/>
            <w:vAlign w:val="bottom"/>
            <w:tcBorders>
              <w:bottom w:val="single" w:sz="8" w:color="D7282F"/>
            </w:tcBorders>
          </w:tcPr>
          <w:p>
            <w:pPr>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54</w:t>
            </w:r>
          </w:p>
        </w:tc>
        <w:tc>
          <w:tcPr>
            <w:tcW w:w="900" w:type="dxa"/>
            <w:vAlign w:val="bottom"/>
            <w:tcBorders>
              <w:bottom w:val="single" w:sz="8" w:color="D7282F"/>
            </w:tcBorders>
          </w:tcPr>
          <w:p>
            <w:pPr>
              <w:jc w:val="right"/>
              <w:ind w:right="608"/>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53</w:t>
            </w:r>
          </w:p>
        </w:tc>
        <w:tc>
          <w:tcPr>
            <w:tcW w:w="240" w:type="dxa"/>
            <w:vAlign w:val="bottom"/>
            <w:tcBorders>
              <w:bottom w:val="single" w:sz="8" w:color="D7282F"/>
            </w:tcBorders>
          </w:tcPr>
          <w:p>
            <w:pPr>
              <w:spacing w:after="0"/>
              <w:rPr>
                <w:sz w:val="17"/>
                <w:szCs w:val="17"/>
                <w:color w:val="auto"/>
              </w:rPr>
            </w:pPr>
          </w:p>
        </w:tc>
        <w:tc>
          <w:tcPr>
            <w:tcW w:w="300" w:type="dxa"/>
            <w:vAlign w:val="bottom"/>
            <w:tcBorders>
              <w:bottom w:val="single" w:sz="8" w:color="D7282F"/>
            </w:tcBorders>
          </w:tcPr>
          <w:p>
            <w:pPr>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(299)</w:t>
            </w:r>
          </w:p>
        </w:tc>
        <w:tc>
          <w:tcPr>
            <w:tcW w:w="820" w:type="dxa"/>
            <w:vAlign w:val="bottom"/>
            <w:tcBorders>
              <w:bottom w:val="single" w:sz="8" w:color="D7282F"/>
            </w:tcBorders>
          </w:tcPr>
          <w:p>
            <w:pPr>
              <w:jc w:val="right"/>
              <w:ind w:right="528"/>
              <w:spacing w:after="0"/>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(339)</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All derivative assets are presented in Other current assets or Other assets. All derivative liabilities are presented in Accrued liabilities or Other liabilities.</w:t>
      </w:r>
    </w:p>
    <w:p>
      <w:pPr>
        <w:spacing w:after="0" w:line="12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addition to the foreign currency derivative contracts designated as net investment hedges, certain of the Company's foreign currency denominated debt instruments are designated as net investment hedges. The carrying value of those debt instruments designated as net investment hedges, which includes the adjustment for the foreign currency transaction gain or loss on those instruments, was $7,118 million and $6,099 million as of March 31, 2024, and December 31, 2023, respectively.</w:t>
      </w:r>
    </w:p>
    <w:p>
      <w:pPr>
        <w:spacing w:after="0" w:line="200" w:lineRule="exact"/>
        <w:rPr>
          <w:sz w:val="20"/>
          <w:szCs w:val="20"/>
          <w:color w:val="auto"/>
        </w:rPr>
      </w:pPr>
    </w:p>
    <w:p>
      <w:pPr>
        <w:spacing w:after="0" w:line="204" w:lineRule="exact"/>
        <w:rPr>
          <w:sz w:val="20"/>
          <w:szCs w:val="20"/>
          <w:color w:val="auto"/>
        </w:rPr>
      </w:pPr>
    </w:p>
    <w:p>
      <w:pPr>
        <w:ind w:left="400" w:hanging="392"/>
        <w:spacing w:after="0"/>
        <w:tabs>
          <w:tab w:leader="none" w:pos="400" w:val="left"/>
        </w:tabs>
        <w:numPr>
          <w:ilvl w:val="0"/>
          <w:numId w:val="18"/>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amounts recorded in the Consolidated Balance Sheet related to cumulative basis adjustments for fair value hedges: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gridSpan w:val="3"/>
          </w:tcPr>
          <w:p>
            <w:pPr>
              <w:jc w:val="center"/>
              <w:ind w:right="28"/>
              <w:spacing w:after="0"/>
              <w:rPr>
                <w:sz w:val="20"/>
                <w:szCs w:val="20"/>
                <w:color w:val="auto"/>
              </w:rPr>
            </w:pPr>
            <w:r>
              <w:rPr>
                <w:rFonts w:ascii="Arial" w:cs="Arial" w:eastAsia="Arial" w:hAnsi="Arial"/>
                <w:sz w:val="14"/>
                <w:szCs w:val="14"/>
                <w:b w:val="1"/>
                <w:bCs w:val="1"/>
                <w:color w:val="auto"/>
              </w:rPr>
              <w:t>Cumulative Amount of Fair Value</w:t>
            </w:r>
          </w:p>
        </w:tc>
        <w:tc>
          <w:tcPr>
            <w:tcW w:w="0" w:type="dxa"/>
            <w:vAlign w:val="bottom"/>
          </w:tcPr>
          <w:p>
            <w:pPr>
              <w:spacing w:after="0"/>
              <w:rPr>
                <w:sz w:val="1"/>
                <w:szCs w:val="1"/>
                <w:color w:val="auto"/>
              </w:rPr>
            </w:pPr>
          </w:p>
        </w:tc>
      </w:tr>
      <w:tr>
        <w:trPr>
          <w:trHeight w:val="148"/>
        </w:trPr>
        <w:tc>
          <w:tcPr>
            <w:tcW w:w="5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gridSpan w:val="3"/>
            <w:vMerge w:val="restart"/>
          </w:tcPr>
          <w:p>
            <w:pPr>
              <w:jc w:val="right"/>
              <w:ind w:right="168"/>
              <w:spacing w:after="0"/>
              <w:rPr>
                <w:sz w:val="20"/>
                <w:szCs w:val="20"/>
                <w:color w:val="auto"/>
              </w:rPr>
            </w:pPr>
            <w:r>
              <w:rPr>
                <w:rFonts w:ascii="Arial" w:cs="Arial" w:eastAsia="Arial" w:hAnsi="Arial"/>
                <w:sz w:val="14"/>
                <w:szCs w:val="14"/>
                <w:b w:val="1"/>
                <w:bCs w:val="1"/>
                <w:color w:val="auto"/>
              </w:rPr>
              <w:t>Carrying Amount of Hedged Item</w:t>
            </w:r>
          </w:p>
        </w:tc>
        <w:tc>
          <w:tcPr>
            <w:tcW w:w="2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2600" w:type="dxa"/>
            <w:vAlign w:val="bottom"/>
            <w:gridSpan w:val="3"/>
          </w:tcPr>
          <w:p>
            <w:pPr>
              <w:jc w:val="center"/>
              <w:ind w:right="28"/>
              <w:spacing w:after="0" w:line="149" w:lineRule="exact"/>
              <w:rPr>
                <w:sz w:val="20"/>
                <w:szCs w:val="20"/>
                <w:color w:val="auto"/>
              </w:rPr>
            </w:pPr>
            <w:r>
              <w:rPr>
                <w:rFonts w:ascii="Arial" w:cs="Arial" w:eastAsia="Arial" w:hAnsi="Arial"/>
                <w:sz w:val="14"/>
                <w:szCs w:val="14"/>
                <w:b w:val="1"/>
                <w:bCs w:val="1"/>
                <w:color w:val="auto"/>
              </w:rPr>
              <w:t>Hedging Adjustment Included in the</w:t>
            </w:r>
          </w:p>
        </w:tc>
        <w:tc>
          <w:tcPr>
            <w:tcW w:w="0" w:type="dxa"/>
            <w:vAlign w:val="bottom"/>
          </w:tcPr>
          <w:p>
            <w:pPr>
              <w:spacing w:after="0"/>
              <w:rPr>
                <w:sz w:val="1"/>
                <w:szCs w:val="1"/>
                <w:color w:val="auto"/>
              </w:rPr>
            </w:pPr>
          </w:p>
        </w:tc>
      </w:tr>
      <w:tr>
        <w:trPr>
          <w:trHeight w:val="185"/>
        </w:trPr>
        <w:tc>
          <w:tcPr>
            <w:tcW w:w="5580" w:type="dxa"/>
            <w:vAlign w:val="bottom"/>
          </w:tcPr>
          <w:p>
            <w:pPr>
              <w:spacing w:after="0"/>
              <w:rPr>
                <w:sz w:val="16"/>
                <w:szCs w:val="16"/>
                <w:color w:val="auto"/>
              </w:rPr>
            </w:pPr>
          </w:p>
        </w:tc>
        <w:tc>
          <w:tcPr>
            <w:tcW w:w="100" w:type="dxa"/>
            <w:vAlign w:val="bottom"/>
            <w:tcBorders>
              <w:bottom w:val="single" w:sz="8" w:color="D7282F"/>
            </w:tcBorders>
          </w:tcPr>
          <w:p>
            <w:pPr>
              <w:spacing w:after="0"/>
              <w:rPr>
                <w:sz w:val="16"/>
                <w:szCs w:val="16"/>
                <w:color w:val="auto"/>
              </w:rPr>
            </w:pPr>
          </w:p>
        </w:tc>
        <w:tc>
          <w:tcPr>
            <w:tcW w:w="2620" w:type="dxa"/>
            <w:vAlign w:val="bottom"/>
            <w:tcBorders>
              <w:bottom w:val="single" w:sz="8" w:color="D7282F"/>
            </w:tcBorders>
            <w:gridSpan w:val="3"/>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20" w:type="dxa"/>
            <w:vAlign w:val="bottom"/>
            <w:tcBorders>
              <w:bottom w:val="single" w:sz="8" w:color="D7282F"/>
            </w:tcBorders>
          </w:tcPr>
          <w:p>
            <w:pPr>
              <w:spacing w:after="0"/>
              <w:rPr>
                <w:sz w:val="16"/>
                <w:szCs w:val="16"/>
                <w:color w:val="auto"/>
              </w:rPr>
            </w:pPr>
          </w:p>
        </w:tc>
        <w:tc>
          <w:tcPr>
            <w:tcW w:w="2600" w:type="dxa"/>
            <w:vAlign w:val="bottom"/>
            <w:tcBorders>
              <w:bottom w:val="single" w:sz="8" w:color="D7282F"/>
            </w:tcBorders>
            <w:gridSpan w:val="3"/>
          </w:tcPr>
          <w:p>
            <w:pPr>
              <w:jc w:val="center"/>
              <w:ind w:right="28"/>
              <w:spacing w:after="0"/>
              <w:rPr>
                <w:sz w:val="20"/>
                <w:szCs w:val="20"/>
                <w:color w:val="auto"/>
              </w:rPr>
            </w:pPr>
            <w:r>
              <w:rPr>
                <w:rFonts w:ascii="Arial" w:cs="Arial" w:eastAsia="Arial" w:hAnsi="Arial"/>
                <w:sz w:val="14"/>
                <w:szCs w:val="14"/>
                <w:b w:val="1"/>
                <w:bCs w:val="1"/>
                <w:color w:val="auto"/>
              </w:rPr>
              <w:t>Carrying Amount of Hedged Item</w:t>
            </w:r>
          </w:p>
        </w:tc>
        <w:tc>
          <w:tcPr>
            <w:tcW w:w="0" w:type="dxa"/>
            <w:vAlign w:val="bottom"/>
          </w:tcPr>
          <w:p>
            <w:pPr>
              <w:spacing w:after="0"/>
              <w:rPr>
                <w:sz w:val="1"/>
                <w:szCs w:val="1"/>
                <w:color w:val="auto"/>
              </w:rPr>
            </w:pPr>
          </w:p>
        </w:tc>
      </w:tr>
      <w:tr>
        <w:trPr>
          <w:trHeight w:val="173"/>
        </w:trPr>
        <w:tc>
          <w:tcPr>
            <w:tcW w:w="5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March 31, 2024</w:t>
            </w:r>
          </w:p>
        </w:tc>
        <w:tc>
          <w:tcPr>
            <w:tcW w:w="260" w:type="dxa"/>
            <w:vAlign w:val="bottom"/>
          </w:tcPr>
          <w:p>
            <w:pPr>
              <w:spacing w:after="0"/>
              <w:rPr>
                <w:sz w:val="15"/>
                <w:szCs w:val="15"/>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5"/>
                <w:szCs w:val="15"/>
                <w:color w:val="auto"/>
              </w:rPr>
            </w:pPr>
          </w:p>
        </w:tc>
        <w:tc>
          <w:tcPr>
            <w:tcW w:w="124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March 31, 2024</w:t>
            </w:r>
          </w:p>
        </w:tc>
        <w:tc>
          <w:tcPr>
            <w:tcW w:w="240" w:type="dxa"/>
            <w:vAlign w:val="bottom"/>
          </w:tcPr>
          <w:p>
            <w:pPr>
              <w:spacing w:after="0"/>
              <w:rPr>
                <w:sz w:val="15"/>
                <w:szCs w:val="15"/>
                <w:color w:val="auto"/>
              </w:rPr>
            </w:pPr>
          </w:p>
        </w:tc>
        <w:tc>
          <w:tcPr>
            <w:tcW w:w="1120" w:type="dxa"/>
            <w:vAlign w:val="bottom"/>
          </w:tcPr>
          <w:p>
            <w:pPr>
              <w:jc w:val="center"/>
              <w:ind w:right="4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5580" w:type="dxa"/>
            <w:vAlign w:val="bottom"/>
            <w:tcBorders>
              <w:bottom w:val="single" w:sz="8" w:color="D7282F"/>
            </w:tcBorders>
          </w:tcPr>
          <w:p>
            <w:pPr>
              <w:spacing w:after="0"/>
              <w:rPr>
                <w:sz w:val="16"/>
                <w:szCs w:val="16"/>
                <w:color w:val="auto"/>
              </w:rPr>
            </w:pPr>
          </w:p>
        </w:tc>
        <w:tc>
          <w:tcPr>
            <w:tcW w:w="100" w:type="dxa"/>
            <w:vAlign w:val="bottom"/>
            <w:tcBorders>
              <w:bottom w:val="single" w:sz="8" w:color="D7282F"/>
            </w:tcBorders>
          </w:tcPr>
          <w:p>
            <w:pPr>
              <w:spacing w:after="0"/>
              <w:rPr>
                <w:sz w:val="16"/>
                <w:szCs w:val="16"/>
                <w:color w:val="auto"/>
              </w:rPr>
            </w:pPr>
          </w:p>
        </w:tc>
        <w:tc>
          <w:tcPr>
            <w:tcW w:w="1240" w:type="dxa"/>
            <w:vAlign w:val="bottom"/>
            <w:tcBorders>
              <w:bottom w:val="single" w:sz="8" w:color="D7282F"/>
            </w:tcBorders>
            <w:vMerge w:val="continue"/>
          </w:tcPr>
          <w:p>
            <w:pPr>
              <w:spacing w:after="0"/>
              <w:rPr>
                <w:sz w:val="16"/>
                <w:szCs w:val="16"/>
                <w:color w:val="auto"/>
              </w:rPr>
            </w:pPr>
          </w:p>
        </w:tc>
        <w:tc>
          <w:tcPr>
            <w:tcW w:w="260" w:type="dxa"/>
            <w:vAlign w:val="bottom"/>
            <w:tcBorders>
              <w:bottom w:val="single" w:sz="8" w:color="D7282F"/>
            </w:tcBorders>
          </w:tcPr>
          <w:p>
            <w:pPr>
              <w:spacing w:after="0"/>
              <w:rPr>
                <w:sz w:val="16"/>
                <w:szCs w:val="16"/>
                <w:color w:val="auto"/>
              </w:rPr>
            </w:pPr>
          </w:p>
        </w:tc>
        <w:tc>
          <w:tcPr>
            <w:tcW w:w="112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D7282F"/>
            </w:tcBorders>
          </w:tcPr>
          <w:p>
            <w:pPr>
              <w:spacing w:after="0"/>
              <w:rPr>
                <w:sz w:val="16"/>
                <w:szCs w:val="16"/>
                <w:color w:val="auto"/>
              </w:rPr>
            </w:pPr>
          </w:p>
        </w:tc>
        <w:tc>
          <w:tcPr>
            <w:tcW w:w="120" w:type="dxa"/>
            <w:vAlign w:val="bottom"/>
            <w:tcBorders>
              <w:bottom w:val="single" w:sz="8" w:color="D7282F"/>
            </w:tcBorders>
          </w:tcPr>
          <w:p>
            <w:pPr>
              <w:spacing w:after="0"/>
              <w:rPr>
                <w:sz w:val="16"/>
                <w:szCs w:val="16"/>
                <w:color w:val="auto"/>
              </w:rPr>
            </w:pPr>
          </w:p>
        </w:tc>
        <w:tc>
          <w:tcPr>
            <w:tcW w:w="1240" w:type="dxa"/>
            <w:vAlign w:val="bottom"/>
            <w:tcBorders>
              <w:bottom w:val="single" w:sz="8" w:color="D7282F"/>
            </w:tcBorders>
            <w:vMerge w:val="continue"/>
          </w:tcPr>
          <w:p>
            <w:pPr>
              <w:spacing w:after="0"/>
              <w:rPr>
                <w:sz w:val="16"/>
                <w:szCs w:val="16"/>
                <w:color w:val="auto"/>
              </w:rPr>
            </w:pPr>
          </w:p>
        </w:tc>
        <w:tc>
          <w:tcPr>
            <w:tcW w:w="240" w:type="dxa"/>
            <w:vAlign w:val="bottom"/>
            <w:tcBorders>
              <w:bottom w:val="single" w:sz="8" w:color="D7282F"/>
            </w:tcBorders>
          </w:tcPr>
          <w:p>
            <w:pPr>
              <w:spacing w:after="0"/>
              <w:rPr>
                <w:sz w:val="16"/>
                <w:szCs w:val="16"/>
                <w:color w:val="auto"/>
              </w:rPr>
            </w:pPr>
          </w:p>
        </w:tc>
        <w:tc>
          <w:tcPr>
            <w:tcW w:w="112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92"/>
        </w:trPr>
        <w:tc>
          <w:tcPr>
            <w:tcW w:w="55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Long-term debt</w:t>
            </w:r>
          </w:p>
        </w:tc>
        <w:tc>
          <w:tcPr>
            <w:tcW w:w="1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4,494</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4,551</w:t>
            </w:r>
          </w:p>
        </w:tc>
        <w:tc>
          <w:tcPr>
            <w:tcW w:w="220" w:type="dxa"/>
            <w:vAlign w:val="bottom"/>
            <w:tcBorders>
              <w:bottom w:val="single" w:sz="8" w:color="D7282F"/>
            </w:tcBorders>
          </w:tcPr>
          <w:p>
            <w:pPr>
              <w:spacing w:after="0"/>
              <w:rPr>
                <w:sz w:val="16"/>
                <w:szCs w:val="16"/>
                <w:color w:val="auto"/>
              </w:rPr>
            </w:pP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(208)</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(166)</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summarize the location and impact to the Consolidated Statement of Operations related to derivative instruments: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620" w:type="dxa"/>
            <w:vAlign w:val="bottom"/>
          </w:tcPr>
          <w:p>
            <w:pPr>
              <w:spacing w:after="0"/>
              <w:rPr>
                <w:sz w:val="17"/>
                <w:szCs w:val="17"/>
                <w:color w:val="auto"/>
              </w:rPr>
            </w:pPr>
          </w:p>
        </w:tc>
        <w:tc>
          <w:tcPr>
            <w:tcW w:w="140" w:type="dxa"/>
            <w:vAlign w:val="bottom"/>
            <w:tcBorders>
              <w:bottom w:val="single" w:sz="8" w:color="D7282F"/>
            </w:tcBorders>
          </w:tcPr>
          <w:p>
            <w:pPr>
              <w:spacing w:after="0"/>
              <w:rPr>
                <w:sz w:val="17"/>
                <w:szCs w:val="17"/>
                <w:color w:val="auto"/>
              </w:rPr>
            </w:pPr>
          </w:p>
        </w:tc>
        <w:tc>
          <w:tcPr>
            <w:tcW w:w="960" w:type="dxa"/>
            <w:vAlign w:val="bottom"/>
            <w:tcBorders>
              <w:bottom w:val="single" w:sz="8" w:color="D7282F"/>
            </w:tcBorders>
          </w:tcPr>
          <w:p>
            <w:pPr>
              <w:spacing w:after="0"/>
              <w:rPr>
                <w:sz w:val="17"/>
                <w:szCs w:val="17"/>
                <w:color w:val="auto"/>
              </w:rPr>
            </w:pPr>
          </w:p>
        </w:tc>
        <w:tc>
          <w:tcPr>
            <w:tcW w:w="320" w:type="dxa"/>
            <w:vAlign w:val="bottom"/>
            <w:tcBorders>
              <w:bottom w:val="single" w:sz="8" w:color="D7282F"/>
            </w:tcBorders>
          </w:tcPr>
          <w:p>
            <w:pPr>
              <w:spacing w:after="0"/>
              <w:rPr>
                <w:sz w:val="17"/>
                <w:szCs w:val="17"/>
                <w:color w:val="auto"/>
              </w:rPr>
            </w:pPr>
          </w:p>
        </w:tc>
        <w:tc>
          <w:tcPr>
            <w:tcW w:w="960" w:type="dxa"/>
            <w:vAlign w:val="bottom"/>
            <w:tcBorders>
              <w:bottom w:val="single" w:sz="8" w:color="D7282F"/>
            </w:tcBorders>
          </w:tcPr>
          <w:p>
            <w:pPr>
              <w:spacing w:after="0"/>
              <w:rPr>
                <w:sz w:val="17"/>
                <w:szCs w:val="17"/>
                <w:color w:val="auto"/>
              </w:rPr>
            </w:pPr>
          </w:p>
        </w:tc>
        <w:tc>
          <w:tcPr>
            <w:tcW w:w="2800" w:type="dxa"/>
            <w:vAlign w:val="bottom"/>
            <w:tcBorders>
              <w:bottom w:val="single" w:sz="8" w:color="D7282F"/>
            </w:tcBorders>
            <w:gridSpan w:val="4"/>
          </w:tcPr>
          <w:p>
            <w:pPr>
              <w:ind w:left="180"/>
              <w:spacing w:after="0"/>
              <w:rPr>
                <w:sz w:val="20"/>
                <w:szCs w:val="20"/>
                <w:color w:val="auto"/>
              </w:rPr>
            </w:pPr>
            <w:r>
              <w:rPr>
                <w:rFonts w:ascii="Arial" w:cs="Arial" w:eastAsia="Arial" w:hAnsi="Arial"/>
                <w:sz w:val="14"/>
                <w:szCs w:val="14"/>
                <w:b w:val="1"/>
                <w:bCs w:val="1"/>
                <w:color w:val="auto"/>
              </w:rPr>
              <w:t>Three Months Ended March 31, 2024</w:t>
            </w:r>
          </w:p>
        </w:tc>
        <w:tc>
          <w:tcPr>
            <w:tcW w:w="300" w:type="dxa"/>
            <w:vAlign w:val="bottom"/>
            <w:tcBorders>
              <w:bottom w:val="single" w:sz="8" w:color="D7282F"/>
            </w:tcBorders>
          </w:tcPr>
          <w:p>
            <w:pPr>
              <w:spacing w:after="0"/>
              <w:rPr>
                <w:sz w:val="17"/>
                <w:szCs w:val="17"/>
                <w:color w:val="auto"/>
              </w:rPr>
            </w:pPr>
          </w:p>
        </w:tc>
        <w:tc>
          <w:tcPr>
            <w:tcW w:w="980" w:type="dxa"/>
            <w:vAlign w:val="bottom"/>
            <w:tcBorders>
              <w:bottom w:val="single" w:sz="8" w:color="D7282F"/>
            </w:tcBorders>
          </w:tcPr>
          <w:p>
            <w:pPr>
              <w:spacing w:after="0"/>
              <w:rPr>
                <w:sz w:val="17"/>
                <w:szCs w:val="17"/>
                <w:color w:val="auto"/>
              </w:rPr>
            </w:pPr>
          </w:p>
        </w:tc>
        <w:tc>
          <w:tcPr>
            <w:tcW w:w="22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3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jc w:val="center"/>
              <w:ind w:right="148"/>
              <w:spacing w:after="0" w:line="147" w:lineRule="exact"/>
              <w:rPr>
                <w:sz w:val="20"/>
                <w:szCs w:val="20"/>
                <w:color w:val="auto"/>
              </w:rPr>
            </w:pPr>
            <w:r>
              <w:rPr>
                <w:rFonts w:ascii="Arial" w:cs="Arial" w:eastAsia="Arial" w:hAnsi="Arial"/>
                <w:sz w:val="14"/>
                <w:szCs w:val="14"/>
                <w:b w:val="1"/>
                <w:bCs w:val="1"/>
                <w:color w:val="auto"/>
              </w:rPr>
              <w:t>Selling,</w:t>
            </w:r>
          </w:p>
        </w:tc>
        <w:tc>
          <w:tcPr>
            <w:tcW w:w="300" w:type="dxa"/>
            <w:vAlign w:val="bottom"/>
          </w:tcPr>
          <w:p>
            <w:pPr>
              <w:spacing w:after="0"/>
              <w:rPr>
                <w:sz w:val="12"/>
                <w:szCs w:val="12"/>
                <w:color w:val="auto"/>
              </w:rPr>
            </w:pPr>
          </w:p>
        </w:tc>
        <w:tc>
          <w:tcPr>
            <w:tcW w:w="980" w:type="dxa"/>
            <w:vAlign w:val="bottom"/>
            <w:vMerge w:val="restart"/>
          </w:tcPr>
          <w:p>
            <w:pPr>
              <w:jc w:val="center"/>
              <w:ind w:right="208"/>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2"/>
                <w:szCs w:val="12"/>
                <w:color w:val="auto"/>
              </w:rPr>
            </w:pPr>
          </w:p>
        </w:tc>
        <w:tc>
          <w:tcPr>
            <w:tcW w:w="940" w:type="dxa"/>
            <w:vAlign w:val="bottom"/>
          </w:tcPr>
          <w:p>
            <w:pPr>
              <w:jc w:val="center"/>
              <w:ind w:right="28"/>
              <w:spacing w:after="0" w:line="147" w:lineRule="exact"/>
              <w:rPr>
                <w:sz w:val="20"/>
                <w:szCs w:val="20"/>
                <w:color w:val="auto"/>
              </w:rPr>
            </w:pPr>
            <w:r>
              <w:rPr>
                <w:rFonts w:ascii="Arial" w:cs="Arial" w:eastAsia="Arial" w:hAnsi="Arial"/>
                <w:sz w:val="14"/>
                <w:szCs w:val="14"/>
                <w:b w:val="1"/>
                <w:bCs w:val="1"/>
                <w:color w:val="auto"/>
              </w:rPr>
              <w:t>Interest and</w:t>
            </w: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Cost of</w:t>
            </w:r>
          </w:p>
        </w:tc>
        <w:tc>
          <w:tcPr>
            <w:tcW w:w="300" w:type="dxa"/>
            <w:vAlign w:val="bottom"/>
          </w:tcPr>
          <w:p>
            <w:pPr>
              <w:spacing w:after="0"/>
              <w:rPr>
                <w:sz w:val="12"/>
                <w:szCs w:val="12"/>
                <w:color w:val="auto"/>
              </w:rPr>
            </w:pPr>
          </w:p>
        </w:tc>
        <w:tc>
          <w:tcPr>
            <w:tcW w:w="96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Cost of</w:t>
            </w:r>
          </w:p>
        </w:tc>
        <w:tc>
          <w:tcPr>
            <w:tcW w:w="260" w:type="dxa"/>
            <w:vAlign w:val="bottom"/>
          </w:tcPr>
          <w:p>
            <w:pPr>
              <w:spacing w:after="0"/>
              <w:rPr>
                <w:sz w:val="12"/>
                <w:szCs w:val="12"/>
                <w:color w:val="auto"/>
              </w:rPr>
            </w:pPr>
          </w:p>
        </w:tc>
        <w:tc>
          <w:tcPr>
            <w:tcW w:w="1280" w:type="dxa"/>
            <w:vAlign w:val="bottom"/>
          </w:tcPr>
          <w:p>
            <w:pPr>
              <w:jc w:val="center"/>
              <w:ind w:right="148"/>
              <w:spacing w:after="0" w:line="149" w:lineRule="exact"/>
              <w:rPr>
                <w:sz w:val="20"/>
                <w:szCs w:val="20"/>
                <w:color w:val="auto"/>
              </w:rPr>
            </w:pPr>
            <w:r>
              <w:rPr>
                <w:rFonts w:ascii="Arial" w:cs="Arial" w:eastAsia="Arial" w:hAnsi="Arial"/>
                <w:sz w:val="14"/>
                <w:szCs w:val="14"/>
                <w:b w:val="1"/>
                <w:bCs w:val="1"/>
                <w:color w:val="auto"/>
              </w:rPr>
              <w:t>General and</w:t>
            </w:r>
          </w:p>
        </w:tc>
        <w:tc>
          <w:tcPr>
            <w:tcW w:w="30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4"/>
        </w:trPr>
        <w:tc>
          <w:tcPr>
            <w:tcW w:w="3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Net Sales</w:t>
            </w:r>
          </w:p>
        </w:tc>
        <w:tc>
          <w:tcPr>
            <w:tcW w:w="3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jc w:val="center"/>
              <w:ind w:right="168"/>
              <w:spacing w:after="0" w:line="145" w:lineRule="exact"/>
              <w:rPr>
                <w:sz w:val="20"/>
                <w:szCs w:val="20"/>
                <w:color w:val="auto"/>
              </w:rPr>
            </w:pPr>
            <w:r>
              <w:rPr>
                <w:rFonts w:ascii="Arial" w:cs="Arial" w:eastAsia="Arial" w:hAnsi="Arial"/>
                <w:sz w:val="14"/>
                <w:szCs w:val="14"/>
                <w:b w:val="1"/>
                <w:bCs w:val="1"/>
                <w:color w:val="auto"/>
              </w:rPr>
              <w:t>Administrative</w:t>
            </w:r>
          </w:p>
        </w:tc>
        <w:tc>
          <w:tcPr>
            <w:tcW w:w="300" w:type="dxa"/>
            <w:vAlign w:val="bottom"/>
          </w:tcPr>
          <w:p>
            <w:pPr>
              <w:spacing w:after="0"/>
              <w:rPr>
                <w:sz w:val="12"/>
                <w:szCs w:val="12"/>
                <w:color w:val="auto"/>
              </w:rPr>
            </w:pPr>
          </w:p>
        </w:tc>
        <w:tc>
          <w:tcPr>
            <w:tcW w:w="980" w:type="dxa"/>
            <w:vAlign w:val="bottom"/>
          </w:tcPr>
          <w:p>
            <w:pPr>
              <w:jc w:val="center"/>
              <w:ind w:right="188"/>
              <w:spacing w:after="0" w:line="145" w:lineRule="exact"/>
              <w:rPr>
                <w:sz w:val="20"/>
                <w:szCs w:val="20"/>
                <w:color w:val="auto"/>
              </w:rPr>
            </w:pPr>
            <w:r>
              <w:rPr>
                <w:rFonts w:ascii="Arial" w:cs="Arial" w:eastAsia="Arial" w:hAnsi="Arial"/>
                <w:sz w:val="14"/>
                <w:szCs w:val="14"/>
                <w:b w:val="1"/>
                <w:bCs w:val="1"/>
                <w:color w:val="auto"/>
              </w:rPr>
              <w:t>(Income)</w:t>
            </w:r>
          </w:p>
        </w:tc>
        <w:tc>
          <w:tcPr>
            <w:tcW w:w="220" w:type="dxa"/>
            <w:vAlign w:val="bottom"/>
          </w:tcPr>
          <w:p>
            <w:pPr>
              <w:spacing w:after="0"/>
              <w:rPr>
                <w:sz w:val="12"/>
                <w:szCs w:val="12"/>
                <w:color w:val="auto"/>
              </w:rPr>
            </w:pPr>
          </w:p>
        </w:tc>
        <w:tc>
          <w:tcPr>
            <w:tcW w:w="940" w:type="dxa"/>
            <w:vAlign w:val="bottom"/>
          </w:tcPr>
          <w:p>
            <w:pPr>
              <w:jc w:val="center"/>
              <w:ind w:right="28"/>
              <w:spacing w:after="0" w:line="145" w:lineRule="exact"/>
              <w:rPr>
                <w:sz w:val="20"/>
                <w:szCs w:val="20"/>
                <w:color w:val="auto"/>
              </w:rPr>
            </w:pPr>
            <w:r>
              <w:rPr>
                <w:rFonts w:ascii="Arial" w:cs="Arial" w:eastAsia="Arial" w:hAnsi="Arial"/>
                <w:sz w:val="14"/>
                <w:szCs w:val="14"/>
                <w:b w:val="1"/>
                <w:bCs w:val="1"/>
                <w:color w:val="auto"/>
              </w:rPr>
              <w:t>Financial</w:t>
            </w:r>
          </w:p>
        </w:tc>
        <w:tc>
          <w:tcPr>
            <w:tcW w:w="0" w:type="dxa"/>
            <w:vAlign w:val="bottom"/>
          </w:tcPr>
          <w:p>
            <w:pPr>
              <w:spacing w:after="0"/>
              <w:rPr>
                <w:sz w:val="1"/>
                <w:szCs w:val="1"/>
                <w:color w:val="auto"/>
              </w:rPr>
            </w:pPr>
          </w:p>
        </w:tc>
      </w:tr>
      <w:tr>
        <w:trPr>
          <w:trHeight w:val="189"/>
        </w:trPr>
        <w:tc>
          <w:tcPr>
            <w:tcW w:w="3620" w:type="dxa"/>
            <w:vAlign w:val="bottom"/>
            <w:tcBorders>
              <w:bottom w:val="single" w:sz="8" w:color="D7282F"/>
            </w:tcBorders>
          </w:tcPr>
          <w:p>
            <w:pPr>
              <w:spacing w:after="0"/>
              <w:rPr>
                <w:sz w:val="16"/>
                <w:szCs w:val="16"/>
                <w:color w:val="auto"/>
              </w:rPr>
            </w:pPr>
          </w:p>
        </w:tc>
        <w:tc>
          <w:tcPr>
            <w:tcW w:w="140" w:type="dxa"/>
            <w:vAlign w:val="bottom"/>
            <w:tcBorders>
              <w:bottom w:val="single" w:sz="8" w:color="D7282F"/>
            </w:tcBorders>
          </w:tcPr>
          <w:p>
            <w:pPr>
              <w:spacing w:after="0"/>
              <w:rPr>
                <w:sz w:val="16"/>
                <w:szCs w:val="16"/>
                <w:color w:val="auto"/>
              </w:rPr>
            </w:pPr>
          </w:p>
        </w:tc>
        <w:tc>
          <w:tcPr>
            <w:tcW w:w="960" w:type="dxa"/>
            <w:vAlign w:val="bottom"/>
            <w:tcBorders>
              <w:bottom w:val="single" w:sz="8" w:color="D7282F"/>
            </w:tcBorders>
            <w:vMerge w:val="continue"/>
          </w:tcPr>
          <w:p>
            <w:pPr>
              <w:spacing w:after="0"/>
              <w:rPr>
                <w:sz w:val="16"/>
                <w:szCs w:val="16"/>
                <w:color w:val="auto"/>
              </w:rPr>
            </w:pPr>
          </w:p>
        </w:tc>
        <w:tc>
          <w:tcPr>
            <w:tcW w:w="1280" w:type="dxa"/>
            <w:vAlign w:val="bottom"/>
            <w:tcBorders>
              <w:bottom w:val="single" w:sz="8" w:color="D7282F"/>
            </w:tcBorders>
            <w:gridSpan w:val="2"/>
          </w:tcPr>
          <w:p>
            <w:pPr>
              <w:ind w:left="180"/>
              <w:spacing w:after="0"/>
              <w:rPr>
                <w:sz w:val="20"/>
                <w:szCs w:val="20"/>
                <w:color w:val="auto"/>
              </w:rPr>
            </w:pPr>
            <w:r>
              <w:rPr>
                <w:rFonts w:ascii="Arial" w:cs="Arial" w:eastAsia="Arial" w:hAnsi="Arial"/>
                <w:sz w:val="14"/>
                <w:szCs w:val="14"/>
                <w:b w:val="1"/>
                <w:bCs w:val="1"/>
                <w:color w:val="auto"/>
              </w:rPr>
              <w:t>Products Sold</w:t>
            </w:r>
          </w:p>
        </w:tc>
        <w:tc>
          <w:tcPr>
            <w:tcW w:w="1260" w:type="dxa"/>
            <w:vAlign w:val="bottom"/>
            <w:tcBorders>
              <w:bottom w:val="single" w:sz="8" w:color="D7282F"/>
            </w:tcBorders>
            <w:gridSpan w:val="2"/>
          </w:tcPr>
          <w:p>
            <w:pPr>
              <w:ind w:left="180"/>
              <w:spacing w:after="0"/>
              <w:rPr>
                <w:sz w:val="20"/>
                <w:szCs w:val="20"/>
                <w:color w:val="auto"/>
              </w:rPr>
            </w:pPr>
            <w:r>
              <w:rPr>
                <w:rFonts w:ascii="Arial" w:cs="Arial" w:eastAsia="Arial" w:hAnsi="Arial"/>
                <w:sz w:val="14"/>
                <w:szCs w:val="14"/>
                <w:b w:val="1"/>
                <w:bCs w:val="1"/>
                <w:color w:val="auto"/>
              </w:rPr>
              <w:t>Services Sold</w:t>
            </w:r>
          </w:p>
        </w:tc>
        <w:tc>
          <w:tcPr>
            <w:tcW w:w="260" w:type="dxa"/>
            <w:vAlign w:val="bottom"/>
            <w:tcBorders>
              <w:bottom w:val="single" w:sz="8" w:color="D7282F"/>
            </w:tcBorders>
          </w:tcPr>
          <w:p>
            <w:pPr>
              <w:spacing w:after="0"/>
              <w:rPr>
                <w:sz w:val="16"/>
                <w:szCs w:val="16"/>
                <w:color w:val="auto"/>
              </w:rPr>
            </w:pPr>
          </w:p>
        </w:tc>
        <w:tc>
          <w:tcPr>
            <w:tcW w:w="1280" w:type="dxa"/>
            <w:vAlign w:val="bottom"/>
            <w:tcBorders>
              <w:bottom w:val="single" w:sz="8" w:color="D7282F"/>
            </w:tcBorders>
          </w:tcPr>
          <w:p>
            <w:pPr>
              <w:jc w:val="center"/>
              <w:ind w:right="148"/>
              <w:spacing w:after="0"/>
              <w:rPr>
                <w:sz w:val="20"/>
                <w:szCs w:val="20"/>
                <w:color w:val="auto"/>
              </w:rPr>
            </w:pPr>
            <w:r>
              <w:rPr>
                <w:rFonts w:ascii="Arial" w:cs="Arial" w:eastAsia="Arial" w:hAnsi="Arial"/>
                <w:sz w:val="14"/>
                <w:szCs w:val="14"/>
                <w:b w:val="1"/>
                <w:bCs w:val="1"/>
                <w:color w:val="auto"/>
              </w:rPr>
              <w:t>Expenses</w:t>
            </w:r>
          </w:p>
        </w:tc>
        <w:tc>
          <w:tcPr>
            <w:tcW w:w="300" w:type="dxa"/>
            <w:vAlign w:val="bottom"/>
            <w:tcBorders>
              <w:bottom w:val="single" w:sz="8" w:color="D7282F"/>
            </w:tcBorders>
          </w:tcPr>
          <w:p>
            <w:pPr>
              <w:spacing w:after="0"/>
              <w:rPr>
                <w:sz w:val="16"/>
                <w:szCs w:val="16"/>
                <w:color w:val="auto"/>
              </w:rPr>
            </w:pPr>
          </w:p>
        </w:tc>
        <w:tc>
          <w:tcPr>
            <w:tcW w:w="980" w:type="dxa"/>
            <w:vAlign w:val="bottom"/>
            <w:tcBorders>
              <w:bottom w:val="single" w:sz="8" w:color="D7282F"/>
            </w:tcBorders>
          </w:tcPr>
          <w:p>
            <w:pPr>
              <w:jc w:val="center"/>
              <w:ind w:right="208"/>
              <w:spacing w:after="0"/>
              <w:rPr>
                <w:sz w:val="20"/>
                <w:szCs w:val="20"/>
                <w:color w:val="auto"/>
              </w:rPr>
            </w:pPr>
            <w:r>
              <w:rPr>
                <w:rFonts w:ascii="Arial" w:cs="Arial" w:eastAsia="Arial" w:hAnsi="Arial"/>
                <w:sz w:val="14"/>
                <w:szCs w:val="14"/>
                <w:b w:val="1"/>
                <w:bCs w:val="1"/>
                <w:color w:val="auto"/>
              </w:rPr>
              <w:t>Expense</w:t>
            </w:r>
          </w:p>
        </w:tc>
        <w:tc>
          <w:tcPr>
            <w:tcW w:w="22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center"/>
              <w:ind w:right="28"/>
              <w:spacing w:after="0"/>
              <w:rPr>
                <w:sz w:val="20"/>
                <w:szCs w:val="20"/>
                <w:color w:val="auto"/>
              </w:rPr>
            </w:pPr>
            <w:r>
              <w:rPr>
                <w:rFonts w:ascii="Arial" w:cs="Arial" w:eastAsia="Arial" w:hAnsi="Arial"/>
                <w:sz w:val="14"/>
                <w:szCs w:val="14"/>
                <w:b w:val="1"/>
                <w:bCs w:val="1"/>
                <w:color w:val="auto"/>
                <w:w w:val="99"/>
              </w:rPr>
              <w:t>Charges</w:t>
            </w:r>
          </w:p>
        </w:tc>
        <w:tc>
          <w:tcPr>
            <w:tcW w:w="0" w:type="dxa"/>
            <w:vAlign w:val="bottom"/>
          </w:tcPr>
          <w:p>
            <w:pPr>
              <w:spacing w:after="0"/>
              <w:rPr>
                <w:sz w:val="1"/>
                <w:szCs w:val="1"/>
                <w:color w:val="auto"/>
              </w:rPr>
            </w:pPr>
          </w:p>
        </w:tc>
      </w:tr>
      <w:tr>
        <w:trPr>
          <w:trHeight w:val="192"/>
        </w:trPr>
        <w:tc>
          <w:tcPr>
            <w:tcW w:w="3760" w:type="dxa"/>
            <w:vAlign w:val="bottom"/>
            <w:tcBorders>
              <w:bottom w:val="single" w:sz="8" w:color="61656A"/>
            </w:tcBorders>
            <w:gridSpan w:val="2"/>
          </w:tcPr>
          <w:p>
            <w:pPr>
              <w:ind w:left="364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9,105</w:t>
            </w:r>
          </w:p>
        </w:tc>
        <w:tc>
          <w:tcPr>
            <w:tcW w:w="320" w:type="dxa"/>
            <w:vAlign w:val="bottom"/>
            <w:tcBorders>
              <w:bottom w:val="single" w:sz="8" w:color="61656A"/>
            </w:tcBorders>
          </w:tcPr>
          <w:p>
            <w:pPr>
              <w:ind w:left="16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4,035</w:t>
            </w:r>
          </w:p>
        </w:tc>
        <w:tc>
          <w:tcPr>
            <w:tcW w:w="3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1,548</w:t>
            </w:r>
          </w:p>
        </w:tc>
        <w:tc>
          <w:tcPr>
            <w:tcW w:w="2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1,302</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(231)</w:t>
            </w:r>
          </w:p>
        </w:tc>
        <w:tc>
          <w:tcPr>
            <w:tcW w:w="2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220</w:t>
            </w:r>
          </w:p>
        </w:tc>
        <w:tc>
          <w:tcPr>
            <w:tcW w:w="0" w:type="dxa"/>
            <w:vAlign w:val="bottom"/>
          </w:tcPr>
          <w:p>
            <w:pPr>
              <w:spacing w:after="0"/>
              <w:rPr>
                <w:sz w:val="1"/>
                <w:szCs w:val="1"/>
                <w:color w:val="auto"/>
              </w:rPr>
            </w:pPr>
          </w:p>
        </w:tc>
      </w:tr>
      <w:tr>
        <w:trPr>
          <w:trHeight w:val="199"/>
        </w:trPr>
        <w:tc>
          <w:tcPr>
            <w:tcW w:w="3760" w:type="dxa"/>
            <w:vAlign w:val="bottom"/>
            <w:tcBorders>
              <w:bottom w:val="single" w:sz="8" w:color="61656A"/>
            </w:tcBorders>
            <w:gridSpan w:val="2"/>
          </w:tcPr>
          <w:p>
            <w:pPr>
              <w:ind w:left="20"/>
              <w:spacing w:after="0"/>
              <w:rPr>
                <w:sz w:val="20"/>
                <w:szCs w:val="20"/>
                <w:color w:val="auto"/>
              </w:rPr>
            </w:pPr>
            <w:r>
              <w:rPr>
                <w:rFonts w:ascii="Arial" w:cs="Arial" w:eastAsia="Arial" w:hAnsi="Arial"/>
                <w:sz w:val="14"/>
                <w:szCs w:val="14"/>
                <w:b w:val="1"/>
                <w:bCs w:val="1"/>
                <w:color w:val="auto"/>
              </w:rPr>
              <w:t>Gain or (loss) on cash flow hedges</w:t>
            </w:r>
          </w:p>
        </w:tc>
        <w:tc>
          <w:tcPr>
            <w:tcW w:w="96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960" w:type="dxa"/>
            <w:vAlign w:val="bottom"/>
            <w:tcBorders>
              <w:bottom w:val="single" w:sz="8" w:color="61656A"/>
            </w:tcBorders>
          </w:tcPr>
          <w:p>
            <w:pPr>
              <w:spacing w:after="0"/>
              <w:rPr>
                <w:sz w:val="17"/>
                <w:szCs w:val="17"/>
                <w:color w:val="auto"/>
              </w:rPr>
            </w:pPr>
          </w:p>
        </w:tc>
        <w:tc>
          <w:tcPr>
            <w:tcW w:w="300" w:type="dxa"/>
            <w:vAlign w:val="bottom"/>
            <w:tcBorders>
              <w:bottom w:val="single" w:sz="8" w:color="61656A"/>
            </w:tcBorders>
          </w:tcPr>
          <w:p>
            <w:pPr>
              <w:spacing w:after="0"/>
              <w:rPr>
                <w:sz w:val="17"/>
                <w:szCs w:val="17"/>
                <w:color w:val="auto"/>
              </w:rPr>
            </w:pPr>
          </w:p>
        </w:tc>
        <w:tc>
          <w:tcPr>
            <w:tcW w:w="96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spacing w:after="0"/>
              <w:rPr>
                <w:sz w:val="17"/>
                <w:szCs w:val="17"/>
                <w:color w:val="auto"/>
              </w:rPr>
            </w:pPr>
          </w:p>
        </w:tc>
        <w:tc>
          <w:tcPr>
            <w:tcW w:w="300" w:type="dxa"/>
            <w:vAlign w:val="bottom"/>
            <w:tcBorders>
              <w:bottom w:val="single" w:sz="8" w:color="61656A"/>
            </w:tcBorders>
          </w:tcPr>
          <w:p>
            <w:pPr>
              <w:spacing w:after="0"/>
              <w:rPr>
                <w:sz w:val="17"/>
                <w:szCs w:val="17"/>
                <w:color w:val="auto"/>
              </w:rPr>
            </w:pPr>
          </w:p>
        </w:tc>
        <w:tc>
          <w:tcPr>
            <w:tcW w:w="98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760" w:type="dxa"/>
            <w:vAlign w:val="bottom"/>
            <w:tcBorders>
              <w:bottom w:val="single" w:sz="8" w:color="61656A"/>
            </w:tcBorders>
            <w:gridSpan w:val="2"/>
          </w:tcPr>
          <w:p>
            <w:pPr>
              <w:ind w:left="140"/>
              <w:spacing w:after="0"/>
              <w:rPr>
                <w:sz w:val="20"/>
                <w:szCs w:val="20"/>
                <w:color w:val="auto"/>
              </w:rPr>
            </w:pPr>
            <w:r>
              <w:rPr>
                <w:rFonts w:ascii="Arial" w:cs="Arial" w:eastAsia="Arial" w:hAnsi="Arial"/>
                <w:sz w:val="14"/>
                <w:szCs w:val="14"/>
                <w:color w:val="auto"/>
              </w:rPr>
              <w:t>Foreign currency exchange contracts</w:t>
            </w:r>
          </w:p>
        </w:tc>
        <w:tc>
          <w:tcPr>
            <w:tcW w:w="96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spacing w:after="0"/>
              <w:rPr>
                <w:sz w:val="16"/>
                <w:szCs w:val="16"/>
                <w:color w:val="auto"/>
              </w:rPr>
            </w:pPr>
          </w:p>
        </w:tc>
        <w:tc>
          <w:tcPr>
            <w:tcW w:w="30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1280" w:type="dxa"/>
            <w:vAlign w:val="bottom"/>
            <w:tcBorders>
              <w:bottom w:val="single" w:sz="8" w:color="61656A"/>
            </w:tcBorders>
          </w:tcPr>
          <w:p>
            <w:pPr>
              <w:spacing w:after="0"/>
              <w:rPr>
                <w:sz w:val="16"/>
                <w:szCs w:val="16"/>
                <w:color w:val="auto"/>
              </w:rPr>
            </w:pPr>
          </w:p>
        </w:tc>
        <w:tc>
          <w:tcPr>
            <w:tcW w:w="300" w:type="dxa"/>
            <w:vAlign w:val="bottom"/>
            <w:tcBorders>
              <w:bottom w:val="single" w:sz="8" w:color="61656A"/>
            </w:tcBorders>
          </w:tcPr>
          <w:p>
            <w:pPr>
              <w:spacing w:after="0"/>
              <w:rPr>
                <w:sz w:val="16"/>
                <w:szCs w:val="16"/>
                <w:color w:val="auto"/>
              </w:rPr>
            </w:pPr>
          </w:p>
        </w:tc>
        <w:tc>
          <w:tcPr>
            <w:tcW w:w="98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3760" w:type="dxa"/>
            <w:vAlign w:val="bottom"/>
            <w:gridSpan w:val="2"/>
          </w:tcPr>
          <w:p>
            <w:pPr>
              <w:ind w:left="240"/>
              <w:spacing w:after="0" w:line="151" w:lineRule="exact"/>
              <w:rPr>
                <w:sz w:val="20"/>
                <w:szCs w:val="20"/>
                <w:color w:val="auto"/>
              </w:rPr>
            </w:pPr>
            <w:r>
              <w:rPr>
                <w:rFonts w:ascii="Arial" w:cs="Arial" w:eastAsia="Arial" w:hAnsi="Arial"/>
                <w:sz w:val="14"/>
                <w:szCs w:val="14"/>
                <w:color w:val="auto"/>
              </w:rPr>
              <w:t>Amount reclassified from accumulated other</w:t>
            </w:r>
          </w:p>
        </w:tc>
        <w:tc>
          <w:tcPr>
            <w:tcW w:w="960" w:type="dxa"/>
            <w:vAlign w:val="bottom"/>
            <w:vMerge w:val="restart"/>
          </w:tcPr>
          <w:p>
            <w:pPr>
              <w:jc w:val="right"/>
              <w:ind w:right="68"/>
              <w:spacing w:after="0"/>
              <w:rPr>
                <w:sz w:val="20"/>
                <w:szCs w:val="20"/>
                <w:color w:val="auto"/>
              </w:rPr>
            </w:pPr>
            <w:r>
              <w:rPr>
                <w:rFonts w:ascii="Arial" w:cs="Arial" w:eastAsia="Arial" w:hAnsi="Arial"/>
                <w:sz w:val="14"/>
                <w:szCs w:val="14"/>
                <w:color w:val="auto"/>
              </w:rPr>
              <w:t>1</w:t>
            </w:r>
          </w:p>
        </w:tc>
        <w:tc>
          <w:tcPr>
            <w:tcW w:w="320" w:type="dxa"/>
            <w:vAlign w:val="bottom"/>
          </w:tcPr>
          <w:p>
            <w:pPr>
              <w:spacing w:after="0"/>
              <w:rPr>
                <w:sz w:val="13"/>
                <w:szCs w:val="13"/>
                <w:color w:val="auto"/>
              </w:rPr>
            </w:pPr>
          </w:p>
        </w:tc>
        <w:tc>
          <w:tcPr>
            <w:tcW w:w="960" w:type="dxa"/>
            <w:vAlign w:val="bottom"/>
            <w:vMerge w:val="restart"/>
          </w:tcPr>
          <w:p>
            <w:pPr>
              <w:jc w:val="right"/>
              <w:ind w:right="108"/>
              <w:spacing w:after="0"/>
              <w:rPr>
                <w:sz w:val="20"/>
                <w:szCs w:val="20"/>
                <w:color w:val="auto"/>
              </w:rPr>
            </w:pPr>
            <w:r>
              <w:rPr>
                <w:rFonts w:ascii="Arial" w:cs="Arial" w:eastAsia="Arial" w:hAnsi="Arial"/>
                <w:sz w:val="14"/>
                <w:szCs w:val="14"/>
                <w:color w:val="auto"/>
              </w:rPr>
              <w:t>2</w:t>
            </w:r>
          </w:p>
        </w:tc>
        <w:tc>
          <w:tcPr>
            <w:tcW w:w="300" w:type="dxa"/>
            <w:vAlign w:val="bottom"/>
          </w:tcPr>
          <w:p>
            <w:pPr>
              <w:spacing w:after="0"/>
              <w:rPr>
                <w:sz w:val="13"/>
                <w:szCs w:val="13"/>
                <w:color w:val="auto"/>
              </w:rPr>
            </w:pPr>
          </w:p>
        </w:tc>
        <w:tc>
          <w:tcPr>
            <w:tcW w:w="960" w:type="dxa"/>
            <w:vAlign w:val="bottom"/>
            <w:vMerge w:val="restart"/>
          </w:tcPr>
          <w:p>
            <w:pPr>
              <w:jc w:val="right"/>
              <w:ind w:right="88"/>
              <w:spacing w:after="0"/>
              <w:rPr>
                <w:sz w:val="20"/>
                <w:szCs w:val="20"/>
                <w:color w:val="auto"/>
              </w:rPr>
            </w:pPr>
            <w:r>
              <w:rPr>
                <w:rFonts w:ascii="Arial" w:cs="Arial" w:eastAsia="Arial" w:hAnsi="Arial"/>
                <w:sz w:val="14"/>
                <w:szCs w:val="14"/>
                <w:color w:val="auto"/>
              </w:rPr>
              <w:t>1</w:t>
            </w:r>
          </w:p>
        </w:tc>
        <w:tc>
          <w:tcPr>
            <w:tcW w:w="260" w:type="dxa"/>
            <w:vAlign w:val="bottom"/>
          </w:tcPr>
          <w:p>
            <w:pPr>
              <w:spacing w:after="0"/>
              <w:rPr>
                <w:sz w:val="13"/>
                <w:szCs w:val="13"/>
                <w:color w:val="auto"/>
              </w:rPr>
            </w:pPr>
          </w:p>
        </w:tc>
        <w:tc>
          <w:tcPr>
            <w:tcW w:w="1280" w:type="dxa"/>
            <w:vAlign w:val="bottom"/>
            <w:vMerge w:val="restart"/>
          </w:tcPr>
          <w:p>
            <w:pPr>
              <w:jc w:val="right"/>
              <w:ind w:right="88"/>
              <w:spacing w:after="0"/>
              <w:rPr>
                <w:sz w:val="20"/>
                <w:szCs w:val="20"/>
                <w:color w:val="auto"/>
              </w:rPr>
            </w:pPr>
            <w:r>
              <w:rPr>
                <w:rFonts w:ascii="Arial" w:cs="Arial" w:eastAsia="Arial" w:hAnsi="Arial"/>
                <w:sz w:val="14"/>
                <w:szCs w:val="14"/>
                <w:color w:val="auto"/>
              </w:rPr>
              <w:t>1</w:t>
            </w:r>
          </w:p>
        </w:tc>
        <w:tc>
          <w:tcPr>
            <w:tcW w:w="300" w:type="dxa"/>
            <w:vAlign w:val="bottom"/>
          </w:tcPr>
          <w:p>
            <w:pPr>
              <w:spacing w:after="0"/>
              <w:rPr>
                <w:sz w:val="13"/>
                <w:szCs w:val="13"/>
                <w:color w:val="auto"/>
              </w:rPr>
            </w:pPr>
          </w:p>
        </w:tc>
        <w:tc>
          <w:tcPr>
            <w:tcW w:w="9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3760" w:type="dxa"/>
            <w:vAlign w:val="bottom"/>
            <w:tcBorders>
              <w:bottom w:val="single" w:sz="8" w:color="61656A"/>
            </w:tcBorders>
            <w:gridSpan w:val="2"/>
          </w:tcPr>
          <w:p>
            <w:pPr>
              <w:ind w:left="240"/>
              <w:spacing w:after="0"/>
              <w:rPr>
                <w:sz w:val="20"/>
                <w:szCs w:val="20"/>
                <w:color w:val="auto"/>
              </w:rPr>
            </w:pPr>
            <w:r>
              <w:rPr>
                <w:rFonts w:ascii="Arial" w:cs="Arial" w:eastAsia="Arial" w:hAnsi="Arial"/>
                <w:sz w:val="14"/>
                <w:szCs w:val="14"/>
                <w:color w:val="auto"/>
              </w:rPr>
              <w:t>comprehensive income (loss) into income</w:t>
            </w:r>
          </w:p>
        </w:tc>
        <w:tc>
          <w:tcPr>
            <w:tcW w:w="960" w:type="dxa"/>
            <w:vAlign w:val="bottom"/>
            <w:tcBorders>
              <w:bottom w:val="single" w:sz="8" w:color="61656A"/>
            </w:tcBorders>
            <w:vMerge w:val="continue"/>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vMerge w:val="continue"/>
          </w:tcPr>
          <w:p>
            <w:pPr>
              <w:spacing w:after="0"/>
              <w:rPr>
                <w:sz w:val="16"/>
                <w:szCs w:val="16"/>
                <w:color w:val="auto"/>
              </w:rPr>
            </w:pPr>
          </w:p>
        </w:tc>
        <w:tc>
          <w:tcPr>
            <w:tcW w:w="30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vMerge w:val="continue"/>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1280" w:type="dxa"/>
            <w:vAlign w:val="bottom"/>
            <w:tcBorders>
              <w:bottom w:val="single" w:sz="8" w:color="61656A"/>
            </w:tcBorders>
            <w:vMerge w:val="continue"/>
          </w:tcPr>
          <w:p>
            <w:pPr>
              <w:spacing w:after="0"/>
              <w:rPr>
                <w:sz w:val="16"/>
                <w:szCs w:val="16"/>
                <w:color w:val="auto"/>
              </w:rPr>
            </w:pPr>
          </w:p>
        </w:tc>
        <w:tc>
          <w:tcPr>
            <w:tcW w:w="300" w:type="dxa"/>
            <w:vAlign w:val="bottom"/>
            <w:tcBorders>
              <w:bottom w:val="single" w:sz="8" w:color="61656A"/>
            </w:tcBorders>
          </w:tcPr>
          <w:p>
            <w:pPr>
              <w:spacing w:after="0"/>
              <w:rPr>
                <w:sz w:val="16"/>
                <w:szCs w:val="16"/>
                <w:color w:val="auto"/>
              </w:rPr>
            </w:pPr>
          </w:p>
        </w:tc>
        <w:tc>
          <w:tcPr>
            <w:tcW w:w="980" w:type="dxa"/>
            <w:vAlign w:val="bottom"/>
            <w:tcBorders>
              <w:bottom w:val="single" w:sz="8" w:color="61656A"/>
            </w:tcBorders>
            <w:vMerge w:val="continue"/>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760" w:type="dxa"/>
            <w:vAlign w:val="bottom"/>
            <w:tcBorders>
              <w:bottom w:val="single" w:sz="8" w:color="61656A"/>
            </w:tcBorders>
            <w:gridSpan w:val="2"/>
          </w:tcPr>
          <w:p>
            <w:pPr>
              <w:ind w:left="20"/>
              <w:spacing w:after="0"/>
              <w:rPr>
                <w:sz w:val="20"/>
                <w:szCs w:val="20"/>
                <w:color w:val="auto"/>
              </w:rPr>
            </w:pPr>
            <w:r>
              <w:rPr>
                <w:rFonts w:ascii="Arial" w:cs="Arial" w:eastAsia="Arial" w:hAnsi="Arial"/>
                <w:sz w:val="14"/>
                <w:szCs w:val="14"/>
                <w:b w:val="1"/>
                <w:bCs w:val="1"/>
                <w:color w:val="auto"/>
              </w:rPr>
              <w:t>Gain or (loss) on fair value hedges</w:t>
            </w:r>
          </w:p>
        </w:tc>
        <w:tc>
          <w:tcPr>
            <w:tcW w:w="96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spacing w:after="0"/>
              <w:rPr>
                <w:sz w:val="16"/>
                <w:szCs w:val="16"/>
                <w:color w:val="auto"/>
              </w:rPr>
            </w:pPr>
          </w:p>
        </w:tc>
        <w:tc>
          <w:tcPr>
            <w:tcW w:w="30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1280" w:type="dxa"/>
            <w:vAlign w:val="bottom"/>
            <w:tcBorders>
              <w:bottom w:val="single" w:sz="8" w:color="61656A"/>
            </w:tcBorders>
          </w:tcPr>
          <w:p>
            <w:pPr>
              <w:spacing w:after="0"/>
              <w:rPr>
                <w:sz w:val="16"/>
                <w:szCs w:val="16"/>
                <w:color w:val="auto"/>
              </w:rPr>
            </w:pPr>
          </w:p>
        </w:tc>
        <w:tc>
          <w:tcPr>
            <w:tcW w:w="300" w:type="dxa"/>
            <w:vAlign w:val="bottom"/>
            <w:tcBorders>
              <w:bottom w:val="single" w:sz="8" w:color="61656A"/>
            </w:tcBorders>
          </w:tcPr>
          <w:p>
            <w:pPr>
              <w:spacing w:after="0"/>
              <w:rPr>
                <w:sz w:val="16"/>
                <w:szCs w:val="16"/>
                <w:color w:val="auto"/>
              </w:rPr>
            </w:pPr>
          </w:p>
        </w:tc>
        <w:tc>
          <w:tcPr>
            <w:tcW w:w="98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760" w:type="dxa"/>
            <w:vAlign w:val="bottom"/>
            <w:tcBorders>
              <w:bottom w:val="single" w:sz="8" w:color="61656A"/>
            </w:tcBorders>
            <w:gridSpan w:val="2"/>
          </w:tcPr>
          <w:p>
            <w:pPr>
              <w:ind w:left="140"/>
              <w:spacing w:after="0"/>
              <w:rPr>
                <w:sz w:val="20"/>
                <w:szCs w:val="20"/>
                <w:color w:val="auto"/>
              </w:rPr>
            </w:pPr>
            <w:r>
              <w:rPr>
                <w:rFonts w:ascii="Arial" w:cs="Arial" w:eastAsia="Arial" w:hAnsi="Arial"/>
                <w:sz w:val="14"/>
                <w:szCs w:val="14"/>
                <w:color w:val="auto"/>
              </w:rPr>
              <w:t>Interest rate swap agreements</w:t>
            </w:r>
          </w:p>
        </w:tc>
        <w:tc>
          <w:tcPr>
            <w:tcW w:w="96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spacing w:after="0"/>
              <w:rPr>
                <w:sz w:val="16"/>
                <w:szCs w:val="16"/>
                <w:color w:val="auto"/>
              </w:rPr>
            </w:pPr>
          </w:p>
        </w:tc>
        <w:tc>
          <w:tcPr>
            <w:tcW w:w="30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1280" w:type="dxa"/>
            <w:vAlign w:val="bottom"/>
            <w:tcBorders>
              <w:bottom w:val="single" w:sz="8" w:color="61656A"/>
            </w:tcBorders>
          </w:tcPr>
          <w:p>
            <w:pPr>
              <w:spacing w:after="0"/>
              <w:rPr>
                <w:sz w:val="16"/>
                <w:szCs w:val="16"/>
                <w:color w:val="auto"/>
              </w:rPr>
            </w:pPr>
          </w:p>
        </w:tc>
        <w:tc>
          <w:tcPr>
            <w:tcW w:w="300" w:type="dxa"/>
            <w:vAlign w:val="bottom"/>
            <w:tcBorders>
              <w:bottom w:val="single" w:sz="8" w:color="61656A"/>
            </w:tcBorders>
          </w:tcPr>
          <w:p>
            <w:pPr>
              <w:spacing w:after="0"/>
              <w:rPr>
                <w:sz w:val="16"/>
                <w:szCs w:val="16"/>
                <w:color w:val="auto"/>
              </w:rPr>
            </w:pPr>
          </w:p>
        </w:tc>
        <w:tc>
          <w:tcPr>
            <w:tcW w:w="98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760" w:type="dxa"/>
            <w:vAlign w:val="bottom"/>
            <w:tcBorders>
              <w:bottom w:val="single" w:sz="8" w:color="61656A"/>
            </w:tcBorders>
            <w:gridSpan w:val="2"/>
          </w:tcPr>
          <w:p>
            <w:pPr>
              <w:ind w:left="240"/>
              <w:spacing w:after="0"/>
              <w:rPr>
                <w:sz w:val="20"/>
                <w:szCs w:val="20"/>
                <w:color w:val="auto"/>
              </w:rPr>
            </w:pPr>
            <w:r>
              <w:rPr>
                <w:rFonts w:ascii="Arial" w:cs="Arial" w:eastAsia="Arial" w:hAnsi="Arial"/>
                <w:sz w:val="14"/>
                <w:szCs w:val="14"/>
                <w:color w:val="auto"/>
              </w:rPr>
              <w:t>Hedged items</w:t>
            </w:r>
          </w:p>
        </w:tc>
        <w:tc>
          <w:tcPr>
            <w:tcW w:w="96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1656A"/>
            </w:tcBorders>
          </w:tcPr>
          <w:p>
            <w:pPr>
              <w:spacing w:after="0"/>
              <w:rPr>
                <w:sz w:val="17"/>
                <w:szCs w:val="17"/>
                <w:color w:val="auto"/>
              </w:rPr>
            </w:pPr>
          </w:p>
        </w:tc>
        <w:tc>
          <w:tcPr>
            <w:tcW w:w="9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spacing w:after="0"/>
              <w:rPr>
                <w:sz w:val="17"/>
                <w:szCs w:val="17"/>
                <w:color w:val="auto"/>
              </w:rPr>
            </w:pPr>
          </w:p>
        </w:tc>
        <w:tc>
          <w:tcPr>
            <w:tcW w:w="9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spacing w:after="0"/>
              <w:rPr>
                <w:sz w:val="17"/>
                <w:szCs w:val="17"/>
                <w:color w:val="auto"/>
              </w:rPr>
            </w:pPr>
          </w:p>
        </w:tc>
        <w:tc>
          <w:tcPr>
            <w:tcW w:w="9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96"/>
        </w:trPr>
        <w:tc>
          <w:tcPr>
            <w:tcW w:w="3760" w:type="dxa"/>
            <w:vAlign w:val="bottom"/>
            <w:tcBorders>
              <w:bottom w:val="single" w:sz="8" w:color="61656A"/>
            </w:tcBorders>
            <w:gridSpan w:val="2"/>
          </w:tcPr>
          <w:p>
            <w:pPr>
              <w:ind w:left="240"/>
              <w:spacing w:after="0"/>
              <w:rPr>
                <w:sz w:val="20"/>
                <w:szCs w:val="20"/>
                <w:color w:val="auto"/>
              </w:rPr>
            </w:pPr>
            <w:r>
              <w:rPr>
                <w:rFonts w:ascii="Arial" w:cs="Arial" w:eastAsia="Arial" w:hAnsi="Arial"/>
                <w:sz w:val="14"/>
                <w:szCs w:val="14"/>
                <w:color w:val="auto"/>
              </w:rPr>
              <w:t>Derivatives designated as hedges</w:t>
            </w:r>
          </w:p>
        </w:tc>
        <w:tc>
          <w:tcPr>
            <w:tcW w:w="96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1656A"/>
            </w:tcBorders>
          </w:tcPr>
          <w:p>
            <w:pPr>
              <w:spacing w:after="0"/>
              <w:rPr>
                <w:sz w:val="17"/>
                <w:szCs w:val="17"/>
                <w:color w:val="auto"/>
              </w:rPr>
            </w:pPr>
          </w:p>
        </w:tc>
        <w:tc>
          <w:tcPr>
            <w:tcW w:w="9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spacing w:after="0"/>
              <w:rPr>
                <w:sz w:val="17"/>
                <w:szCs w:val="17"/>
                <w:color w:val="auto"/>
              </w:rPr>
            </w:pPr>
          </w:p>
        </w:tc>
        <w:tc>
          <w:tcPr>
            <w:tcW w:w="9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spacing w:after="0"/>
              <w:rPr>
                <w:sz w:val="17"/>
                <w:szCs w:val="17"/>
                <w:color w:val="auto"/>
              </w:rPr>
            </w:pPr>
          </w:p>
        </w:tc>
        <w:tc>
          <w:tcPr>
            <w:tcW w:w="9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50"/>
        </w:trPr>
        <w:tc>
          <w:tcPr>
            <w:tcW w:w="3760" w:type="dxa"/>
            <w:vAlign w:val="bottom"/>
            <w:gridSpan w:val="2"/>
          </w:tcPr>
          <w:p>
            <w:pPr>
              <w:ind w:left="20"/>
              <w:spacing w:after="0" w:line="151" w:lineRule="exact"/>
              <w:rPr>
                <w:sz w:val="20"/>
                <w:szCs w:val="20"/>
                <w:color w:val="auto"/>
              </w:rPr>
            </w:pPr>
            <w:r>
              <w:rPr>
                <w:rFonts w:ascii="Arial" w:cs="Arial" w:eastAsia="Arial" w:hAnsi="Arial"/>
                <w:sz w:val="14"/>
                <w:szCs w:val="14"/>
                <w:b w:val="1"/>
                <w:bCs w:val="1"/>
                <w:color w:val="auto"/>
              </w:rPr>
              <w:t>Gain or (loss) on derivatives not designated as</w:t>
            </w:r>
          </w:p>
        </w:tc>
        <w:tc>
          <w:tcPr>
            <w:tcW w:w="9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3760" w:type="dxa"/>
            <w:vAlign w:val="bottom"/>
            <w:tcBorders>
              <w:bottom w:val="single" w:sz="8" w:color="61656A"/>
            </w:tcBorders>
            <w:gridSpan w:val="2"/>
          </w:tcPr>
          <w:p>
            <w:pPr>
              <w:ind w:left="20"/>
              <w:spacing w:after="0"/>
              <w:rPr>
                <w:sz w:val="20"/>
                <w:szCs w:val="20"/>
                <w:color w:val="auto"/>
              </w:rPr>
            </w:pPr>
            <w:r>
              <w:rPr>
                <w:rFonts w:ascii="Arial" w:cs="Arial" w:eastAsia="Arial" w:hAnsi="Arial"/>
                <w:sz w:val="14"/>
                <w:szCs w:val="14"/>
                <w:b w:val="1"/>
                <w:bCs w:val="1"/>
                <w:color w:val="auto"/>
              </w:rPr>
              <w:t>hedging instruments</w:t>
            </w:r>
          </w:p>
        </w:tc>
        <w:tc>
          <w:tcPr>
            <w:tcW w:w="96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spacing w:after="0"/>
              <w:rPr>
                <w:sz w:val="16"/>
                <w:szCs w:val="16"/>
                <w:color w:val="auto"/>
              </w:rPr>
            </w:pPr>
          </w:p>
        </w:tc>
        <w:tc>
          <w:tcPr>
            <w:tcW w:w="30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1280" w:type="dxa"/>
            <w:vAlign w:val="bottom"/>
            <w:tcBorders>
              <w:bottom w:val="single" w:sz="8" w:color="61656A"/>
            </w:tcBorders>
          </w:tcPr>
          <w:p>
            <w:pPr>
              <w:spacing w:after="0"/>
              <w:rPr>
                <w:sz w:val="16"/>
                <w:szCs w:val="16"/>
                <w:color w:val="auto"/>
              </w:rPr>
            </w:pPr>
          </w:p>
        </w:tc>
        <w:tc>
          <w:tcPr>
            <w:tcW w:w="300" w:type="dxa"/>
            <w:vAlign w:val="bottom"/>
            <w:tcBorders>
              <w:bottom w:val="single" w:sz="8" w:color="61656A"/>
            </w:tcBorders>
          </w:tcPr>
          <w:p>
            <w:pPr>
              <w:spacing w:after="0"/>
              <w:rPr>
                <w:sz w:val="16"/>
                <w:szCs w:val="16"/>
                <w:color w:val="auto"/>
              </w:rPr>
            </w:pPr>
          </w:p>
        </w:tc>
        <w:tc>
          <w:tcPr>
            <w:tcW w:w="98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760" w:type="dxa"/>
            <w:vAlign w:val="bottom"/>
            <w:tcBorders>
              <w:bottom w:val="single" w:sz="8" w:color="D7282F"/>
            </w:tcBorders>
            <w:gridSpan w:val="2"/>
          </w:tcPr>
          <w:p>
            <w:pPr>
              <w:ind w:left="140"/>
              <w:spacing w:after="0"/>
              <w:rPr>
                <w:sz w:val="20"/>
                <w:szCs w:val="20"/>
                <w:color w:val="auto"/>
              </w:rPr>
            </w:pPr>
            <w:r>
              <w:rPr>
                <w:rFonts w:ascii="Arial" w:cs="Arial" w:eastAsia="Arial" w:hAnsi="Arial"/>
                <w:sz w:val="14"/>
                <w:szCs w:val="14"/>
                <w:color w:val="auto"/>
              </w:rPr>
              <w:t>Foreign currency exchange contracts</w:t>
            </w:r>
          </w:p>
        </w:tc>
        <w:tc>
          <w:tcPr>
            <w:tcW w:w="9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D7282F"/>
            </w:tcBorders>
          </w:tcPr>
          <w:p>
            <w:pPr>
              <w:spacing w:after="0"/>
              <w:rPr>
                <w:sz w:val="16"/>
                <w:szCs w:val="16"/>
                <w:color w:val="auto"/>
              </w:rPr>
            </w:pPr>
          </w:p>
        </w:tc>
        <w:tc>
          <w:tcPr>
            <w:tcW w:w="9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D7282F"/>
            </w:tcBorders>
          </w:tcPr>
          <w:p>
            <w:pPr>
              <w:spacing w:after="0"/>
              <w:rPr>
                <w:sz w:val="16"/>
                <w:szCs w:val="16"/>
                <w:color w:val="auto"/>
              </w:rPr>
            </w:pPr>
          </w:p>
        </w:tc>
        <w:tc>
          <w:tcPr>
            <w:tcW w:w="9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7282F"/>
            </w:tcBorders>
          </w:tcPr>
          <w:p>
            <w:pPr>
              <w:spacing w:after="0"/>
              <w:rPr>
                <w:sz w:val="16"/>
                <w:szCs w:val="16"/>
                <w:color w:val="auto"/>
              </w:rPr>
            </w:pPr>
          </w:p>
        </w:tc>
        <w:tc>
          <w:tcPr>
            <w:tcW w:w="12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D7282F"/>
            </w:tcBorders>
          </w:tcPr>
          <w:p>
            <w:pPr>
              <w:spacing w:after="0"/>
              <w:rPr>
                <w:sz w:val="16"/>
                <w:szCs w:val="16"/>
                <w:color w:val="auto"/>
              </w:rPr>
            </w:pPr>
          </w:p>
        </w:tc>
        <w:tc>
          <w:tcPr>
            <w:tcW w:w="9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23</w:t>
            </w:r>
          </w:p>
        </w:tc>
        <w:tc>
          <w:tcPr>
            <w:tcW w:w="22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29"/>
        </w:trPr>
        <w:tc>
          <w:tcPr>
            <w:tcW w:w="3620" w:type="dxa"/>
            <w:vAlign w:val="bottom"/>
          </w:tcPr>
          <w:p>
            <w:pPr>
              <w:spacing w:after="0"/>
              <w:rPr>
                <w:sz w:val="24"/>
                <w:szCs w:val="24"/>
                <w:color w:val="auto"/>
              </w:rPr>
            </w:pPr>
          </w:p>
        </w:tc>
        <w:tc>
          <w:tcPr>
            <w:tcW w:w="140" w:type="dxa"/>
            <w:vAlign w:val="bottom"/>
            <w:tcBorders>
              <w:bottom w:val="single" w:sz="8" w:color="D7282F"/>
            </w:tcBorders>
          </w:tcPr>
          <w:p>
            <w:pPr>
              <w:spacing w:after="0"/>
              <w:rPr>
                <w:sz w:val="24"/>
                <w:szCs w:val="24"/>
                <w:color w:val="auto"/>
              </w:rPr>
            </w:pPr>
          </w:p>
        </w:tc>
        <w:tc>
          <w:tcPr>
            <w:tcW w:w="960" w:type="dxa"/>
            <w:vAlign w:val="bottom"/>
            <w:tcBorders>
              <w:bottom w:val="single" w:sz="8" w:color="D7282F"/>
            </w:tcBorders>
          </w:tcPr>
          <w:p>
            <w:pPr>
              <w:spacing w:after="0"/>
              <w:rPr>
                <w:sz w:val="24"/>
                <w:szCs w:val="24"/>
                <w:color w:val="auto"/>
              </w:rPr>
            </w:pPr>
          </w:p>
        </w:tc>
        <w:tc>
          <w:tcPr>
            <w:tcW w:w="320" w:type="dxa"/>
            <w:vAlign w:val="bottom"/>
            <w:tcBorders>
              <w:bottom w:val="single" w:sz="8" w:color="D7282F"/>
            </w:tcBorders>
          </w:tcPr>
          <w:p>
            <w:pPr>
              <w:spacing w:after="0"/>
              <w:rPr>
                <w:sz w:val="24"/>
                <w:szCs w:val="24"/>
                <w:color w:val="auto"/>
              </w:rPr>
            </w:pPr>
          </w:p>
        </w:tc>
        <w:tc>
          <w:tcPr>
            <w:tcW w:w="960" w:type="dxa"/>
            <w:vAlign w:val="bottom"/>
            <w:tcBorders>
              <w:bottom w:val="single" w:sz="8" w:color="D7282F"/>
            </w:tcBorders>
          </w:tcPr>
          <w:p>
            <w:pPr>
              <w:spacing w:after="0"/>
              <w:rPr>
                <w:sz w:val="24"/>
                <w:szCs w:val="24"/>
                <w:color w:val="auto"/>
              </w:rPr>
            </w:pPr>
          </w:p>
        </w:tc>
        <w:tc>
          <w:tcPr>
            <w:tcW w:w="2800" w:type="dxa"/>
            <w:vAlign w:val="bottom"/>
            <w:tcBorders>
              <w:bottom w:val="single" w:sz="8" w:color="D7282F"/>
            </w:tcBorders>
            <w:gridSpan w:val="4"/>
          </w:tcPr>
          <w:p>
            <w:pPr>
              <w:ind w:left="180"/>
              <w:spacing w:after="0"/>
              <w:rPr>
                <w:sz w:val="20"/>
                <w:szCs w:val="20"/>
                <w:color w:val="auto"/>
              </w:rPr>
            </w:pPr>
            <w:r>
              <w:rPr>
                <w:rFonts w:ascii="Arial" w:cs="Arial" w:eastAsia="Arial" w:hAnsi="Arial"/>
                <w:sz w:val="14"/>
                <w:szCs w:val="14"/>
                <w:b w:val="1"/>
                <w:bCs w:val="1"/>
                <w:color w:val="auto"/>
              </w:rPr>
              <w:t>Three Months Ended March 31, 2023</w:t>
            </w:r>
          </w:p>
        </w:tc>
        <w:tc>
          <w:tcPr>
            <w:tcW w:w="300" w:type="dxa"/>
            <w:vAlign w:val="bottom"/>
            <w:tcBorders>
              <w:bottom w:val="single" w:sz="8" w:color="D7282F"/>
            </w:tcBorders>
          </w:tcPr>
          <w:p>
            <w:pPr>
              <w:spacing w:after="0"/>
              <w:rPr>
                <w:sz w:val="24"/>
                <w:szCs w:val="24"/>
                <w:color w:val="auto"/>
              </w:rPr>
            </w:pPr>
          </w:p>
        </w:tc>
        <w:tc>
          <w:tcPr>
            <w:tcW w:w="980" w:type="dxa"/>
            <w:vAlign w:val="bottom"/>
            <w:tcBorders>
              <w:bottom w:val="single" w:sz="8" w:color="D7282F"/>
            </w:tcBorders>
          </w:tcPr>
          <w:p>
            <w:pPr>
              <w:spacing w:after="0"/>
              <w:rPr>
                <w:sz w:val="24"/>
                <w:szCs w:val="24"/>
                <w:color w:val="auto"/>
              </w:rPr>
            </w:pPr>
          </w:p>
        </w:tc>
        <w:tc>
          <w:tcPr>
            <w:tcW w:w="220" w:type="dxa"/>
            <w:vAlign w:val="bottom"/>
            <w:tcBorders>
              <w:bottom w:val="single" w:sz="8" w:color="D7282F"/>
            </w:tcBorders>
          </w:tcPr>
          <w:p>
            <w:pPr>
              <w:spacing w:after="0"/>
              <w:rPr>
                <w:sz w:val="24"/>
                <w:szCs w:val="24"/>
                <w:color w:val="auto"/>
              </w:rPr>
            </w:pPr>
          </w:p>
        </w:tc>
        <w:tc>
          <w:tcPr>
            <w:tcW w:w="940" w:type="dxa"/>
            <w:vAlign w:val="bottom"/>
            <w:tcBorders>
              <w:bottom w:val="single" w:sz="8" w:color="D7282F"/>
            </w:tcBorders>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3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jc w:val="center"/>
              <w:ind w:right="148"/>
              <w:spacing w:after="0" w:line="147" w:lineRule="exact"/>
              <w:rPr>
                <w:sz w:val="20"/>
                <w:szCs w:val="20"/>
                <w:color w:val="auto"/>
              </w:rPr>
            </w:pPr>
            <w:r>
              <w:rPr>
                <w:rFonts w:ascii="Arial" w:cs="Arial" w:eastAsia="Arial" w:hAnsi="Arial"/>
                <w:sz w:val="14"/>
                <w:szCs w:val="14"/>
                <w:b w:val="1"/>
                <w:bCs w:val="1"/>
                <w:color w:val="auto"/>
              </w:rPr>
              <w:t>Selling,</w:t>
            </w:r>
          </w:p>
        </w:tc>
        <w:tc>
          <w:tcPr>
            <w:tcW w:w="300" w:type="dxa"/>
            <w:vAlign w:val="bottom"/>
          </w:tcPr>
          <w:p>
            <w:pPr>
              <w:spacing w:after="0"/>
              <w:rPr>
                <w:sz w:val="12"/>
                <w:szCs w:val="12"/>
                <w:color w:val="auto"/>
              </w:rPr>
            </w:pPr>
          </w:p>
        </w:tc>
        <w:tc>
          <w:tcPr>
            <w:tcW w:w="980" w:type="dxa"/>
            <w:vAlign w:val="bottom"/>
            <w:vMerge w:val="restart"/>
          </w:tcPr>
          <w:p>
            <w:pPr>
              <w:jc w:val="center"/>
              <w:ind w:right="208"/>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2"/>
                <w:szCs w:val="12"/>
                <w:color w:val="auto"/>
              </w:rPr>
            </w:pPr>
          </w:p>
        </w:tc>
        <w:tc>
          <w:tcPr>
            <w:tcW w:w="940" w:type="dxa"/>
            <w:vAlign w:val="bottom"/>
          </w:tcPr>
          <w:p>
            <w:pPr>
              <w:jc w:val="center"/>
              <w:ind w:right="28"/>
              <w:spacing w:after="0" w:line="147" w:lineRule="exact"/>
              <w:rPr>
                <w:sz w:val="20"/>
                <w:szCs w:val="20"/>
                <w:color w:val="auto"/>
              </w:rPr>
            </w:pPr>
            <w:r>
              <w:rPr>
                <w:rFonts w:ascii="Arial" w:cs="Arial" w:eastAsia="Arial" w:hAnsi="Arial"/>
                <w:sz w:val="14"/>
                <w:szCs w:val="14"/>
                <w:b w:val="1"/>
                <w:bCs w:val="1"/>
                <w:color w:val="auto"/>
              </w:rPr>
              <w:t>Interest and</w:t>
            </w:r>
          </w:p>
        </w:tc>
        <w:tc>
          <w:tcPr>
            <w:tcW w:w="0" w:type="dxa"/>
            <w:vAlign w:val="bottom"/>
          </w:tcPr>
          <w:p>
            <w:pPr>
              <w:spacing w:after="0"/>
              <w:rPr>
                <w:sz w:val="1"/>
                <w:szCs w:val="1"/>
                <w:color w:val="auto"/>
              </w:rPr>
            </w:pPr>
          </w:p>
        </w:tc>
      </w:tr>
      <w:tr>
        <w:trPr>
          <w:trHeight w:val="144"/>
        </w:trPr>
        <w:tc>
          <w:tcPr>
            <w:tcW w:w="3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Cost of</w:t>
            </w:r>
          </w:p>
        </w:tc>
        <w:tc>
          <w:tcPr>
            <w:tcW w:w="300" w:type="dxa"/>
            <w:vAlign w:val="bottom"/>
          </w:tcPr>
          <w:p>
            <w:pPr>
              <w:spacing w:after="0"/>
              <w:rPr>
                <w:sz w:val="12"/>
                <w:szCs w:val="12"/>
                <w:color w:val="auto"/>
              </w:rPr>
            </w:pPr>
          </w:p>
        </w:tc>
        <w:tc>
          <w:tcPr>
            <w:tcW w:w="96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Cost of</w:t>
            </w:r>
          </w:p>
        </w:tc>
        <w:tc>
          <w:tcPr>
            <w:tcW w:w="260" w:type="dxa"/>
            <w:vAlign w:val="bottom"/>
          </w:tcPr>
          <w:p>
            <w:pPr>
              <w:spacing w:after="0"/>
              <w:rPr>
                <w:sz w:val="12"/>
                <w:szCs w:val="12"/>
                <w:color w:val="auto"/>
              </w:rPr>
            </w:pPr>
          </w:p>
        </w:tc>
        <w:tc>
          <w:tcPr>
            <w:tcW w:w="1280" w:type="dxa"/>
            <w:vAlign w:val="bottom"/>
          </w:tcPr>
          <w:p>
            <w:pPr>
              <w:jc w:val="center"/>
              <w:ind w:right="148"/>
              <w:spacing w:after="0" w:line="145" w:lineRule="exact"/>
              <w:rPr>
                <w:sz w:val="20"/>
                <w:szCs w:val="20"/>
                <w:color w:val="auto"/>
              </w:rPr>
            </w:pPr>
            <w:r>
              <w:rPr>
                <w:rFonts w:ascii="Arial" w:cs="Arial" w:eastAsia="Arial" w:hAnsi="Arial"/>
                <w:sz w:val="14"/>
                <w:szCs w:val="14"/>
                <w:b w:val="1"/>
                <w:bCs w:val="1"/>
                <w:color w:val="auto"/>
              </w:rPr>
              <w:t>General and</w:t>
            </w:r>
          </w:p>
        </w:tc>
        <w:tc>
          <w:tcPr>
            <w:tcW w:w="30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center"/>
              <w:ind w:right="28"/>
              <w:spacing w:after="0" w:line="145"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Net Sales</w:t>
            </w:r>
          </w:p>
        </w:tc>
        <w:tc>
          <w:tcPr>
            <w:tcW w:w="3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jc w:val="center"/>
              <w:ind w:right="168"/>
              <w:spacing w:after="0" w:line="149" w:lineRule="exact"/>
              <w:rPr>
                <w:sz w:val="20"/>
                <w:szCs w:val="20"/>
                <w:color w:val="auto"/>
              </w:rPr>
            </w:pPr>
            <w:r>
              <w:rPr>
                <w:rFonts w:ascii="Arial" w:cs="Arial" w:eastAsia="Arial" w:hAnsi="Arial"/>
                <w:sz w:val="14"/>
                <w:szCs w:val="14"/>
                <w:b w:val="1"/>
                <w:bCs w:val="1"/>
                <w:color w:val="auto"/>
              </w:rPr>
              <w:t>Administrative</w:t>
            </w:r>
          </w:p>
        </w:tc>
        <w:tc>
          <w:tcPr>
            <w:tcW w:w="300" w:type="dxa"/>
            <w:vAlign w:val="bottom"/>
          </w:tcPr>
          <w:p>
            <w:pPr>
              <w:spacing w:after="0"/>
              <w:rPr>
                <w:sz w:val="12"/>
                <w:szCs w:val="12"/>
                <w:color w:val="auto"/>
              </w:rPr>
            </w:pPr>
          </w:p>
        </w:tc>
        <w:tc>
          <w:tcPr>
            <w:tcW w:w="980" w:type="dxa"/>
            <w:vAlign w:val="bottom"/>
          </w:tcPr>
          <w:p>
            <w:pPr>
              <w:jc w:val="center"/>
              <w:ind w:right="188"/>
              <w:spacing w:after="0" w:line="149" w:lineRule="exact"/>
              <w:rPr>
                <w:sz w:val="20"/>
                <w:szCs w:val="20"/>
                <w:color w:val="auto"/>
              </w:rPr>
            </w:pPr>
            <w:r>
              <w:rPr>
                <w:rFonts w:ascii="Arial" w:cs="Arial" w:eastAsia="Arial" w:hAnsi="Arial"/>
                <w:sz w:val="14"/>
                <w:szCs w:val="14"/>
                <w:b w:val="1"/>
                <w:bCs w:val="1"/>
                <w:color w:val="auto"/>
              </w:rPr>
              <w:t>(Income)</w:t>
            </w:r>
          </w:p>
        </w:tc>
        <w:tc>
          <w:tcPr>
            <w:tcW w:w="220" w:type="dxa"/>
            <w:vAlign w:val="bottom"/>
          </w:tcPr>
          <w:p>
            <w:pPr>
              <w:spacing w:after="0"/>
              <w:rPr>
                <w:sz w:val="12"/>
                <w:szCs w:val="12"/>
                <w:color w:val="auto"/>
              </w:rPr>
            </w:pPr>
          </w:p>
        </w:tc>
        <w:tc>
          <w:tcPr>
            <w:tcW w:w="94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rPr>
              <w:t>Financial</w:t>
            </w:r>
          </w:p>
        </w:tc>
        <w:tc>
          <w:tcPr>
            <w:tcW w:w="0" w:type="dxa"/>
            <w:vAlign w:val="bottom"/>
          </w:tcPr>
          <w:p>
            <w:pPr>
              <w:spacing w:after="0"/>
              <w:rPr>
                <w:sz w:val="1"/>
                <w:szCs w:val="1"/>
                <w:color w:val="auto"/>
              </w:rPr>
            </w:pPr>
          </w:p>
        </w:tc>
      </w:tr>
      <w:tr>
        <w:trPr>
          <w:trHeight w:val="189"/>
        </w:trPr>
        <w:tc>
          <w:tcPr>
            <w:tcW w:w="3620" w:type="dxa"/>
            <w:vAlign w:val="bottom"/>
            <w:tcBorders>
              <w:bottom w:val="single" w:sz="8" w:color="D7282F"/>
            </w:tcBorders>
          </w:tcPr>
          <w:p>
            <w:pPr>
              <w:spacing w:after="0"/>
              <w:rPr>
                <w:sz w:val="16"/>
                <w:szCs w:val="16"/>
                <w:color w:val="auto"/>
              </w:rPr>
            </w:pPr>
          </w:p>
        </w:tc>
        <w:tc>
          <w:tcPr>
            <w:tcW w:w="140" w:type="dxa"/>
            <w:vAlign w:val="bottom"/>
            <w:tcBorders>
              <w:bottom w:val="single" w:sz="8" w:color="D7282F"/>
            </w:tcBorders>
          </w:tcPr>
          <w:p>
            <w:pPr>
              <w:spacing w:after="0"/>
              <w:rPr>
                <w:sz w:val="16"/>
                <w:szCs w:val="16"/>
                <w:color w:val="auto"/>
              </w:rPr>
            </w:pPr>
          </w:p>
        </w:tc>
        <w:tc>
          <w:tcPr>
            <w:tcW w:w="960" w:type="dxa"/>
            <w:vAlign w:val="bottom"/>
            <w:tcBorders>
              <w:bottom w:val="single" w:sz="8" w:color="D7282F"/>
            </w:tcBorders>
            <w:vMerge w:val="continue"/>
          </w:tcPr>
          <w:p>
            <w:pPr>
              <w:spacing w:after="0"/>
              <w:rPr>
                <w:sz w:val="16"/>
                <w:szCs w:val="16"/>
                <w:color w:val="auto"/>
              </w:rPr>
            </w:pPr>
          </w:p>
        </w:tc>
        <w:tc>
          <w:tcPr>
            <w:tcW w:w="1280" w:type="dxa"/>
            <w:vAlign w:val="bottom"/>
            <w:tcBorders>
              <w:bottom w:val="single" w:sz="8" w:color="D7282F"/>
            </w:tcBorders>
            <w:gridSpan w:val="2"/>
          </w:tcPr>
          <w:p>
            <w:pPr>
              <w:ind w:left="180"/>
              <w:spacing w:after="0"/>
              <w:rPr>
                <w:sz w:val="20"/>
                <w:szCs w:val="20"/>
                <w:color w:val="auto"/>
              </w:rPr>
            </w:pPr>
            <w:r>
              <w:rPr>
                <w:rFonts w:ascii="Arial" w:cs="Arial" w:eastAsia="Arial" w:hAnsi="Arial"/>
                <w:sz w:val="14"/>
                <w:szCs w:val="14"/>
                <w:b w:val="1"/>
                <w:bCs w:val="1"/>
                <w:color w:val="auto"/>
              </w:rPr>
              <w:t>Products Sold</w:t>
            </w:r>
          </w:p>
        </w:tc>
        <w:tc>
          <w:tcPr>
            <w:tcW w:w="1260" w:type="dxa"/>
            <w:vAlign w:val="bottom"/>
            <w:tcBorders>
              <w:bottom w:val="single" w:sz="8" w:color="D7282F"/>
            </w:tcBorders>
            <w:gridSpan w:val="2"/>
          </w:tcPr>
          <w:p>
            <w:pPr>
              <w:ind w:left="180"/>
              <w:spacing w:after="0"/>
              <w:rPr>
                <w:sz w:val="20"/>
                <w:szCs w:val="20"/>
                <w:color w:val="auto"/>
              </w:rPr>
            </w:pPr>
            <w:r>
              <w:rPr>
                <w:rFonts w:ascii="Arial" w:cs="Arial" w:eastAsia="Arial" w:hAnsi="Arial"/>
                <w:sz w:val="14"/>
                <w:szCs w:val="14"/>
                <w:b w:val="1"/>
                <w:bCs w:val="1"/>
                <w:color w:val="auto"/>
              </w:rPr>
              <w:t>Services Sold</w:t>
            </w:r>
          </w:p>
        </w:tc>
        <w:tc>
          <w:tcPr>
            <w:tcW w:w="260" w:type="dxa"/>
            <w:vAlign w:val="bottom"/>
            <w:tcBorders>
              <w:bottom w:val="single" w:sz="8" w:color="D7282F"/>
            </w:tcBorders>
          </w:tcPr>
          <w:p>
            <w:pPr>
              <w:spacing w:after="0"/>
              <w:rPr>
                <w:sz w:val="16"/>
                <w:szCs w:val="16"/>
                <w:color w:val="auto"/>
              </w:rPr>
            </w:pPr>
          </w:p>
        </w:tc>
        <w:tc>
          <w:tcPr>
            <w:tcW w:w="1280" w:type="dxa"/>
            <w:vAlign w:val="bottom"/>
            <w:tcBorders>
              <w:bottom w:val="single" w:sz="8" w:color="D7282F"/>
            </w:tcBorders>
          </w:tcPr>
          <w:p>
            <w:pPr>
              <w:jc w:val="center"/>
              <w:ind w:right="148"/>
              <w:spacing w:after="0"/>
              <w:rPr>
                <w:sz w:val="20"/>
                <w:szCs w:val="20"/>
                <w:color w:val="auto"/>
              </w:rPr>
            </w:pPr>
            <w:r>
              <w:rPr>
                <w:rFonts w:ascii="Arial" w:cs="Arial" w:eastAsia="Arial" w:hAnsi="Arial"/>
                <w:sz w:val="14"/>
                <w:szCs w:val="14"/>
                <w:b w:val="1"/>
                <w:bCs w:val="1"/>
                <w:color w:val="auto"/>
              </w:rPr>
              <w:t>Expenses</w:t>
            </w:r>
          </w:p>
        </w:tc>
        <w:tc>
          <w:tcPr>
            <w:tcW w:w="300" w:type="dxa"/>
            <w:vAlign w:val="bottom"/>
            <w:tcBorders>
              <w:bottom w:val="single" w:sz="8" w:color="D7282F"/>
            </w:tcBorders>
          </w:tcPr>
          <w:p>
            <w:pPr>
              <w:spacing w:after="0"/>
              <w:rPr>
                <w:sz w:val="16"/>
                <w:szCs w:val="16"/>
                <w:color w:val="auto"/>
              </w:rPr>
            </w:pPr>
          </w:p>
        </w:tc>
        <w:tc>
          <w:tcPr>
            <w:tcW w:w="980" w:type="dxa"/>
            <w:vAlign w:val="bottom"/>
            <w:tcBorders>
              <w:bottom w:val="single" w:sz="8" w:color="D7282F"/>
            </w:tcBorders>
          </w:tcPr>
          <w:p>
            <w:pPr>
              <w:jc w:val="center"/>
              <w:ind w:right="208"/>
              <w:spacing w:after="0"/>
              <w:rPr>
                <w:sz w:val="20"/>
                <w:szCs w:val="20"/>
                <w:color w:val="auto"/>
              </w:rPr>
            </w:pPr>
            <w:r>
              <w:rPr>
                <w:rFonts w:ascii="Arial" w:cs="Arial" w:eastAsia="Arial" w:hAnsi="Arial"/>
                <w:sz w:val="14"/>
                <w:szCs w:val="14"/>
                <w:b w:val="1"/>
                <w:bCs w:val="1"/>
                <w:color w:val="auto"/>
              </w:rPr>
              <w:t>Expense</w:t>
            </w:r>
          </w:p>
        </w:tc>
        <w:tc>
          <w:tcPr>
            <w:tcW w:w="22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center"/>
              <w:ind w:right="28"/>
              <w:spacing w:after="0"/>
              <w:rPr>
                <w:sz w:val="20"/>
                <w:szCs w:val="20"/>
                <w:color w:val="auto"/>
              </w:rPr>
            </w:pPr>
            <w:r>
              <w:rPr>
                <w:rFonts w:ascii="Arial" w:cs="Arial" w:eastAsia="Arial" w:hAnsi="Arial"/>
                <w:sz w:val="14"/>
                <w:szCs w:val="14"/>
                <w:b w:val="1"/>
                <w:bCs w:val="1"/>
                <w:color w:val="auto"/>
                <w:w w:val="99"/>
              </w:rPr>
              <w:t>Charges</w:t>
            </w:r>
          </w:p>
        </w:tc>
        <w:tc>
          <w:tcPr>
            <w:tcW w:w="0" w:type="dxa"/>
            <w:vAlign w:val="bottom"/>
          </w:tcPr>
          <w:p>
            <w:pPr>
              <w:spacing w:after="0"/>
              <w:rPr>
                <w:sz w:val="1"/>
                <w:szCs w:val="1"/>
                <w:color w:val="auto"/>
              </w:rPr>
            </w:pPr>
          </w:p>
        </w:tc>
      </w:tr>
      <w:tr>
        <w:trPr>
          <w:trHeight w:val="192"/>
        </w:trPr>
        <w:tc>
          <w:tcPr>
            <w:tcW w:w="3760" w:type="dxa"/>
            <w:vAlign w:val="bottom"/>
            <w:tcBorders>
              <w:bottom w:val="single" w:sz="8" w:color="61656A"/>
            </w:tcBorders>
            <w:gridSpan w:val="2"/>
          </w:tcPr>
          <w:p>
            <w:pPr>
              <w:ind w:left="364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8,864</w:t>
            </w:r>
          </w:p>
        </w:tc>
        <w:tc>
          <w:tcPr>
            <w:tcW w:w="320" w:type="dxa"/>
            <w:vAlign w:val="bottom"/>
            <w:tcBorders>
              <w:bottom w:val="single" w:sz="8" w:color="61656A"/>
            </w:tcBorders>
          </w:tcPr>
          <w:p>
            <w:pPr>
              <w:ind w:left="16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4,068</w:t>
            </w:r>
          </w:p>
        </w:tc>
        <w:tc>
          <w:tcPr>
            <w:tcW w:w="3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1,430</w:t>
            </w:r>
          </w:p>
        </w:tc>
        <w:tc>
          <w:tcPr>
            <w:tcW w:w="2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1,317</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(260)</w:t>
            </w:r>
          </w:p>
        </w:tc>
        <w:tc>
          <w:tcPr>
            <w:tcW w:w="2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199"/>
        </w:trPr>
        <w:tc>
          <w:tcPr>
            <w:tcW w:w="3760" w:type="dxa"/>
            <w:vAlign w:val="bottom"/>
            <w:tcBorders>
              <w:bottom w:val="single" w:sz="8" w:color="61656A"/>
            </w:tcBorders>
            <w:gridSpan w:val="2"/>
          </w:tcPr>
          <w:p>
            <w:pPr>
              <w:ind w:left="20"/>
              <w:spacing w:after="0"/>
              <w:rPr>
                <w:sz w:val="20"/>
                <w:szCs w:val="20"/>
                <w:color w:val="auto"/>
              </w:rPr>
            </w:pPr>
            <w:r>
              <w:rPr>
                <w:rFonts w:ascii="Arial" w:cs="Arial" w:eastAsia="Arial" w:hAnsi="Arial"/>
                <w:sz w:val="14"/>
                <w:szCs w:val="14"/>
                <w:b w:val="1"/>
                <w:bCs w:val="1"/>
                <w:color w:val="auto"/>
              </w:rPr>
              <w:t>Gain or (loss) on cash flow hedges</w:t>
            </w:r>
          </w:p>
        </w:tc>
        <w:tc>
          <w:tcPr>
            <w:tcW w:w="96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960" w:type="dxa"/>
            <w:vAlign w:val="bottom"/>
            <w:tcBorders>
              <w:bottom w:val="single" w:sz="8" w:color="61656A"/>
            </w:tcBorders>
          </w:tcPr>
          <w:p>
            <w:pPr>
              <w:spacing w:after="0"/>
              <w:rPr>
                <w:sz w:val="17"/>
                <w:szCs w:val="17"/>
                <w:color w:val="auto"/>
              </w:rPr>
            </w:pPr>
          </w:p>
        </w:tc>
        <w:tc>
          <w:tcPr>
            <w:tcW w:w="300" w:type="dxa"/>
            <w:vAlign w:val="bottom"/>
            <w:tcBorders>
              <w:bottom w:val="single" w:sz="8" w:color="61656A"/>
            </w:tcBorders>
          </w:tcPr>
          <w:p>
            <w:pPr>
              <w:spacing w:after="0"/>
              <w:rPr>
                <w:sz w:val="17"/>
                <w:szCs w:val="17"/>
                <w:color w:val="auto"/>
              </w:rPr>
            </w:pPr>
          </w:p>
        </w:tc>
        <w:tc>
          <w:tcPr>
            <w:tcW w:w="96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spacing w:after="0"/>
              <w:rPr>
                <w:sz w:val="17"/>
                <w:szCs w:val="17"/>
                <w:color w:val="auto"/>
              </w:rPr>
            </w:pPr>
          </w:p>
        </w:tc>
        <w:tc>
          <w:tcPr>
            <w:tcW w:w="300" w:type="dxa"/>
            <w:vAlign w:val="bottom"/>
            <w:tcBorders>
              <w:bottom w:val="single" w:sz="8" w:color="61656A"/>
            </w:tcBorders>
          </w:tcPr>
          <w:p>
            <w:pPr>
              <w:spacing w:after="0"/>
              <w:rPr>
                <w:sz w:val="17"/>
                <w:szCs w:val="17"/>
                <w:color w:val="auto"/>
              </w:rPr>
            </w:pPr>
          </w:p>
        </w:tc>
        <w:tc>
          <w:tcPr>
            <w:tcW w:w="98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760" w:type="dxa"/>
            <w:vAlign w:val="bottom"/>
            <w:tcBorders>
              <w:bottom w:val="single" w:sz="8" w:color="61656A"/>
            </w:tcBorders>
            <w:gridSpan w:val="2"/>
          </w:tcPr>
          <w:p>
            <w:pPr>
              <w:ind w:left="140"/>
              <w:spacing w:after="0"/>
              <w:rPr>
                <w:sz w:val="20"/>
                <w:szCs w:val="20"/>
                <w:color w:val="auto"/>
              </w:rPr>
            </w:pPr>
            <w:r>
              <w:rPr>
                <w:rFonts w:ascii="Arial" w:cs="Arial" w:eastAsia="Arial" w:hAnsi="Arial"/>
                <w:sz w:val="14"/>
                <w:szCs w:val="14"/>
                <w:color w:val="auto"/>
              </w:rPr>
              <w:t>Foreign currency exchange contracts</w:t>
            </w:r>
          </w:p>
        </w:tc>
        <w:tc>
          <w:tcPr>
            <w:tcW w:w="96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spacing w:after="0"/>
              <w:rPr>
                <w:sz w:val="16"/>
                <w:szCs w:val="16"/>
                <w:color w:val="auto"/>
              </w:rPr>
            </w:pPr>
          </w:p>
        </w:tc>
        <w:tc>
          <w:tcPr>
            <w:tcW w:w="30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1280" w:type="dxa"/>
            <w:vAlign w:val="bottom"/>
            <w:tcBorders>
              <w:bottom w:val="single" w:sz="8" w:color="61656A"/>
            </w:tcBorders>
          </w:tcPr>
          <w:p>
            <w:pPr>
              <w:spacing w:after="0"/>
              <w:rPr>
                <w:sz w:val="16"/>
                <w:szCs w:val="16"/>
                <w:color w:val="auto"/>
              </w:rPr>
            </w:pPr>
          </w:p>
        </w:tc>
        <w:tc>
          <w:tcPr>
            <w:tcW w:w="300" w:type="dxa"/>
            <w:vAlign w:val="bottom"/>
            <w:tcBorders>
              <w:bottom w:val="single" w:sz="8" w:color="61656A"/>
            </w:tcBorders>
          </w:tcPr>
          <w:p>
            <w:pPr>
              <w:spacing w:after="0"/>
              <w:rPr>
                <w:sz w:val="16"/>
                <w:szCs w:val="16"/>
                <w:color w:val="auto"/>
              </w:rPr>
            </w:pPr>
          </w:p>
        </w:tc>
        <w:tc>
          <w:tcPr>
            <w:tcW w:w="98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3760" w:type="dxa"/>
            <w:vAlign w:val="bottom"/>
            <w:gridSpan w:val="2"/>
          </w:tcPr>
          <w:p>
            <w:pPr>
              <w:ind w:left="240"/>
              <w:spacing w:after="0" w:line="151" w:lineRule="exact"/>
              <w:rPr>
                <w:sz w:val="20"/>
                <w:szCs w:val="20"/>
                <w:color w:val="auto"/>
              </w:rPr>
            </w:pPr>
            <w:r>
              <w:rPr>
                <w:rFonts w:ascii="Arial" w:cs="Arial" w:eastAsia="Arial" w:hAnsi="Arial"/>
                <w:sz w:val="14"/>
                <w:szCs w:val="14"/>
                <w:color w:val="auto"/>
              </w:rPr>
              <w:t>Amount reclassified from accumulated other</w:t>
            </w:r>
          </w:p>
        </w:tc>
        <w:tc>
          <w:tcPr>
            <w:tcW w:w="960" w:type="dxa"/>
            <w:vAlign w:val="bottom"/>
            <w:vMerge w:val="restart"/>
          </w:tcPr>
          <w:p>
            <w:pPr>
              <w:jc w:val="right"/>
              <w:ind w:right="68"/>
              <w:spacing w:after="0"/>
              <w:rPr>
                <w:sz w:val="20"/>
                <w:szCs w:val="20"/>
                <w:color w:val="auto"/>
              </w:rPr>
            </w:pPr>
            <w:r>
              <w:rPr>
                <w:rFonts w:ascii="Arial" w:cs="Arial" w:eastAsia="Arial" w:hAnsi="Arial"/>
                <w:sz w:val="14"/>
                <w:szCs w:val="14"/>
                <w:color w:val="auto"/>
              </w:rPr>
              <w:t>1</w:t>
            </w:r>
          </w:p>
        </w:tc>
        <w:tc>
          <w:tcPr>
            <w:tcW w:w="320" w:type="dxa"/>
            <w:vAlign w:val="bottom"/>
          </w:tcPr>
          <w:p>
            <w:pPr>
              <w:spacing w:after="0"/>
              <w:rPr>
                <w:sz w:val="13"/>
                <w:szCs w:val="13"/>
                <w:color w:val="auto"/>
              </w:rPr>
            </w:pPr>
          </w:p>
        </w:tc>
        <w:tc>
          <w:tcPr>
            <w:tcW w:w="960" w:type="dxa"/>
            <w:vAlign w:val="bottom"/>
            <w:vMerge w:val="restart"/>
          </w:tcPr>
          <w:p>
            <w:pPr>
              <w:jc w:val="right"/>
              <w:ind w:right="108"/>
              <w:spacing w:after="0"/>
              <w:rPr>
                <w:sz w:val="20"/>
                <w:szCs w:val="20"/>
                <w:color w:val="auto"/>
              </w:rPr>
            </w:pPr>
            <w:r>
              <w:rPr>
                <w:rFonts w:ascii="Arial" w:cs="Arial" w:eastAsia="Arial" w:hAnsi="Arial"/>
                <w:sz w:val="14"/>
                <w:szCs w:val="14"/>
                <w:color w:val="auto"/>
              </w:rPr>
              <w:t>3</w:t>
            </w:r>
          </w:p>
        </w:tc>
        <w:tc>
          <w:tcPr>
            <w:tcW w:w="300" w:type="dxa"/>
            <w:vAlign w:val="bottom"/>
          </w:tcPr>
          <w:p>
            <w:pPr>
              <w:spacing w:after="0"/>
              <w:rPr>
                <w:sz w:val="13"/>
                <w:szCs w:val="13"/>
                <w:color w:val="auto"/>
              </w:rPr>
            </w:pPr>
          </w:p>
        </w:tc>
        <w:tc>
          <w:tcPr>
            <w:tcW w:w="960" w:type="dxa"/>
            <w:vAlign w:val="bottom"/>
            <w:vMerge w:val="restart"/>
          </w:tcPr>
          <w:p>
            <w:pPr>
              <w:jc w:val="right"/>
              <w:ind w:right="88"/>
              <w:spacing w:after="0"/>
              <w:rPr>
                <w:sz w:val="20"/>
                <w:szCs w:val="20"/>
                <w:color w:val="auto"/>
              </w:rPr>
            </w:pPr>
            <w:r>
              <w:rPr>
                <w:rFonts w:ascii="Arial" w:cs="Arial" w:eastAsia="Arial" w:hAnsi="Arial"/>
                <w:sz w:val="14"/>
                <w:szCs w:val="14"/>
                <w:color w:val="auto"/>
              </w:rPr>
              <w:t>1</w:t>
            </w:r>
          </w:p>
        </w:tc>
        <w:tc>
          <w:tcPr>
            <w:tcW w:w="260" w:type="dxa"/>
            <w:vAlign w:val="bottom"/>
          </w:tcPr>
          <w:p>
            <w:pPr>
              <w:spacing w:after="0"/>
              <w:rPr>
                <w:sz w:val="13"/>
                <w:szCs w:val="13"/>
                <w:color w:val="auto"/>
              </w:rPr>
            </w:pPr>
          </w:p>
        </w:tc>
        <w:tc>
          <w:tcPr>
            <w:tcW w:w="1280" w:type="dxa"/>
            <w:vAlign w:val="bottom"/>
            <w:vMerge w:val="restart"/>
          </w:tcPr>
          <w:p>
            <w:pPr>
              <w:jc w:val="right"/>
              <w:ind w:right="88"/>
              <w:spacing w:after="0"/>
              <w:rPr>
                <w:sz w:val="20"/>
                <w:szCs w:val="20"/>
                <w:color w:val="auto"/>
              </w:rPr>
            </w:pPr>
            <w:r>
              <w:rPr>
                <w:rFonts w:ascii="Arial" w:cs="Arial" w:eastAsia="Arial" w:hAnsi="Arial"/>
                <w:sz w:val="14"/>
                <w:szCs w:val="14"/>
                <w:color w:val="auto"/>
              </w:rPr>
              <w:t>1</w:t>
            </w:r>
          </w:p>
        </w:tc>
        <w:tc>
          <w:tcPr>
            <w:tcW w:w="300" w:type="dxa"/>
            <w:vAlign w:val="bottom"/>
          </w:tcPr>
          <w:p>
            <w:pPr>
              <w:spacing w:after="0"/>
              <w:rPr>
                <w:sz w:val="13"/>
                <w:szCs w:val="13"/>
                <w:color w:val="auto"/>
              </w:rPr>
            </w:pPr>
          </w:p>
        </w:tc>
        <w:tc>
          <w:tcPr>
            <w:tcW w:w="9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3760" w:type="dxa"/>
            <w:vAlign w:val="bottom"/>
            <w:tcBorders>
              <w:bottom w:val="single" w:sz="8" w:color="61656A"/>
            </w:tcBorders>
            <w:gridSpan w:val="2"/>
          </w:tcPr>
          <w:p>
            <w:pPr>
              <w:ind w:left="240"/>
              <w:spacing w:after="0"/>
              <w:rPr>
                <w:sz w:val="20"/>
                <w:szCs w:val="20"/>
                <w:color w:val="auto"/>
              </w:rPr>
            </w:pPr>
            <w:r>
              <w:rPr>
                <w:rFonts w:ascii="Arial" w:cs="Arial" w:eastAsia="Arial" w:hAnsi="Arial"/>
                <w:sz w:val="14"/>
                <w:szCs w:val="14"/>
                <w:color w:val="auto"/>
              </w:rPr>
              <w:t>comprehensive income (loss) into income</w:t>
            </w:r>
          </w:p>
        </w:tc>
        <w:tc>
          <w:tcPr>
            <w:tcW w:w="960" w:type="dxa"/>
            <w:vAlign w:val="bottom"/>
            <w:tcBorders>
              <w:bottom w:val="single" w:sz="8" w:color="61656A"/>
            </w:tcBorders>
            <w:vMerge w:val="continue"/>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vMerge w:val="continue"/>
          </w:tcPr>
          <w:p>
            <w:pPr>
              <w:spacing w:after="0"/>
              <w:rPr>
                <w:sz w:val="16"/>
                <w:szCs w:val="16"/>
                <w:color w:val="auto"/>
              </w:rPr>
            </w:pPr>
          </w:p>
        </w:tc>
        <w:tc>
          <w:tcPr>
            <w:tcW w:w="30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vMerge w:val="continue"/>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1280" w:type="dxa"/>
            <w:vAlign w:val="bottom"/>
            <w:tcBorders>
              <w:bottom w:val="single" w:sz="8" w:color="61656A"/>
            </w:tcBorders>
            <w:vMerge w:val="continue"/>
          </w:tcPr>
          <w:p>
            <w:pPr>
              <w:spacing w:after="0"/>
              <w:rPr>
                <w:sz w:val="16"/>
                <w:szCs w:val="16"/>
                <w:color w:val="auto"/>
              </w:rPr>
            </w:pPr>
          </w:p>
        </w:tc>
        <w:tc>
          <w:tcPr>
            <w:tcW w:w="300" w:type="dxa"/>
            <w:vAlign w:val="bottom"/>
            <w:tcBorders>
              <w:bottom w:val="single" w:sz="8" w:color="61656A"/>
            </w:tcBorders>
          </w:tcPr>
          <w:p>
            <w:pPr>
              <w:spacing w:after="0"/>
              <w:rPr>
                <w:sz w:val="16"/>
                <w:szCs w:val="16"/>
                <w:color w:val="auto"/>
              </w:rPr>
            </w:pPr>
          </w:p>
        </w:tc>
        <w:tc>
          <w:tcPr>
            <w:tcW w:w="980" w:type="dxa"/>
            <w:vAlign w:val="bottom"/>
            <w:tcBorders>
              <w:bottom w:val="single" w:sz="8" w:color="61656A"/>
            </w:tcBorders>
            <w:vMerge w:val="continue"/>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760" w:type="dxa"/>
            <w:vAlign w:val="bottom"/>
            <w:tcBorders>
              <w:bottom w:val="single" w:sz="8" w:color="61656A"/>
            </w:tcBorders>
            <w:gridSpan w:val="2"/>
          </w:tcPr>
          <w:p>
            <w:pPr>
              <w:ind w:left="20"/>
              <w:spacing w:after="0"/>
              <w:rPr>
                <w:sz w:val="20"/>
                <w:szCs w:val="20"/>
                <w:color w:val="auto"/>
              </w:rPr>
            </w:pPr>
            <w:r>
              <w:rPr>
                <w:rFonts w:ascii="Arial" w:cs="Arial" w:eastAsia="Arial" w:hAnsi="Arial"/>
                <w:sz w:val="14"/>
                <w:szCs w:val="14"/>
                <w:b w:val="1"/>
                <w:bCs w:val="1"/>
                <w:color w:val="auto"/>
              </w:rPr>
              <w:t>Gain or (loss) on fair value hedges</w:t>
            </w:r>
          </w:p>
        </w:tc>
        <w:tc>
          <w:tcPr>
            <w:tcW w:w="96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spacing w:after="0"/>
              <w:rPr>
                <w:sz w:val="16"/>
                <w:szCs w:val="16"/>
                <w:color w:val="auto"/>
              </w:rPr>
            </w:pPr>
          </w:p>
        </w:tc>
        <w:tc>
          <w:tcPr>
            <w:tcW w:w="30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1280" w:type="dxa"/>
            <w:vAlign w:val="bottom"/>
            <w:tcBorders>
              <w:bottom w:val="single" w:sz="8" w:color="61656A"/>
            </w:tcBorders>
          </w:tcPr>
          <w:p>
            <w:pPr>
              <w:spacing w:after="0"/>
              <w:rPr>
                <w:sz w:val="16"/>
                <w:szCs w:val="16"/>
                <w:color w:val="auto"/>
              </w:rPr>
            </w:pPr>
          </w:p>
        </w:tc>
        <w:tc>
          <w:tcPr>
            <w:tcW w:w="300" w:type="dxa"/>
            <w:vAlign w:val="bottom"/>
            <w:tcBorders>
              <w:bottom w:val="single" w:sz="8" w:color="61656A"/>
            </w:tcBorders>
          </w:tcPr>
          <w:p>
            <w:pPr>
              <w:spacing w:after="0"/>
              <w:rPr>
                <w:sz w:val="16"/>
                <w:szCs w:val="16"/>
                <w:color w:val="auto"/>
              </w:rPr>
            </w:pPr>
          </w:p>
        </w:tc>
        <w:tc>
          <w:tcPr>
            <w:tcW w:w="98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760" w:type="dxa"/>
            <w:vAlign w:val="bottom"/>
            <w:tcBorders>
              <w:bottom w:val="single" w:sz="8" w:color="61656A"/>
            </w:tcBorders>
            <w:gridSpan w:val="2"/>
          </w:tcPr>
          <w:p>
            <w:pPr>
              <w:ind w:left="140"/>
              <w:spacing w:after="0"/>
              <w:rPr>
                <w:sz w:val="20"/>
                <w:szCs w:val="20"/>
                <w:color w:val="auto"/>
              </w:rPr>
            </w:pPr>
            <w:r>
              <w:rPr>
                <w:rFonts w:ascii="Arial" w:cs="Arial" w:eastAsia="Arial" w:hAnsi="Arial"/>
                <w:sz w:val="14"/>
                <w:szCs w:val="14"/>
                <w:color w:val="auto"/>
              </w:rPr>
              <w:t>Interest rate swap agreements</w:t>
            </w:r>
          </w:p>
        </w:tc>
        <w:tc>
          <w:tcPr>
            <w:tcW w:w="96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spacing w:after="0"/>
              <w:rPr>
                <w:sz w:val="16"/>
                <w:szCs w:val="16"/>
                <w:color w:val="auto"/>
              </w:rPr>
            </w:pPr>
          </w:p>
        </w:tc>
        <w:tc>
          <w:tcPr>
            <w:tcW w:w="30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1280" w:type="dxa"/>
            <w:vAlign w:val="bottom"/>
            <w:tcBorders>
              <w:bottom w:val="single" w:sz="8" w:color="61656A"/>
            </w:tcBorders>
          </w:tcPr>
          <w:p>
            <w:pPr>
              <w:spacing w:after="0"/>
              <w:rPr>
                <w:sz w:val="16"/>
                <w:szCs w:val="16"/>
                <w:color w:val="auto"/>
              </w:rPr>
            </w:pPr>
          </w:p>
        </w:tc>
        <w:tc>
          <w:tcPr>
            <w:tcW w:w="300" w:type="dxa"/>
            <w:vAlign w:val="bottom"/>
            <w:tcBorders>
              <w:bottom w:val="single" w:sz="8" w:color="61656A"/>
            </w:tcBorders>
          </w:tcPr>
          <w:p>
            <w:pPr>
              <w:spacing w:after="0"/>
              <w:rPr>
                <w:sz w:val="16"/>
                <w:szCs w:val="16"/>
                <w:color w:val="auto"/>
              </w:rPr>
            </w:pPr>
          </w:p>
        </w:tc>
        <w:tc>
          <w:tcPr>
            <w:tcW w:w="98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760" w:type="dxa"/>
            <w:vAlign w:val="bottom"/>
            <w:tcBorders>
              <w:bottom w:val="single" w:sz="8" w:color="61656A"/>
            </w:tcBorders>
            <w:gridSpan w:val="2"/>
          </w:tcPr>
          <w:p>
            <w:pPr>
              <w:ind w:left="240"/>
              <w:spacing w:after="0"/>
              <w:rPr>
                <w:sz w:val="20"/>
                <w:szCs w:val="20"/>
                <w:color w:val="auto"/>
              </w:rPr>
            </w:pPr>
            <w:r>
              <w:rPr>
                <w:rFonts w:ascii="Arial" w:cs="Arial" w:eastAsia="Arial" w:hAnsi="Arial"/>
                <w:sz w:val="14"/>
                <w:szCs w:val="14"/>
                <w:color w:val="auto"/>
              </w:rPr>
              <w:t>Hedged items</w:t>
            </w:r>
          </w:p>
        </w:tc>
        <w:tc>
          <w:tcPr>
            <w:tcW w:w="96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1656A"/>
            </w:tcBorders>
          </w:tcPr>
          <w:p>
            <w:pPr>
              <w:spacing w:after="0"/>
              <w:rPr>
                <w:sz w:val="17"/>
                <w:szCs w:val="17"/>
                <w:color w:val="auto"/>
              </w:rPr>
            </w:pPr>
          </w:p>
        </w:tc>
        <w:tc>
          <w:tcPr>
            <w:tcW w:w="9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spacing w:after="0"/>
              <w:rPr>
                <w:sz w:val="17"/>
                <w:szCs w:val="17"/>
                <w:color w:val="auto"/>
              </w:rPr>
            </w:pPr>
          </w:p>
        </w:tc>
        <w:tc>
          <w:tcPr>
            <w:tcW w:w="9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spacing w:after="0"/>
              <w:rPr>
                <w:sz w:val="17"/>
                <w:szCs w:val="17"/>
                <w:color w:val="auto"/>
              </w:rPr>
            </w:pPr>
          </w:p>
        </w:tc>
        <w:tc>
          <w:tcPr>
            <w:tcW w:w="9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96"/>
        </w:trPr>
        <w:tc>
          <w:tcPr>
            <w:tcW w:w="3760" w:type="dxa"/>
            <w:vAlign w:val="bottom"/>
            <w:tcBorders>
              <w:bottom w:val="single" w:sz="8" w:color="61656A"/>
            </w:tcBorders>
            <w:gridSpan w:val="2"/>
          </w:tcPr>
          <w:p>
            <w:pPr>
              <w:ind w:left="240"/>
              <w:spacing w:after="0"/>
              <w:rPr>
                <w:sz w:val="20"/>
                <w:szCs w:val="20"/>
                <w:color w:val="auto"/>
              </w:rPr>
            </w:pPr>
            <w:r>
              <w:rPr>
                <w:rFonts w:ascii="Arial" w:cs="Arial" w:eastAsia="Arial" w:hAnsi="Arial"/>
                <w:sz w:val="14"/>
                <w:szCs w:val="14"/>
                <w:color w:val="auto"/>
              </w:rPr>
              <w:t>Derivatives designated as hedges</w:t>
            </w:r>
          </w:p>
        </w:tc>
        <w:tc>
          <w:tcPr>
            <w:tcW w:w="96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1656A"/>
            </w:tcBorders>
          </w:tcPr>
          <w:p>
            <w:pPr>
              <w:spacing w:after="0"/>
              <w:rPr>
                <w:sz w:val="17"/>
                <w:szCs w:val="17"/>
                <w:color w:val="auto"/>
              </w:rPr>
            </w:pPr>
          </w:p>
        </w:tc>
        <w:tc>
          <w:tcPr>
            <w:tcW w:w="9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spacing w:after="0"/>
              <w:rPr>
                <w:sz w:val="17"/>
                <w:szCs w:val="17"/>
                <w:color w:val="auto"/>
              </w:rPr>
            </w:pPr>
          </w:p>
        </w:tc>
        <w:tc>
          <w:tcPr>
            <w:tcW w:w="9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spacing w:after="0"/>
              <w:rPr>
                <w:sz w:val="17"/>
                <w:szCs w:val="17"/>
                <w:color w:val="auto"/>
              </w:rPr>
            </w:pPr>
          </w:p>
        </w:tc>
        <w:tc>
          <w:tcPr>
            <w:tcW w:w="9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50"/>
        </w:trPr>
        <w:tc>
          <w:tcPr>
            <w:tcW w:w="3760" w:type="dxa"/>
            <w:vAlign w:val="bottom"/>
            <w:gridSpan w:val="2"/>
          </w:tcPr>
          <w:p>
            <w:pPr>
              <w:ind w:left="20"/>
              <w:spacing w:after="0" w:line="151" w:lineRule="exact"/>
              <w:rPr>
                <w:sz w:val="20"/>
                <w:szCs w:val="20"/>
                <w:color w:val="auto"/>
              </w:rPr>
            </w:pPr>
            <w:r>
              <w:rPr>
                <w:rFonts w:ascii="Arial" w:cs="Arial" w:eastAsia="Arial" w:hAnsi="Arial"/>
                <w:sz w:val="14"/>
                <w:szCs w:val="14"/>
                <w:b w:val="1"/>
                <w:bCs w:val="1"/>
                <w:color w:val="auto"/>
              </w:rPr>
              <w:t>Gain or (loss) on derivatives not designated as</w:t>
            </w:r>
          </w:p>
        </w:tc>
        <w:tc>
          <w:tcPr>
            <w:tcW w:w="9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3760" w:type="dxa"/>
            <w:vAlign w:val="bottom"/>
            <w:tcBorders>
              <w:bottom w:val="single" w:sz="8" w:color="61656A"/>
            </w:tcBorders>
            <w:gridSpan w:val="2"/>
          </w:tcPr>
          <w:p>
            <w:pPr>
              <w:ind w:left="20"/>
              <w:spacing w:after="0"/>
              <w:rPr>
                <w:sz w:val="20"/>
                <w:szCs w:val="20"/>
                <w:color w:val="auto"/>
              </w:rPr>
            </w:pPr>
            <w:r>
              <w:rPr>
                <w:rFonts w:ascii="Arial" w:cs="Arial" w:eastAsia="Arial" w:hAnsi="Arial"/>
                <w:sz w:val="14"/>
                <w:szCs w:val="14"/>
                <w:b w:val="1"/>
                <w:bCs w:val="1"/>
                <w:color w:val="auto"/>
              </w:rPr>
              <w:t>hedging instruments</w:t>
            </w:r>
          </w:p>
        </w:tc>
        <w:tc>
          <w:tcPr>
            <w:tcW w:w="96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spacing w:after="0"/>
              <w:rPr>
                <w:sz w:val="16"/>
                <w:szCs w:val="16"/>
                <w:color w:val="auto"/>
              </w:rPr>
            </w:pPr>
          </w:p>
        </w:tc>
        <w:tc>
          <w:tcPr>
            <w:tcW w:w="30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1280" w:type="dxa"/>
            <w:vAlign w:val="bottom"/>
            <w:tcBorders>
              <w:bottom w:val="single" w:sz="8" w:color="61656A"/>
            </w:tcBorders>
          </w:tcPr>
          <w:p>
            <w:pPr>
              <w:spacing w:after="0"/>
              <w:rPr>
                <w:sz w:val="16"/>
                <w:szCs w:val="16"/>
                <w:color w:val="auto"/>
              </w:rPr>
            </w:pPr>
          </w:p>
        </w:tc>
        <w:tc>
          <w:tcPr>
            <w:tcW w:w="300" w:type="dxa"/>
            <w:vAlign w:val="bottom"/>
            <w:tcBorders>
              <w:bottom w:val="single" w:sz="8" w:color="61656A"/>
            </w:tcBorders>
          </w:tcPr>
          <w:p>
            <w:pPr>
              <w:spacing w:after="0"/>
              <w:rPr>
                <w:sz w:val="16"/>
                <w:szCs w:val="16"/>
                <w:color w:val="auto"/>
              </w:rPr>
            </w:pPr>
          </w:p>
        </w:tc>
        <w:tc>
          <w:tcPr>
            <w:tcW w:w="98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760" w:type="dxa"/>
            <w:vAlign w:val="bottom"/>
            <w:tcBorders>
              <w:bottom w:val="single" w:sz="8" w:color="D7282F"/>
            </w:tcBorders>
            <w:gridSpan w:val="2"/>
          </w:tcPr>
          <w:p>
            <w:pPr>
              <w:ind w:left="140"/>
              <w:spacing w:after="0"/>
              <w:rPr>
                <w:sz w:val="20"/>
                <w:szCs w:val="20"/>
                <w:color w:val="auto"/>
              </w:rPr>
            </w:pPr>
            <w:r>
              <w:rPr>
                <w:rFonts w:ascii="Arial" w:cs="Arial" w:eastAsia="Arial" w:hAnsi="Arial"/>
                <w:sz w:val="14"/>
                <w:szCs w:val="14"/>
                <w:color w:val="auto"/>
              </w:rPr>
              <w:t>Foreign currency exchange contracts</w:t>
            </w:r>
          </w:p>
        </w:tc>
        <w:tc>
          <w:tcPr>
            <w:tcW w:w="9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D7282F"/>
            </w:tcBorders>
          </w:tcPr>
          <w:p>
            <w:pPr>
              <w:spacing w:after="0"/>
              <w:rPr>
                <w:sz w:val="16"/>
                <w:szCs w:val="16"/>
                <w:color w:val="auto"/>
              </w:rPr>
            </w:pPr>
          </w:p>
        </w:tc>
        <w:tc>
          <w:tcPr>
            <w:tcW w:w="9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D7282F"/>
            </w:tcBorders>
          </w:tcPr>
          <w:p>
            <w:pPr>
              <w:spacing w:after="0"/>
              <w:rPr>
                <w:sz w:val="16"/>
                <w:szCs w:val="16"/>
                <w:color w:val="auto"/>
              </w:rPr>
            </w:pPr>
          </w:p>
        </w:tc>
        <w:tc>
          <w:tcPr>
            <w:tcW w:w="9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7282F"/>
            </w:tcBorders>
          </w:tcPr>
          <w:p>
            <w:pPr>
              <w:spacing w:after="0"/>
              <w:rPr>
                <w:sz w:val="16"/>
                <w:szCs w:val="16"/>
                <w:color w:val="auto"/>
              </w:rPr>
            </w:pPr>
          </w:p>
        </w:tc>
        <w:tc>
          <w:tcPr>
            <w:tcW w:w="12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D7282F"/>
            </w:tcBorders>
          </w:tcPr>
          <w:p>
            <w:pPr>
              <w:spacing w:after="0"/>
              <w:rPr>
                <w:sz w:val="16"/>
                <w:szCs w:val="16"/>
                <w:color w:val="auto"/>
              </w:rPr>
            </w:pPr>
          </w:p>
        </w:tc>
        <w:tc>
          <w:tcPr>
            <w:tcW w:w="9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(80)</w:t>
            </w:r>
          </w:p>
        </w:tc>
        <w:tc>
          <w:tcPr>
            <w:tcW w:w="22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DC202E"/>
        </w:rPr>
        <w:t>20</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amounts of gain or (loss) on net investment hedges recognized in Accumulated other comprehensive income (loss):</w:t>
      </w:r>
    </w:p>
    <w:p>
      <w:pPr>
        <w:spacing w:after="0" w:line="199" w:lineRule="exact"/>
        <w:rPr>
          <w:sz w:val="20"/>
          <w:szCs w:val="20"/>
          <w:color w:val="auto"/>
        </w:rPr>
      </w:pPr>
    </w:p>
    <w:p>
      <w:pPr>
        <w:jc w:val="center"/>
        <w:ind w:left="9260"/>
        <w:spacing w:after="0"/>
        <w:rPr>
          <w:sz w:val="20"/>
          <w:szCs w:val="20"/>
          <w:color w:val="auto"/>
        </w:rPr>
      </w:pPr>
      <w:r>
        <w:rPr>
          <w:rFonts w:ascii="Arial" w:cs="Arial" w:eastAsia="Arial" w:hAnsi="Arial"/>
          <w:sz w:val="14"/>
          <w:szCs w:val="14"/>
          <w:b w:val="1"/>
          <w:bCs w:val="1"/>
          <w:color w:val="auto"/>
        </w:rPr>
        <w:t>Three Months Ended March</w:t>
      </w:r>
    </w:p>
    <w:p>
      <w:pPr>
        <w:spacing w:after="0" w:line="2" w:lineRule="exact"/>
        <w:rPr>
          <w:sz w:val="20"/>
          <w:szCs w:val="20"/>
          <w:color w:val="auto"/>
        </w:rPr>
      </w:pPr>
    </w:p>
    <w:p>
      <w:pPr>
        <w:jc w:val="center"/>
        <w:ind w:left="9260"/>
        <w:spacing w:after="0"/>
        <w:rPr>
          <w:sz w:val="20"/>
          <w:szCs w:val="20"/>
          <w:color w:val="auto"/>
        </w:rPr>
      </w:pPr>
      <w:r>
        <w:rPr>
          <w:rFonts w:ascii="Arial" w:cs="Arial" w:eastAsia="Arial" w:hAnsi="Arial"/>
          <w:sz w:val="14"/>
          <w:szCs w:val="14"/>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6350</wp:posOffset>
            </wp:positionV>
            <wp:extent cx="124333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840" w:type="dxa"/>
            <w:vAlign w:val="bottom"/>
            <w:tcBorders>
              <w:bottom w:val="single" w:sz="8" w:color="D7282F"/>
            </w:tcBorders>
          </w:tcPr>
          <w:p>
            <w:pPr>
              <w:spacing w:after="0"/>
              <w:rPr>
                <w:sz w:val="17"/>
                <w:szCs w:val="17"/>
                <w:color w:val="auto"/>
              </w:rPr>
            </w:pPr>
          </w:p>
        </w:tc>
        <w:tc>
          <w:tcPr>
            <w:tcW w:w="40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2024</w:t>
            </w:r>
          </w:p>
        </w:tc>
        <w:tc>
          <w:tcPr>
            <w:tcW w:w="340" w:type="dxa"/>
            <w:vAlign w:val="bottom"/>
            <w:tcBorders>
              <w:bottom w:val="single" w:sz="8" w:color="D7282F"/>
            </w:tcBorders>
          </w:tcPr>
          <w:p>
            <w:pPr>
              <w:spacing w:after="0"/>
              <w:rPr>
                <w:sz w:val="17"/>
                <w:szCs w:val="17"/>
                <w:color w:val="auto"/>
              </w:rPr>
            </w:pP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2023</w:t>
            </w:r>
          </w:p>
        </w:tc>
      </w:tr>
      <w:tr>
        <w:trPr>
          <w:trHeight w:val="193"/>
        </w:trPr>
        <w:tc>
          <w:tcPr>
            <w:tcW w:w="58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Euro-denominated long-term debt</w:t>
            </w:r>
          </w:p>
        </w:tc>
        <w:tc>
          <w:tcPr>
            <w:tcW w:w="4060" w:type="dxa"/>
            <w:vAlign w:val="bottom"/>
            <w:tcBorders>
              <w:bottom w:val="single" w:sz="8" w:color="61656A"/>
            </w:tcBorders>
          </w:tcPr>
          <w:p>
            <w:pPr>
              <w:jc w:val="right"/>
              <w:ind w:right="44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39</w:t>
            </w:r>
          </w:p>
        </w:tc>
        <w:tc>
          <w:tcPr>
            <w:tcW w:w="32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(49)</w:t>
            </w:r>
          </w:p>
        </w:tc>
      </w:tr>
      <w:tr>
        <w:trPr>
          <w:trHeight w:val="196"/>
        </w:trPr>
        <w:tc>
          <w:tcPr>
            <w:tcW w:w="58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Euro-denominated commercial paper</w:t>
            </w:r>
          </w:p>
        </w:tc>
        <w:tc>
          <w:tcPr>
            <w:tcW w:w="4060" w:type="dxa"/>
            <w:vAlign w:val="bottom"/>
            <w:tcBorders>
              <w:bottom w:val="single" w:sz="8" w:color="61656A"/>
            </w:tcBorders>
          </w:tcPr>
          <w:p>
            <w:pPr>
              <w:spacing w:after="0"/>
              <w:rPr>
                <w:sz w:val="17"/>
                <w:szCs w:val="17"/>
                <w:color w:val="auto"/>
              </w:rPr>
            </w:pPr>
          </w:p>
        </w:tc>
        <w:tc>
          <w:tcPr>
            <w:tcW w:w="3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19</w:t>
            </w: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(28)</w:t>
            </w:r>
          </w:p>
        </w:tc>
      </w:tr>
      <w:tr>
        <w:trPr>
          <w:trHeight w:val="196"/>
        </w:trPr>
        <w:tc>
          <w:tcPr>
            <w:tcW w:w="58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Cross currency swap agreements</w:t>
            </w:r>
          </w:p>
        </w:tc>
        <w:tc>
          <w:tcPr>
            <w:tcW w:w="406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75</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(57)</w:t>
            </w:r>
          </w:p>
        </w:tc>
      </w:tr>
    </w:tbl>
    <w:p>
      <w:pPr>
        <w:spacing w:after="0" w:line="332" w:lineRule="exact"/>
        <w:rPr>
          <w:sz w:val="20"/>
          <w:szCs w:val="20"/>
          <w:color w:val="auto"/>
        </w:rPr>
      </w:pPr>
    </w:p>
    <w:p>
      <w:pPr>
        <w:spacing w:after="0"/>
        <w:rPr>
          <w:sz w:val="20"/>
          <w:szCs w:val="20"/>
          <w:color w:val="auto"/>
        </w:rPr>
      </w:pPr>
      <w:r>
        <w:rPr>
          <w:rFonts w:ascii="Arial" w:cs="Arial" w:eastAsia="Arial" w:hAnsi="Arial"/>
          <w:sz w:val="29"/>
          <w:szCs w:val="29"/>
          <w:color w:val="D7282F"/>
        </w:rPr>
        <w:t>NOTE 12. FAIR VALUE MEASUREMENTS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accounting guidance for fair value measurements and disclosures establishes a three-level fair value hierarchy:</w:t>
      </w:r>
    </w:p>
    <w:p>
      <w:pPr>
        <w:spacing w:after="0" w:line="113" w:lineRule="exact"/>
        <w:rPr>
          <w:sz w:val="20"/>
          <w:szCs w:val="20"/>
          <w:color w:val="auto"/>
        </w:rPr>
      </w:pPr>
    </w:p>
    <w:p>
      <w:pPr>
        <w:ind w:left="200" w:hanging="192"/>
        <w:spacing w:after="0"/>
        <w:tabs>
          <w:tab w:leader="none" w:pos="200" w:val="left"/>
        </w:tabs>
        <w:numPr>
          <w:ilvl w:val="0"/>
          <w:numId w:val="19"/>
        </w:numPr>
        <w:rPr>
          <w:rFonts w:ascii="Arial" w:cs="Arial" w:eastAsia="Arial" w:hAnsi="Arial"/>
          <w:sz w:val="16"/>
          <w:szCs w:val="16"/>
          <w:color w:val="D7282F"/>
        </w:rPr>
      </w:pPr>
      <w:r>
        <w:rPr>
          <w:rFonts w:ascii="Arial" w:cs="Arial" w:eastAsia="Arial" w:hAnsi="Arial"/>
          <w:sz w:val="16"/>
          <w:szCs w:val="16"/>
          <w:color w:val="auto"/>
        </w:rPr>
        <w:t>Level 1 - Inputs are based on quoted prices in active markets for identical assets and liabilities.</w:t>
      </w:r>
    </w:p>
    <w:p>
      <w:pPr>
        <w:spacing w:after="0" w:line="86" w:lineRule="exact"/>
        <w:rPr>
          <w:rFonts w:ascii="Arial" w:cs="Arial" w:eastAsia="Arial" w:hAnsi="Arial"/>
          <w:sz w:val="16"/>
          <w:szCs w:val="16"/>
          <w:color w:val="D7282F"/>
        </w:rPr>
      </w:pPr>
    </w:p>
    <w:p>
      <w:pPr>
        <w:ind w:left="200" w:hanging="192"/>
        <w:spacing w:after="0"/>
        <w:tabs>
          <w:tab w:leader="none" w:pos="200" w:val="left"/>
        </w:tabs>
        <w:numPr>
          <w:ilvl w:val="0"/>
          <w:numId w:val="19"/>
        </w:numPr>
        <w:rPr>
          <w:rFonts w:ascii="Arial" w:cs="Arial" w:eastAsia="Arial" w:hAnsi="Arial"/>
          <w:sz w:val="16"/>
          <w:szCs w:val="16"/>
          <w:color w:val="D7282F"/>
        </w:rPr>
      </w:pPr>
      <w:r>
        <w:rPr>
          <w:rFonts w:ascii="Arial" w:cs="Arial" w:eastAsia="Arial" w:hAnsi="Arial"/>
          <w:sz w:val="16"/>
          <w:szCs w:val="16"/>
          <w:color w:val="auto"/>
        </w:rPr>
        <w:t>Level 2 - Inputs are based on observable inputs other than quoted prices in active markets for identical or similar assets and liabilities.</w:t>
      </w:r>
    </w:p>
    <w:p>
      <w:pPr>
        <w:spacing w:after="0" w:line="86" w:lineRule="exact"/>
        <w:rPr>
          <w:rFonts w:ascii="Arial" w:cs="Arial" w:eastAsia="Arial" w:hAnsi="Arial"/>
          <w:sz w:val="16"/>
          <w:szCs w:val="16"/>
          <w:color w:val="D7282F"/>
        </w:rPr>
      </w:pPr>
    </w:p>
    <w:p>
      <w:pPr>
        <w:ind w:left="200" w:hanging="192"/>
        <w:spacing w:after="0"/>
        <w:tabs>
          <w:tab w:leader="none" w:pos="200" w:val="left"/>
        </w:tabs>
        <w:numPr>
          <w:ilvl w:val="0"/>
          <w:numId w:val="19"/>
        </w:numPr>
        <w:rPr>
          <w:rFonts w:ascii="Arial" w:cs="Arial" w:eastAsia="Arial" w:hAnsi="Arial"/>
          <w:sz w:val="16"/>
          <w:szCs w:val="16"/>
          <w:color w:val="D7282F"/>
        </w:rPr>
      </w:pPr>
      <w:r>
        <w:rPr>
          <w:rFonts w:ascii="Arial" w:cs="Arial" w:eastAsia="Arial" w:hAnsi="Arial"/>
          <w:sz w:val="16"/>
          <w:szCs w:val="16"/>
          <w:color w:val="auto"/>
        </w:rPr>
        <w:t>Level 3 - One or more inputs are unobservable and significant.</w:t>
      </w:r>
    </w:p>
    <w:p>
      <w:pPr>
        <w:spacing w:after="0" w:line="113"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Financial and nonfinancial assets and liabilities are classified in their entirety based on the lowest level of input that is significant to the fair value measurement.</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Company’s financial assets and liabilities that were accounted for at fair value on a recurring basis: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540" w:type="dxa"/>
            <w:vAlign w:val="bottom"/>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1720" w:type="dxa"/>
            <w:vAlign w:val="bottom"/>
            <w:tcBorders>
              <w:bottom w:val="single" w:sz="8" w:color="D7282F"/>
            </w:tcBorders>
            <w:gridSpan w:val="3"/>
          </w:tcPr>
          <w:p>
            <w:pPr>
              <w:jc w:val="right"/>
              <w:ind w:right="368"/>
              <w:spacing w:after="0"/>
              <w:rPr>
                <w:sz w:val="20"/>
                <w:szCs w:val="20"/>
                <w:color w:val="auto"/>
              </w:rPr>
            </w:pPr>
            <w:r>
              <w:rPr>
                <w:rFonts w:ascii="Arial" w:cs="Arial" w:eastAsia="Arial" w:hAnsi="Arial"/>
                <w:sz w:val="14"/>
                <w:szCs w:val="14"/>
                <w:b w:val="1"/>
                <w:bCs w:val="1"/>
                <w:color w:val="auto"/>
              </w:rPr>
              <w:t>March 31, 2024</w:t>
            </w:r>
          </w:p>
        </w:tc>
        <w:tc>
          <w:tcPr>
            <w:tcW w:w="3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spacing w:after="0"/>
              <w:rPr>
                <w:sz w:val="17"/>
                <w:szCs w:val="17"/>
                <w:color w:val="auto"/>
              </w:rPr>
            </w:pPr>
          </w:p>
        </w:tc>
        <w:tc>
          <w:tcPr>
            <w:tcW w:w="260" w:type="dxa"/>
            <w:vAlign w:val="bottom"/>
            <w:tcBorders>
              <w:bottom w:val="single" w:sz="8" w:color="D7282F"/>
            </w:tcBorders>
          </w:tcPr>
          <w:p>
            <w:pPr>
              <w:spacing w:after="0"/>
              <w:rPr>
                <w:sz w:val="17"/>
                <w:szCs w:val="17"/>
                <w:color w:val="auto"/>
              </w:rPr>
            </w:pPr>
          </w:p>
        </w:tc>
        <w:tc>
          <w:tcPr>
            <w:tcW w:w="1740" w:type="dxa"/>
            <w:vAlign w:val="bottom"/>
            <w:tcBorders>
              <w:bottom w:val="single" w:sz="8" w:color="D7282F"/>
            </w:tcBorders>
            <w:gridSpan w:val="3"/>
          </w:tcPr>
          <w:p>
            <w:pPr>
              <w:jc w:val="right"/>
              <w:ind w:right="248"/>
              <w:spacing w:after="0"/>
              <w:rPr>
                <w:sz w:val="20"/>
                <w:szCs w:val="20"/>
                <w:color w:val="auto"/>
              </w:rPr>
            </w:pPr>
            <w:r>
              <w:rPr>
                <w:rFonts w:ascii="Arial" w:cs="Arial" w:eastAsia="Arial" w:hAnsi="Arial"/>
                <w:sz w:val="14"/>
                <w:szCs w:val="14"/>
                <w:b w:val="1"/>
                <w:bCs w:val="1"/>
                <w:color w:val="auto"/>
              </w:rPr>
              <w:t>December 31, 2023</w:t>
            </w:r>
          </w:p>
        </w:tc>
        <w:tc>
          <w:tcPr>
            <w:tcW w:w="28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spacing w:after="0"/>
              <w:rPr>
                <w:sz w:val="17"/>
                <w:szCs w:val="17"/>
                <w:color w:val="auto"/>
              </w:rPr>
            </w:pPr>
          </w:p>
        </w:tc>
      </w:tr>
      <w:tr>
        <w:trPr>
          <w:trHeight w:val="196"/>
        </w:trPr>
        <w:tc>
          <w:tcPr>
            <w:tcW w:w="3540" w:type="dxa"/>
            <w:vAlign w:val="bottom"/>
            <w:tcBorders>
              <w:bottom w:val="single" w:sz="8" w:color="D7282F"/>
            </w:tcBorders>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Level 1</w:t>
            </w:r>
          </w:p>
        </w:tc>
        <w:tc>
          <w:tcPr>
            <w:tcW w:w="2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Level 2</w:t>
            </w:r>
          </w:p>
        </w:tc>
        <w:tc>
          <w:tcPr>
            <w:tcW w:w="2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Level 3</w:t>
            </w:r>
          </w:p>
        </w:tc>
        <w:tc>
          <w:tcPr>
            <w:tcW w:w="300" w:type="dxa"/>
            <w:vAlign w:val="bottom"/>
            <w:tcBorders>
              <w:bottom w:val="single" w:sz="8" w:color="D7282F"/>
            </w:tcBorders>
          </w:tcPr>
          <w:p>
            <w:pPr>
              <w:spacing w:after="0"/>
              <w:rPr>
                <w:sz w:val="17"/>
                <w:szCs w:val="17"/>
                <w:color w:val="auto"/>
              </w:rPr>
            </w:pPr>
          </w:p>
        </w:tc>
        <w:tc>
          <w:tcPr>
            <w:tcW w:w="820" w:type="dxa"/>
            <w:vAlign w:val="bottom"/>
            <w:tcBorders>
              <w:bottom w:val="single" w:sz="8" w:color="D7282F"/>
            </w:tcBorders>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Level 1</w:t>
            </w:r>
          </w:p>
        </w:tc>
        <w:tc>
          <w:tcPr>
            <w:tcW w:w="2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Level 2</w:t>
            </w:r>
          </w:p>
        </w:tc>
        <w:tc>
          <w:tcPr>
            <w:tcW w:w="2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Level 3</w:t>
            </w:r>
          </w:p>
        </w:tc>
        <w:tc>
          <w:tcPr>
            <w:tcW w:w="28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Total</w:t>
            </w:r>
          </w:p>
        </w:tc>
      </w:tr>
      <w:tr>
        <w:trPr>
          <w:trHeight w:val="196"/>
        </w:trPr>
        <w:tc>
          <w:tcPr>
            <w:tcW w:w="354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Assets</w:t>
            </w:r>
          </w:p>
        </w:tc>
        <w:tc>
          <w:tcPr>
            <w:tcW w:w="12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spacing w:after="0"/>
              <w:rPr>
                <w:sz w:val="17"/>
                <w:szCs w:val="17"/>
                <w:color w:val="auto"/>
              </w:rPr>
            </w:pPr>
          </w:p>
        </w:tc>
        <w:tc>
          <w:tcPr>
            <w:tcW w:w="30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12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spacing w:after="0"/>
              <w:rPr>
                <w:sz w:val="17"/>
                <w:szCs w:val="17"/>
                <w:color w:val="auto"/>
              </w:rPr>
            </w:pPr>
          </w:p>
        </w:tc>
        <w:tc>
          <w:tcPr>
            <w:tcW w:w="28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spacing w:after="0"/>
              <w:rPr>
                <w:sz w:val="17"/>
                <w:szCs w:val="17"/>
                <w:color w:val="auto"/>
              </w:rPr>
            </w:pPr>
          </w:p>
        </w:tc>
      </w:tr>
      <w:tr>
        <w:trPr>
          <w:trHeight w:val="193"/>
        </w:trPr>
        <w:tc>
          <w:tcPr>
            <w:tcW w:w="35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Foreign currency exchange contracts</w:t>
            </w:r>
          </w:p>
        </w:tc>
        <w:tc>
          <w:tcPr>
            <w:tcW w:w="1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50</w:t>
            </w:r>
          </w:p>
        </w:tc>
        <w:tc>
          <w:tcPr>
            <w:tcW w:w="2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50</w:t>
            </w:r>
          </w:p>
        </w:tc>
        <w:tc>
          <w:tcPr>
            <w:tcW w:w="220" w:type="dxa"/>
            <w:vAlign w:val="bottom"/>
            <w:tcBorders>
              <w:bottom w:val="single" w:sz="8" w:color="61656A"/>
            </w:tcBorders>
          </w:tcPr>
          <w:p>
            <w:pPr>
              <w:spacing w:after="0"/>
              <w:rPr>
                <w:sz w:val="16"/>
                <w:szCs w:val="16"/>
                <w:color w:val="auto"/>
              </w:rPr>
            </w:pPr>
          </w:p>
        </w:tc>
        <w:tc>
          <w:tcPr>
            <w:tcW w:w="1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35</w:t>
            </w:r>
          </w:p>
        </w:tc>
        <w:tc>
          <w:tcPr>
            <w:tcW w:w="2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35</w:t>
            </w:r>
          </w:p>
        </w:tc>
      </w:tr>
      <w:tr>
        <w:trPr>
          <w:trHeight w:val="196"/>
        </w:trPr>
        <w:tc>
          <w:tcPr>
            <w:tcW w:w="35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Available for sale investments</w:t>
            </w:r>
          </w:p>
        </w:tc>
        <w:tc>
          <w:tcPr>
            <w:tcW w:w="12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66</w:t>
            </w:r>
          </w:p>
        </w:tc>
        <w:tc>
          <w:tcPr>
            <w:tcW w:w="2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293</w:t>
            </w:r>
          </w:p>
        </w:tc>
        <w:tc>
          <w:tcPr>
            <w:tcW w:w="26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359</w:t>
            </w:r>
          </w:p>
        </w:tc>
        <w:tc>
          <w:tcPr>
            <w:tcW w:w="220" w:type="dxa"/>
            <w:vAlign w:val="bottom"/>
            <w:tcBorders>
              <w:bottom w:val="single" w:sz="8" w:color="61656A"/>
            </w:tcBorders>
          </w:tcPr>
          <w:p>
            <w:pPr>
              <w:spacing w:after="0"/>
              <w:rPr>
                <w:sz w:val="17"/>
                <w:szCs w:val="17"/>
                <w:color w:val="auto"/>
              </w:rPr>
            </w:pPr>
          </w:p>
        </w:tc>
        <w:tc>
          <w:tcPr>
            <w:tcW w:w="12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63</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217</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280</w:t>
            </w:r>
          </w:p>
        </w:tc>
      </w:tr>
      <w:tr>
        <w:trPr>
          <w:trHeight w:val="196"/>
        </w:trPr>
        <w:tc>
          <w:tcPr>
            <w:tcW w:w="35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Interest rate swap agreements</w:t>
            </w:r>
          </w:p>
        </w:tc>
        <w:tc>
          <w:tcPr>
            <w:tcW w:w="12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18</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18</w:t>
            </w:r>
          </w:p>
        </w:tc>
      </w:tr>
      <w:tr>
        <w:trPr>
          <w:trHeight w:val="196"/>
        </w:trPr>
        <w:tc>
          <w:tcPr>
            <w:tcW w:w="35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Cross currency swap agreements</w:t>
            </w:r>
          </w:p>
        </w:tc>
        <w:tc>
          <w:tcPr>
            <w:tcW w:w="12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4</w:t>
            </w:r>
          </w:p>
        </w:tc>
        <w:tc>
          <w:tcPr>
            <w:tcW w:w="26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w:t>
            </w:r>
          </w:p>
        </w:tc>
        <w:tc>
          <w:tcPr>
            <w:tcW w:w="220" w:type="dxa"/>
            <w:vAlign w:val="bottom"/>
            <w:tcBorders>
              <w:bottom w:val="single" w:sz="8" w:color="61656A"/>
            </w:tcBorders>
          </w:tcPr>
          <w:p>
            <w:pPr>
              <w:spacing w:after="0"/>
              <w:rPr>
                <w:sz w:val="17"/>
                <w:szCs w:val="17"/>
                <w:color w:val="auto"/>
              </w:rPr>
            </w:pPr>
          </w:p>
        </w:tc>
        <w:tc>
          <w:tcPr>
            <w:tcW w:w="12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35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Investments in equity securities</w:t>
            </w:r>
          </w:p>
        </w:tc>
        <w:tc>
          <w:tcPr>
            <w:tcW w:w="12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15</w:t>
            </w:r>
          </w:p>
        </w:tc>
        <w:tc>
          <w:tcPr>
            <w:tcW w:w="2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w:t>
            </w:r>
          </w:p>
        </w:tc>
        <w:tc>
          <w:tcPr>
            <w:tcW w:w="220" w:type="dxa"/>
            <w:vAlign w:val="bottom"/>
            <w:tcBorders>
              <w:bottom w:val="single" w:sz="8" w:color="61656A"/>
            </w:tcBorders>
          </w:tcPr>
          <w:p>
            <w:pPr>
              <w:spacing w:after="0"/>
              <w:rPr>
                <w:sz w:val="17"/>
                <w:szCs w:val="17"/>
                <w:color w:val="auto"/>
              </w:rPr>
            </w:pPr>
          </w:p>
        </w:tc>
        <w:tc>
          <w:tcPr>
            <w:tcW w:w="12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22</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22</w:t>
            </w:r>
          </w:p>
        </w:tc>
      </w:tr>
      <w:tr>
        <w:trPr>
          <w:trHeight w:val="196"/>
        </w:trPr>
        <w:tc>
          <w:tcPr>
            <w:tcW w:w="354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Right to HWI Net Sale Proceeds</w:t>
            </w:r>
          </w:p>
        </w:tc>
        <w:tc>
          <w:tcPr>
            <w:tcW w:w="12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9</w:t>
            </w:r>
          </w:p>
        </w:tc>
        <w:tc>
          <w:tcPr>
            <w:tcW w:w="3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9</w:t>
            </w:r>
          </w:p>
        </w:tc>
        <w:tc>
          <w:tcPr>
            <w:tcW w:w="220" w:type="dxa"/>
            <w:vAlign w:val="bottom"/>
            <w:tcBorders>
              <w:bottom w:val="single" w:sz="8" w:color="D7282F"/>
            </w:tcBorders>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9</w:t>
            </w:r>
          </w:p>
        </w:tc>
        <w:tc>
          <w:tcPr>
            <w:tcW w:w="28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9</w:t>
            </w:r>
          </w:p>
        </w:tc>
      </w:tr>
      <w:tr>
        <w:trPr>
          <w:trHeight w:val="199"/>
        </w:trPr>
        <w:tc>
          <w:tcPr>
            <w:tcW w:w="354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assets</w:t>
            </w: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81</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347</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9</w:t>
            </w:r>
          </w:p>
        </w:tc>
        <w:tc>
          <w:tcPr>
            <w:tcW w:w="3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437</w:t>
            </w:r>
          </w:p>
        </w:tc>
        <w:tc>
          <w:tcPr>
            <w:tcW w:w="220" w:type="dxa"/>
            <w:vAlign w:val="bottom"/>
            <w:tcBorders>
              <w:bottom w:val="single" w:sz="8" w:color="D7282F"/>
            </w:tcBorders>
          </w:tcPr>
          <w:p>
            <w:pPr>
              <w:spacing w:after="0"/>
              <w:rPr>
                <w:sz w:val="17"/>
                <w:szCs w:val="17"/>
                <w:color w:val="auto"/>
              </w:rPr>
            </w:pP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85</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270</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9</w:t>
            </w:r>
          </w:p>
        </w:tc>
        <w:tc>
          <w:tcPr>
            <w:tcW w:w="2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364</w:t>
            </w:r>
          </w:p>
        </w:tc>
      </w:tr>
      <w:tr>
        <w:trPr>
          <w:trHeight w:val="196"/>
        </w:trPr>
        <w:tc>
          <w:tcPr>
            <w:tcW w:w="354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Liabilities</w:t>
            </w:r>
          </w:p>
        </w:tc>
        <w:tc>
          <w:tcPr>
            <w:tcW w:w="12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spacing w:after="0"/>
              <w:rPr>
                <w:sz w:val="17"/>
                <w:szCs w:val="17"/>
                <w:color w:val="auto"/>
              </w:rPr>
            </w:pPr>
          </w:p>
        </w:tc>
        <w:tc>
          <w:tcPr>
            <w:tcW w:w="30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12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spacing w:after="0"/>
              <w:rPr>
                <w:sz w:val="17"/>
                <w:szCs w:val="17"/>
                <w:color w:val="auto"/>
              </w:rPr>
            </w:pPr>
          </w:p>
        </w:tc>
        <w:tc>
          <w:tcPr>
            <w:tcW w:w="28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spacing w:after="0"/>
              <w:rPr>
                <w:sz w:val="17"/>
                <w:szCs w:val="17"/>
                <w:color w:val="auto"/>
              </w:rPr>
            </w:pPr>
          </w:p>
        </w:tc>
      </w:tr>
      <w:tr>
        <w:trPr>
          <w:trHeight w:val="193"/>
        </w:trPr>
        <w:tc>
          <w:tcPr>
            <w:tcW w:w="35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Foreign currency exchange contracts</w:t>
            </w:r>
          </w:p>
        </w:tc>
        <w:tc>
          <w:tcPr>
            <w:tcW w:w="1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19</w:t>
            </w:r>
          </w:p>
        </w:tc>
        <w:tc>
          <w:tcPr>
            <w:tcW w:w="2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19</w:t>
            </w:r>
          </w:p>
        </w:tc>
        <w:tc>
          <w:tcPr>
            <w:tcW w:w="220" w:type="dxa"/>
            <w:vAlign w:val="bottom"/>
            <w:tcBorders>
              <w:bottom w:val="single" w:sz="8" w:color="61656A"/>
            </w:tcBorders>
          </w:tcPr>
          <w:p>
            <w:pPr>
              <w:spacing w:after="0"/>
              <w:rPr>
                <w:sz w:val="16"/>
                <w:szCs w:val="16"/>
                <w:color w:val="auto"/>
              </w:rPr>
            </w:pPr>
          </w:p>
        </w:tc>
        <w:tc>
          <w:tcPr>
            <w:tcW w:w="1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9</w:t>
            </w:r>
          </w:p>
        </w:tc>
        <w:tc>
          <w:tcPr>
            <w:tcW w:w="2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w:t>
            </w:r>
          </w:p>
        </w:tc>
      </w:tr>
      <w:tr>
        <w:trPr>
          <w:trHeight w:val="196"/>
        </w:trPr>
        <w:tc>
          <w:tcPr>
            <w:tcW w:w="35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Interest rate swap agreements</w:t>
            </w:r>
          </w:p>
        </w:tc>
        <w:tc>
          <w:tcPr>
            <w:tcW w:w="12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208</w:t>
            </w:r>
          </w:p>
        </w:tc>
        <w:tc>
          <w:tcPr>
            <w:tcW w:w="26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208</w:t>
            </w:r>
          </w:p>
        </w:tc>
        <w:tc>
          <w:tcPr>
            <w:tcW w:w="220" w:type="dxa"/>
            <w:vAlign w:val="bottom"/>
            <w:tcBorders>
              <w:bottom w:val="single" w:sz="8" w:color="61656A"/>
            </w:tcBorders>
          </w:tcPr>
          <w:p>
            <w:pPr>
              <w:spacing w:after="0"/>
              <w:rPr>
                <w:sz w:val="17"/>
                <w:szCs w:val="17"/>
                <w:color w:val="auto"/>
              </w:rPr>
            </w:pPr>
          </w:p>
        </w:tc>
        <w:tc>
          <w:tcPr>
            <w:tcW w:w="12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184</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184</w:t>
            </w:r>
          </w:p>
        </w:tc>
      </w:tr>
      <w:tr>
        <w:trPr>
          <w:trHeight w:val="196"/>
        </w:trPr>
        <w:tc>
          <w:tcPr>
            <w:tcW w:w="35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Commodity contracts</w:t>
            </w:r>
          </w:p>
        </w:tc>
        <w:tc>
          <w:tcPr>
            <w:tcW w:w="12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w:t>
            </w:r>
          </w:p>
        </w:tc>
      </w:tr>
      <w:tr>
        <w:trPr>
          <w:trHeight w:val="196"/>
        </w:trPr>
        <w:tc>
          <w:tcPr>
            <w:tcW w:w="354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Cross currency swap agreements</w:t>
            </w:r>
          </w:p>
        </w:tc>
        <w:tc>
          <w:tcPr>
            <w:tcW w:w="12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72</w:t>
            </w:r>
          </w:p>
        </w:tc>
        <w:tc>
          <w:tcPr>
            <w:tcW w:w="2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72</w:t>
            </w:r>
          </w:p>
        </w:tc>
        <w:tc>
          <w:tcPr>
            <w:tcW w:w="220" w:type="dxa"/>
            <w:vAlign w:val="bottom"/>
            <w:tcBorders>
              <w:bottom w:val="single" w:sz="8" w:color="D7282F"/>
            </w:tcBorders>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145</w:t>
            </w:r>
          </w:p>
        </w:tc>
        <w:tc>
          <w:tcPr>
            <w:tcW w:w="2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145</w:t>
            </w:r>
          </w:p>
        </w:tc>
      </w:tr>
      <w:tr>
        <w:trPr>
          <w:trHeight w:val="199"/>
        </w:trPr>
        <w:tc>
          <w:tcPr>
            <w:tcW w:w="354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liabilities</w:t>
            </w: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299</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299</w:t>
            </w:r>
          </w:p>
        </w:tc>
        <w:tc>
          <w:tcPr>
            <w:tcW w:w="220" w:type="dxa"/>
            <w:vAlign w:val="bottom"/>
            <w:tcBorders>
              <w:bottom w:val="single" w:sz="8" w:color="D7282F"/>
            </w:tcBorders>
          </w:tcPr>
          <w:p>
            <w:pPr>
              <w:spacing w:after="0"/>
              <w:rPr>
                <w:sz w:val="17"/>
                <w:szCs w:val="17"/>
                <w:color w:val="auto"/>
              </w:rPr>
            </w:pP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339</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339</w:t>
            </w:r>
          </w:p>
        </w:tc>
      </w:tr>
    </w:tbl>
    <w:p>
      <w:pPr>
        <w:spacing w:after="0" w:line="18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values foreign currency exchange contracts, interest rate swap agreements, cross currency swap agreements, and commodity contracts using broker quotations, or market transactions in either the listed or over-the-counter markets. As such, these derivative instruments are classified within level 2. The Company also holds investments in commercial paper, certificates of deposits, time deposits, and corporate debt securities that are designated as available for sale. These investments are valued using published prices based on observable market data. As such, these investments are classified within level 2.</w:t>
      </w:r>
    </w:p>
    <w:p>
      <w:pPr>
        <w:spacing w:after="0" w:line="64"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Company holds certain available for sale investments in U.S. government securities and investments in equity securities. The Company values these investments utilizing published prices based on quoted market pricing, which are classified within level 1.</w:t>
      </w:r>
    </w:p>
    <w:p>
      <w:pPr>
        <w:spacing w:after="0" w:line="6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carrying value of cash and cash equivalents, trade accounts and notes receivables, payables, commercial paper, and other short-term borrowings approximates fair value.</w:t>
      </w:r>
    </w:p>
    <w:p>
      <w:pPr>
        <w:spacing w:after="0" w:line="400" w:lineRule="exact"/>
        <w:rPr>
          <w:sz w:val="20"/>
          <w:szCs w:val="20"/>
          <w:color w:val="auto"/>
        </w:rPr>
      </w:pPr>
    </w:p>
    <w:p>
      <w:pPr>
        <w:ind w:left="400" w:hanging="392"/>
        <w:spacing w:after="0"/>
        <w:tabs>
          <w:tab w:leader="none" w:pos="400" w:val="left"/>
        </w:tabs>
        <w:numPr>
          <w:ilvl w:val="0"/>
          <w:numId w:val="20"/>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As part of the NARCO Buyout (see Note 15 Commitments and Contingencies for definition), Honeywell holds a right to proceeds from the definitive sale agreement pursuant to which HarbisonWalker International Holdings, Inc. (HWI), the reorganized and renamed entity that emerged from the NARCO Bankruptcy, was acquired by an affiliate of Platinum Equity, LLC (HWI Sale). The right to these proceeds is considered a financial instrument. The significant input for the valuation of this right is unobservable, and as such, is classified within level 3.</w:t>
      </w:r>
    </w:p>
    <w:p>
      <w:pPr>
        <w:spacing w:after="0" w:line="7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HWI Sale closed on February 16, 2023. During the twelve months ended December 31, 2023, Honeywell received $275 million of proceeds from the HWI Sale (HWI Net Sale Proceeds). Additionally, the Company recorded a fair value adjustment for the HWI Net Sale Proceeds and reduced the estimate by $11 million. The fair value of the remaining HWI Net Sale Proceeds as of March 31, 2024, represents contingent consideration to be paid in future periods if certain conditions under the definitive sale agreement for the HWI Sale are met.</w:t>
      </w:r>
    </w:p>
    <w:p>
      <w:pPr>
        <w:spacing w:after="0" w:line="65"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following table sets forth a reconciliation of beginning and ending balances of assets and liabilities that were accounted for at fair value using level 3 measurements: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680" w:type="dxa"/>
            <w:vAlign w:val="bottom"/>
          </w:tcPr>
          <w:p>
            <w:pPr>
              <w:jc w:val="right"/>
              <w:ind w:right="128"/>
              <w:spacing w:after="0"/>
              <w:rPr>
                <w:sz w:val="20"/>
                <w:szCs w:val="20"/>
                <w:color w:val="auto"/>
              </w:rPr>
            </w:pPr>
            <w:r>
              <w:rPr>
                <w:rFonts w:ascii="Arial" w:cs="Arial" w:eastAsia="Arial" w:hAnsi="Arial"/>
                <w:sz w:val="14"/>
                <w:szCs w:val="14"/>
                <w:b w:val="1"/>
                <w:bCs w:val="1"/>
                <w:color w:val="auto"/>
              </w:rPr>
              <w:t>Three Months Ended</w:t>
            </w:r>
          </w:p>
        </w:tc>
      </w:tr>
      <w:tr>
        <w:trPr>
          <w:trHeight w:val="185"/>
        </w:trPr>
        <w:tc>
          <w:tcPr>
            <w:tcW w:w="6340" w:type="dxa"/>
            <w:vAlign w:val="bottom"/>
            <w:tcBorders>
              <w:bottom w:val="single" w:sz="8" w:color="D7282F"/>
            </w:tcBorders>
          </w:tcPr>
          <w:p>
            <w:pPr>
              <w:spacing w:after="0"/>
              <w:rPr>
                <w:sz w:val="16"/>
                <w:szCs w:val="16"/>
                <w:color w:val="auto"/>
              </w:rPr>
            </w:pPr>
          </w:p>
        </w:tc>
        <w:tc>
          <w:tcPr>
            <w:tcW w:w="3220" w:type="dxa"/>
            <w:vAlign w:val="bottom"/>
            <w:tcBorders>
              <w:bottom w:val="single" w:sz="8" w:color="D7282F"/>
            </w:tcBorders>
          </w:tcPr>
          <w:p>
            <w:pPr>
              <w:spacing w:after="0"/>
              <w:rPr>
                <w:sz w:val="16"/>
                <w:szCs w:val="16"/>
                <w:color w:val="auto"/>
              </w:rPr>
            </w:pPr>
          </w:p>
        </w:tc>
        <w:tc>
          <w:tcPr>
            <w:tcW w:w="1680" w:type="dxa"/>
            <w:vAlign w:val="bottom"/>
            <w:tcBorders>
              <w:bottom w:val="single" w:sz="8" w:color="D7282F"/>
            </w:tcBorders>
          </w:tcPr>
          <w:p>
            <w:pPr>
              <w:jc w:val="right"/>
              <w:ind w:right="328"/>
              <w:spacing w:after="0"/>
              <w:rPr>
                <w:sz w:val="20"/>
                <w:szCs w:val="20"/>
                <w:color w:val="auto"/>
              </w:rPr>
            </w:pPr>
            <w:r>
              <w:rPr>
                <w:rFonts w:ascii="Arial" w:cs="Arial" w:eastAsia="Arial" w:hAnsi="Arial"/>
                <w:sz w:val="14"/>
                <w:szCs w:val="14"/>
                <w:b w:val="1"/>
                <w:bCs w:val="1"/>
                <w:color w:val="auto"/>
              </w:rPr>
              <w:t>March 31, 2024</w:t>
            </w:r>
          </w:p>
        </w:tc>
      </w:tr>
      <w:tr>
        <w:trPr>
          <w:trHeight w:val="195"/>
        </w:trPr>
        <w:tc>
          <w:tcPr>
            <w:tcW w:w="634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Balance at beginning of period</w:t>
            </w:r>
          </w:p>
        </w:tc>
        <w:tc>
          <w:tcPr>
            <w:tcW w:w="3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9</w:t>
            </w:r>
          </w:p>
        </w:tc>
      </w:tr>
      <w:tr>
        <w:trPr>
          <w:trHeight w:val="193"/>
        </w:trPr>
        <w:tc>
          <w:tcPr>
            <w:tcW w:w="6340" w:type="dxa"/>
            <w:vAlign w:val="bottom"/>
            <w:tcBorders>
              <w:bottom w:val="single" w:sz="8" w:color="6D6D6D"/>
            </w:tcBorders>
          </w:tcPr>
          <w:p>
            <w:pPr>
              <w:ind w:left="140"/>
              <w:spacing w:after="0"/>
              <w:rPr>
                <w:sz w:val="20"/>
                <w:szCs w:val="20"/>
                <w:color w:val="auto"/>
              </w:rPr>
            </w:pPr>
            <w:r>
              <w:rPr>
                <w:rFonts w:ascii="Arial" w:cs="Arial" w:eastAsia="Arial" w:hAnsi="Arial"/>
                <w:sz w:val="14"/>
                <w:szCs w:val="14"/>
                <w:color w:val="auto"/>
              </w:rPr>
              <w:t>Receipt of HWI Net Sale Proceeds</w:t>
            </w:r>
          </w:p>
        </w:tc>
        <w:tc>
          <w:tcPr>
            <w:tcW w:w="3220" w:type="dxa"/>
            <w:vAlign w:val="bottom"/>
            <w:tcBorders>
              <w:bottom w:val="single" w:sz="8" w:color="6D6D6D"/>
            </w:tcBorders>
          </w:tcPr>
          <w:p>
            <w:pPr>
              <w:spacing w:after="0"/>
              <w:rPr>
                <w:sz w:val="16"/>
                <w:szCs w:val="16"/>
                <w:color w:val="auto"/>
              </w:rPr>
            </w:pPr>
          </w:p>
        </w:tc>
        <w:tc>
          <w:tcPr>
            <w:tcW w:w="1680" w:type="dxa"/>
            <w:vAlign w:val="bottom"/>
            <w:tcBorders>
              <w:bottom w:val="single" w:sz="8" w:color="6D6D6D"/>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634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Fair value adjustment of HWI Net Sale Proceeds</w:t>
            </w:r>
          </w:p>
        </w:tc>
        <w:tc>
          <w:tcPr>
            <w:tcW w:w="3220" w:type="dxa"/>
            <w:vAlign w:val="bottom"/>
            <w:tcBorders>
              <w:bottom w:val="single" w:sz="8" w:color="D7282F"/>
            </w:tcBorders>
          </w:tcPr>
          <w:p>
            <w:pPr>
              <w:spacing w:after="0"/>
              <w:rPr>
                <w:sz w:val="17"/>
                <w:szCs w:val="17"/>
                <w:color w:val="auto"/>
              </w:rPr>
            </w:pPr>
          </w:p>
        </w:tc>
        <w:tc>
          <w:tcPr>
            <w:tcW w:w="1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r>
      <w:tr>
        <w:trPr>
          <w:trHeight w:val="199"/>
        </w:trPr>
        <w:tc>
          <w:tcPr>
            <w:tcW w:w="634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Balance at end of period</w:t>
            </w:r>
          </w:p>
        </w:tc>
        <w:tc>
          <w:tcPr>
            <w:tcW w:w="3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9</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Company’s financial assets and liabilities that were not carried at fair value: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100" w:type="dxa"/>
            <w:vAlign w:val="bottom"/>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1840" w:type="dxa"/>
            <w:vAlign w:val="bottom"/>
            <w:tcBorders>
              <w:bottom w:val="single" w:sz="8" w:color="D7282F"/>
            </w:tcBorders>
            <w:gridSpan w:val="3"/>
          </w:tcPr>
          <w:p>
            <w:pPr>
              <w:jc w:val="right"/>
              <w:ind w:right="408"/>
              <w:spacing w:after="0"/>
              <w:rPr>
                <w:sz w:val="20"/>
                <w:szCs w:val="20"/>
                <w:color w:val="auto"/>
              </w:rPr>
            </w:pPr>
            <w:r>
              <w:rPr>
                <w:rFonts w:ascii="Arial" w:cs="Arial" w:eastAsia="Arial" w:hAnsi="Arial"/>
                <w:sz w:val="14"/>
                <w:szCs w:val="14"/>
                <w:b w:val="1"/>
                <w:bCs w:val="1"/>
                <w:color w:val="auto"/>
              </w:rPr>
              <w:t>March 31, 2024</w:t>
            </w:r>
          </w:p>
        </w:tc>
        <w:tc>
          <w:tcPr>
            <w:tcW w:w="220" w:type="dxa"/>
            <w:vAlign w:val="bottom"/>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1840" w:type="dxa"/>
            <w:vAlign w:val="bottom"/>
            <w:tcBorders>
              <w:bottom w:val="single" w:sz="8" w:color="D7282F"/>
            </w:tcBorders>
            <w:gridSpan w:val="3"/>
          </w:tcPr>
          <w:p>
            <w:pPr>
              <w:jc w:val="right"/>
              <w:ind w:right="268"/>
              <w:spacing w:after="0"/>
              <w:rPr>
                <w:sz w:val="20"/>
                <w:szCs w:val="20"/>
                <w:color w:val="auto"/>
              </w:rPr>
            </w:pPr>
            <w:r>
              <w:rPr>
                <w:rFonts w:ascii="Arial" w:cs="Arial" w:eastAsia="Arial" w:hAnsi="Arial"/>
                <w:sz w:val="14"/>
                <w:szCs w:val="14"/>
                <w:b w:val="1"/>
                <w:bCs w:val="1"/>
                <w:color w:val="auto"/>
              </w:rPr>
              <w:t>December 31, 2023</w:t>
            </w:r>
          </w:p>
        </w:tc>
      </w:tr>
      <w:tr>
        <w:trPr>
          <w:trHeight w:val="147"/>
        </w:trPr>
        <w:tc>
          <w:tcPr>
            <w:tcW w:w="7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ind w:right="148"/>
              <w:spacing w:after="0" w:line="147" w:lineRule="exact"/>
              <w:rPr>
                <w:sz w:val="20"/>
                <w:szCs w:val="20"/>
                <w:color w:val="auto"/>
              </w:rPr>
            </w:pPr>
            <w:r>
              <w:rPr>
                <w:rFonts w:ascii="Arial" w:cs="Arial" w:eastAsia="Arial" w:hAnsi="Arial"/>
                <w:sz w:val="14"/>
                <w:szCs w:val="14"/>
                <w:b w:val="1"/>
                <w:bCs w:val="1"/>
                <w:color w:val="auto"/>
              </w:rPr>
              <w:t>Carrying</w:t>
            </w:r>
          </w:p>
        </w:tc>
        <w:tc>
          <w:tcPr>
            <w:tcW w:w="320" w:type="dxa"/>
            <w:vAlign w:val="bottom"/>
          </w:tcPr>
          <w:p>
            <w:pPr>
              <w:spacing w:after="0"/>
              <w:rPr>
                <w:sz w:val="12"/>
                <w:szCs w:val="12"/>
                <w:color w:val="auto"/>
              </w:rPr>
            </w:pPr>
          </w:p>
        </w:tc>
        <w:tc>
          <w:tcPr>
            <w:tcW w:w="920" w:type="dxa"/>
            <w:vAlign w:val="bottom"/>
            <w:gridSpan w:val="2"/>
          </w:tcPr>
          <w:p>
            <w:pPr>
              <w:jc w:val="center"/>
              <w:ind w:right="400"/>
              <w:spacing w:after="0" w:line="147"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2"/>
                <w:szCs w:val="12"/>
                <w:color w:val="auto"/>
              </w:rPr>
            </w:pPr>
          </w:p>
        </w:tc>
        <w:tc>
          <w:tcPr>
            <w:tcW w:w="840" w:type="dxa"/>
            <w:vAlign w:val="bottom"/>
          </w:tcPr>
          <w:p>
            <w:pPr>
              <w:jc w:val="right"/>
              <w:ind w:right="148"/>
              <w:spacing w:after="0" w:line="147" w:lineRule="exact"/>
              <w:rPr>
                <w:sz w:val="20"/>
                <w:szCs w:val="20"/>
                <w:color w:val="auto"/>
              </w:rPr>
            </w:pPr>
            <w:r>
              <w:rPr>
                <w:rFonts w:ascii="Arial" w:cs="Arial" w:eastAsia="Arial" w:hAnsi="Arial"/>
                <w:sz w:val="14"/>
                <w:szCs w:val="14"/>
                <w:b w:val="1"/>
                <w:bCs w:val="1"/>
                <w:color w:val="auto"/>
              </w:rPr>
              <w:t>Carrying</w:t>
            </w:r>
          </w:p>
        </w:tc>
        <w:tc>
          <w:tcPr>
            <w:tcW w:w="300" w:type="dxa"/>
            <w:vAlign w:val="bottom"/>
          </w:tcPr>
          <w:p>
            <w:pPr>
              <w:spacing w:after="0"/>
              <w:rPr>
                <w:sz w:val="12"/>
                <w:szCs w:val="12"/>
                <w:color w:val="auto"/>
              </w:rPr>
            </w:pPr>
          </w:p>
        </w:tc>
        <w:tc>
          <w:tcPr>
            <w:tcW w:w="700" w:type="dxa"/>
            <w:vAlign w:val="bottom"/>
          </w:tcPr>
          <w:p>
            <w:pPr>
              <w:jc w:val="right"/>
              <w:ind w:right="228"/>
              <w:spacing w:after="0" w:line="147" w:lineRule="exact"/>
              <w:rPr>
                <w:sz w:val="20"/>
                <w:szCs w:val="20"/>
                <w:color w:val="auto"/>
              </w:rPr>
            </w:pPr>
            <w:r>
              <w:rPr>
                <w:rFonts w:ascii="Arial" w:cs="Arial" w:eastAsia="Arial" w:hAnsi="Arial"/>
                <w:sz w:val="14"/>
                <w:szCs w:val="14"/>
                <w:b w:val="1"/>
                <w:bCs w:val="1"/>
                <w:color w:val="auto"/>
              </w:rPr>
              <w:t>Fair</w:t>
            </w:r>
          </w:p>
        </w:tc>
      </w:tr>
      <w:tr>
        <w:trPr>
          <w:trHeight w:val="185"/>
        </w:trPr>
        <w:tc>
          <w:tcPr>
            <w:tcW w:w="7100" w:type="dxa"/>
            <w:vAlign w:val="bottom"/>
            <w:tcBorders>
              <w:bottom w:val="single" w:sz="8" w:color="D7282F"/>
            </w:tcBorders>
          </w:tcPr>
          <w:p>
            <w:pPr>
              <w:spacing w:after="0"/>
              <w:rPr>
                <w:sz w:val="16"/>
                <w:szCs w:val="16"/>
                <w:color w:val="auto"/>
              </w:rPr>
            </w:pPr>
          </w:p>
        </w:tc>
        <w:tc>
          <w:tcPr>
            <w:tcW w:w="120" w:type="dxa"/>
            <w:vAlign w:val="bottom"/>
            <w:tcBorders>
              <w:bottom w:val="single" w:sz="8" w:color="D7282F"/>
            </w:tcBorders>
          </w:tcPr>
          <w:p>
            <w:pPr>
              <w:spacing w:after="0"/>
              <w:rPr>
                <w:sz w:val="16"/>
                <w:szCs w:val="16"/>
                <w:color w:val="auto"/>
              </w:rPr>
            </w:pPr>
          </w:p>
        </w:tc>
        <w:tc>
          <w:tcPr>
            <w:tcW w:w="820" w:type="dxa"/>
            <w:vAlign w:val="bottom"/>
            <w:tcBorders>
              <w:bottom w:val="single" w:sz="8" w:color="D7282F"/>
            </w:tcBorders>
          </w:tcPr>
          <w:p>
            <w:pPr>
              <w:jc w:val="right"/>
              <w:ind w:right="248"/>
              <w:spacing w:after="0"/>
              <w:rPr>
                <w:sz w:val="20"/>
                <w:szCs w:val="20"/>
                <w:color w:val="auto"/>
              </w:rPr>
            </w:pPr>
            <w:r>
              <w:rPr>
                <w:rFonts w:ascii="Arial" w:cs="Arial" w:eastAsia="Arial" w:hAnsi="Arial"/>
                <w:sz w:val="14"/>
                <w:szCs w:val="14"/>
                <w:b w:val="1"/>
                <w:bCs w:val="1"/>
                <w:color w:val="auto"/>
              </w:rPr>
              <w:t>Value</w:t>
            </w:r>
          </w:p>
        </w:tc>
        <w:tc>
          <w:tcPr>
            <w:tcW w:w="320" w:type="dxa"/>
            <w:vAlign w:val="bottom"/>
            <w:tcBorders>
              <w:bottom w:val="single" w:sz="8" w:color="D7282F"/>
            </w:tcBorders>
          </w:tcPr>
          <w:p>
            <w:pPr>
              <w:spacing w:after="0"/>
              <w:rPr>
                <w:sz w:val="16"/>
                <w:szCs w:val="16"/>
                <w:color w:val="auto"/>
              </w:rPr>
            </w:pPr>
          </w:p>
        </w:tc>
        <w:tc>
          <w:tcPr>
            <w:tcW w:w="920" w:type="dxa"/>
            <w:vAlign w:val="bottom"/>
            <w:tcBorders>
              <w:bottom w:val="single" w:sz="8" w:color="D7282F"/>
            </w:tcBorders>
            <w:gridSpan w:val="2"/>
          </w:tcPr>
          <w:p>
            <w:pPr>
              <w:jc w:val="center"/>
              <w:ind w:right="400"/>
              <w:spacing w:after="0"/>
              <w:rPr>
                <w:sz w:val="20"/>
                <w:szCs w:val="20"/>
                <w:color w:val="auto"/>
              </w:rPr>
            </w:pPr>
            <w:r>
              <w:rPr>
                <w:rFonts w:ascii="Arial" w:cs="Arial" w:eastAsia="Arial" w:hAnsi="Arial"/>
                <w:sz w:val="14"/>
                <w:szCs w:val="14"/>
                <w:b w:val="1"/>
                <w:bCs w:val="1"/>
                <w:color w:val="auto"/>
                <w:w w:val="96"/>
              </w:rPr>
              <w:t>Value</w:t>
            </w:r>
          </w:p>
        </w:tc>
        <w:tc>
          <w:tcPr>
            <w:tcW w:w="120" w:type="dxa"/>
            <w:vAlign w:val="bottom"/>
            <w:tcBorders>
              <w:bottom w:val="single" w:sz="8" w:color="D7282F"/>
            </w:tcBorders>
          </w:tcPr>
          <w:p>
            <w:pPr>
              <w:spacing w:after="0"/>
              <w:rPr>
                <w:sz w:val="16"/>
                <w:szCs w:val="16"/>
                <w:color w:val="auto"/>
              </w:rPr>
            </w:pPr>
          </w:p>
        </w:tc>
        <w:tc>
          <w:tcPr>
            <w:tcW w:w="84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Value</w:t>
            </w:r>
          </w:p>
        </w:tc>
        <w:tc>
          <w:tcPr>
            <w:tcW w:w="300" w:type="dxa"/>
            <w:vAlign w:val="bottom"/>
            <w:tcBorders>
              <w:bottom w:val="single" w:sz="8" w:color="D7282F"/>
            </w:tcBorders>
          </w:tcPr>
          <w:p>
            <w:pPr>
              <w:spacing w:after="0"/>
              <w:rPr>
                <w:sz w:val="16"/>
                <w:szCs w:val="16"/>
                <w:color w:val="auto"/>
              </w:rPr>
            </w:pPr>
          </w:p>
        </w:tc>
        <w:tc>
          <w:tcPr>
            <w:tcW w:w="7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Value</w:t>
            </w:r>
          </w:p>
        </w:tc>
      </w:tr>
      <w:tr>
        <w:trPr>
          <w:trHeight w:val="195"/>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Assets</w:t>
            </w:r>
          </w:p>
        </w:tc>
        <w:tc>
          <w:tcPr>
            <w:tcW w:w="120" w:type="dxa"/>
            <w:vAlign w:val="bottom"/>
            <w:tcBorders>
              <w:bottom w:val="single" w:sz="8" w:color="61656A"/>
            </w:tcBorders>
          </w:tcPr>
          <w:p>
            <w:pPr>
              <w:spacing w:after="0"/>
              <w:rPr>
                <w:sz w:val="16"/>
                <w:szCs w:val="16"/>
                <w:color w:val="auto"/>
              </w:rPr>
            </w:pPr>
          </w:p>
        </w:tc>
        <w:tc>
          <w:tcPr>
            <w:tcW w:w="82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70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120" w:type="dxa"/>
            <w:vAlign w:val="bottom"/>
            <w:tcBorders>
              <w:bottom w:val="single" w:sz="8" w:color="61656A"/>
            </w:tcBorders>
          </w:tcPr>
          <w:p>
            <w:pPr>
              <w:spacing w:after="0"/>
              <w:rPr>
                <w:sz w:val="16"/>
                <w:szCs w:val="16"/>
                <w:color w:val="auto"/>
              </w:rPr>
            </w:pPr>
          </w:p>
        </w:tc>
        <w:tc>
          <w:tcPr>
            <w:tcW w:w="840" w:type="dxa"/>
            <w:vAlign w:val="bottom"/>
            <w:tcBorders>
              <w:bottom w:val="single" w:sz="8" w:color="61656A"/>
            </w:tcBorders>
          </w:tcPr>
          <w:p>
            <w:pPr>
              <w:spacing w:after="0"/>
              <w:rPr>
                <w:sz w:val="16"/>
                <w:szCs w:val="16"/>
                <w:color w:val="auto"/>
              </w:rPr>
            </w:pPr>
          </w:p>
        </w:tc>
        <w:tc>
          <w:tcPr>
            <w:tcW w:w="300" w:type="dxa"/>
            <w:vAlign w:val="bottom"/>
            <w:tcBorders>
              <w:bottom w:val="single" w:sz="8" w:color="61656A"/>
            </w:tcBorders>
          </w:tcPr>
          <w:p>
            <w:pPr>
              <w:spacing w:after="0"/>
              <w:rPr>
                <w:sz w:val="16"/>
                <w:szCs w:val="16"/>
                <w:color w:val="auto"/>
              </w:rPr>
            </w:pPr>
          </w:p>
        </w:tc>
        <w:tc>
          <w:tcPr>
            <w:tcW w:w="700" w:type="dxa"/>
            <w:vAlign w:val="bottom"/>
            <w:tcBorders>
              <w:bottom w:val="single" w:sz="8" w:color="61656A"/>
            </w:tcBorders>
          </w:tcPr>
          <w:p>
            <w:pPr>
              <w:spacing w:after="0"/>
              <w:rPr>
                <w:sz w:val="16"/>
                <w:szCs w:val="16"/>
                <w:color w:val="auto"/>
              </w:rPr>
            </w:pPr>
          </w:p>
        </w:tc>
      </w:tr>
      <w:tr>
        <w:trPr>
          <w:trHeight w:val="193"/>
        </w:trPr>
        <w:tc>
          <w:tcPr>
            <w:tcW w:w="71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Long-term receivables</w:t>
            </w:r>
          </w:p>
        </w:tc>
        <w:tc>
          <w:tcPr>
            <w:tcW w:w="1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260</w:t>
            </w:r>
          </w:p>
        </w:tc>
        <w:tc>
          <w:tcPr>
            <w:tcW w:w="32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190</w:t>
            </w:r>
          </w:p>
        </w:tc>
        <w:tc>
          <w:tcPr>
            <w:tcW w:w="220" w:type="dxa"/>
            <w:vAlign w:val="bottom"/>
            <w:tcBorders>
              <w:bottom w:val="single" w:sz="8" w:color="61656A"/>
            </w:tcBorders>
          </w:tcPr>
          <w:p>
            <w:pPr>
              <w:spacing w:after="0"/>
              <w:rPr>
                <w:sz w:val="16"/>
                <w:szCs w:val="16"/>
                <w:color w:val="auto"/>
              </w:rPr>
            </w:pPr>
          </w:p>
        </w:tc>
        <w:tc>
          <w:tcPr>
            <w:tcW w:w="1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232</w:t>
            </w:r>
          </w:p>
        </w:tc>
        <w:tc>
          <w:tcPr>
            <w:tcW w:w="3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173</w:t>
            </w:r>
          </w:p>
        </w:tc>
      </w:tr>
      <w:tr>
        <w:trPr>
          <w:trHeight w:val="199"/>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Liabilities</w:t>
            </w:r>
          </w:p>
        </w:tc>
        <w:tc>
          <w:tcPr>
            <w:tcW w:w="12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70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120" w:type="dxa"/>
            <w:vAlign w:val="bottom"/>
            <w:tcBorders>
              <w:bottom w:val="single" w:sz="8" w:color="61656A"/>
            </w:tcBorders>
          </w:tcPr>
          <w:p>
            <w:pPr>
              <w:spacing w:after="0"/>
              <w:rPr>
                <w:sz w:val="17"/>
                <w:szCs w:val="17"/>
                <w:color w:val="auto"/>
              </w:rPr>
            </w:pPr>
          </w:p>
        </w:tc>
        <w:tc>
          <w:tcPr>
            <w:tcW w:w="840" w:type="dxa"/>
            <w:vAlign w:val="bottom"/>
            <w:tcBorders>
              <w:bottom w:val="single" w:sz="8" w:color="61656A"/>
            </w:tcBorders>
          </w:tcPr>
          <w:p>
            <w:pPr>
              <w:spacing w:after="0"/>
              <w:rPr>
                <w:sz w:val="17"/>
                <w:szCs w:val="17"/>
                <w:color w:val="auto"/>
              </w:rPr>
            </w:pPr>
          </w:p>
        </w:tc>
        <w:tc>
          <w:tcPr>
            <w:tcW w:w="300" w:type="dxa"/>
            <w:vAlign w:val="bottom"/>
            <w:tcBorders>
              <w:bottom w:val="single" w:sz="8" w:color="61656A"/>
            </w:tcBorders>
          </w:tcPr>
          <w:p>
            <w:pPr>
              <w:spacing w:after="0"/>
              <w:rPr>
                <w:sz w:val="17"/>
                <w:szCs w:val="17"/>
                <w:color w:val="auto"/>
              </w:rPr>
            </w:pPr>
          </w:p>
        </w:tc>
        <w:tc>
          <w:tcPr>
            <w:tcW w:w="700" w:type="dxa"/>
            <w:vAlign w:val="bottom"/>
            <w:tcBorders>
              <w:bottom w:val="single" w:sz="8" w:color="61656A"/>
            </w:tcBorders>
          </w:tcPr>
          <w:p>
            <w:pPr>
              <w:spacing w:after="0"/>
              <w:rPr>
                <w:sz w:val="17"/>
                <w:szCs w:val="17"/>
                <w:color w:val="auto"/>
              </w:rPr>
            </w:pPr>
          </w:p>
        </w:tc>
      </w:tr>
      <w:tr>
        <w:trPr>
          <w:trHeight w:val="193"/>
        </w:trPr>
        <w:tc>
          <w:tcPr>
            <w:tcW w:w="71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Long-term debt and related current maturities</w:t>
            </w:r>
          </w:p>
        </w:tc>
        <w:tc>
          <w:tcPr>
            <w:tcW w:w="120" w:type="dxa"/>
            <w:vAlign w:val="bottom"/>
            <w:tcBorders>
              <w:bottom w:val="single" w:sz="8" w:color="D7282F"/>
            </w:tcBorders>
          </w:tcPr>
          <w:p>
            <w:pPr>
              <w:spacing w:after="0"/>
              <w:rPr>
                <w:sz w:val="16"/>
                <w:szCs w:val="16"/>
                <w:color w:val="auto"/>
              </w:rPr>
            </w:pPr>
          </w:p>
        </w:tc>
        <w:tc>
          <w:tcPr>
            <w:tcW w:w="8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23,437</w:t>
            </w:r>
          </w:p>
        </w:tc>
        <w:tc>
          <w:tcPr>
            <w:tcW w:w="320" w:type="dxa"/>
            <w:vAlign w:val="bottom"/>
            <w:tcBorders>
              <w:bottom w:val="single" w:sz="8" w:color="D7282F"/>
            </w:tcBorders>
          </w:tcPr>
          <w:p>
            <w:pPr>
              <w:spacing w:after="0"/>
              <w:rPr>
                <w:sz w:val="16"/>
                <w:szCs w:val="16"/>
                <w:color w:val="auto"/>
              </w:rPr>
            </w:pPr>
          </w:p>
        </w:tc>
        <w:tc>
          <w:tcPr>
            <w:tcW w:w="7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22,515</w:t>
            </w:r>
          </w:p>
        </w:tc>
        <w:tc>
          <w:tcPr>
            <w:tcW w:w="220" w:type="dxa"/>
            <w:vAlign w:val="bottom"/>
            <w:tcBorders>
              <w:bottom w:val="single" w:sz="8" w:color="D7282F"/>
            </w:tcBorders>
          </w:tcPr>
          <w:p>
            <w:pPr>
              <w:spacing w:after="0"/>
              <w:rPr>
                <w:sz w:val="16"/>
                <w:szCs w:val="16"/>
                <w:color w:val="auto"/>
              </w:rPr>
            </w:pPr>
          </w:p>
        </w:tc>
        <w:tc>
          <w:tcPr>
            <w:tcW w:w="120" w:type="dxa"/>
            <w:vAlign w:val="bottom"/>
            <w:tcBorders>
              <w:bottom w:val="single" w:sz="8" w:color="D7282F"/>
            </w:tcBorders>
          </w:tcPr>
          <w:p>
            <w:pPr>
              <w:spacing w:after="0"/>
              <w:rPr>
                <w:sz w:val="16"/>
                <w:szCs w:val="16"/>
                <w:color w:val="auto"/>
              </w:rPr>
            </w:pPr>
          </w:p>
        </w:tc>
        <w:tc>
          <w:tcPr>
            <w:tcW w:w="8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18,358</w:t>
            </w:r>
          </w:p>
        </w:tc>
        <w:tc>
          <w:tcPr>
            <w:tcW w:w="300" w:type="dxa"/>
            <w:vAlign w:val="bottom"/>
            <w:tcBorders>
              <w:bottom w:val="single" w:sz="8" w:color="D7282F"/>
            </w:tcBorders>
          </w:tcPr>
          <w:p>
            <w:pPr>
              <w:spacing w:after="0"/>
              <w:rPr>
                <w:sz w:val="16"/>
                <w:szCs w:val="16"/>
                <w:color w:val="auto"/>
              </w:rPr>
            </w:pPr>
          </w:p>
        </w:tc>
        <w:tc>
          <w:tcPr>
            <w:tcW w:w="7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17,706</w:t>
            </w:r>
          </w:p>
        </w:tc>
      </w:tr>
    </w:tbl>
    <w:p>
      <w:pPr>
        <w:spacing w:after="0" w:line="188"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Company determined the fair value of the long-term receivables by utilizing transactions in the listed markets for identical or similar assets. As such, the fair value of these receivables is considered level 2.</w:t>
      </w:r>
    </w:p>
    <w:p>
      <w:pPr>
        <w:spacing w:after="0" w:line="48"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Company determined the fair value of the long-term debt and related current maturities by utilizing transactions in the listed markets for identical or similar liabilities. As such, the fair value of the long-term debt and related current maturities is considered level 2.</w:t>
      </w:r>
    </w:p>
    <w:p>
      <w:pPr>
        <w:spacing w:after="0" w:line="373" w:lineRule="exact"/>
        <w:rPr>
          <w:sz w:val="20"/>
          <w:szCs w:val="20"/>
          <w:color w:val="auto"/>
        </w:rPr>
      </w:pPr>
    </w:p>
    <w:p>
      <w:pPr>
        <w:ind w:left="400" w:hanging="392"/>
        <w:spacing w:after="0"/>
        <w:tabs>
          <w:tab w:leader="none" w:pos="400" w:val="left"/>
        </w:tabs>
        <w:numPr>
          <w:ilvl w:val="0"/>
          <w:numId w:val="21"/>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9"/>
          <w:szCs w:val="29"/>
          <w:color w:val="D7282F"/>
        </w:rPr>
        <w:t>NOTE 13. EARNINGS PER SHARE</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details of the earnings per share calculations for the three months ended March 31, 2024, and 2023, are as follows (shares in millions):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80" w:type="dxa"/>
            <w:vAlign w:val="bottom"/>
          </w:tcPr>
          <w:p>
            <w:pPr>
              <w:spacing w:after="0"/>
              <w:rPr>
                <w:sz w:val="14"/>
                <w:szCs w:val="14"/>
                <w:color w:val="auto"/>
              </w:rPr>
            </w:pPr>
          </w:p>
        </w:tc>
        <w:tc>
          <w:tcPr>
            <w:tcW w:w="1960" w:type="dxa"/>
            <w:vAlign w:val="bottom"/>
            <w:gridSpan w:val="4"/>
          </w:tcPr>
          <w:p>
            <w:pPr>
              <w:ind w:left="40"/>
              <w:spacing w:after="0"/>
              <w:rPr>
                <w:sz w:val="20"/>
                <w:szCs w:val="20"/>
                <w:color w:val="auto"/>
              </w:rPr>
            </w:pPr>
            <w:r>
              <w:rPr>
                <w:rFonts w:ascii="Arial" w:cs="Arial" w:eastAsia="Arial" w:hAnsi="Arial"/>
                <w:sz w:val="14"/>
                <w:szCs w:val="14"/>
                <w:b w:val="1"/>
                <w:bCs w:val="1"/>
                <w:color w:val="auto"/>
              </w:rPr>
              <w:t>Three Months Ended March</w:t>
            </w:r>
          </w:p>
        </w:tc>
      </w:tr>
      <w:tr>
        <w:trPr>
          <w:trHeight w:val="185"/>
        </w:trPr>
        <w:tc>
          <w:tcPr>
            <w:tcW w:w="9280" w:type="dxa"/>
            <w:vAlign w:val="bottom"/>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660" w:type="dxa"/>
            <w:vAlign w:val="bottom"/>
            <w:tcBorders>
              <w:bottom w:val="single" w:sz="8" w:color="D7282F"/>
            </w:tcBorders>
          </w:tcPr>
          <w:p>
            <w:pPr>
              <w:spacing w:after="0"/>
              <w:rPr>
                <w:sz w:val="16"/>
                <w:szCs w:val="16"/>
                <w:color w:val="auto"/>
              </w:rPr>
            </w:pPr>
          </w:p>
        </w:tc>
        <w:tc>
          <w:tcPr>
            <w:tcW w:w="44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b w:val="1"/>
                <w:bCs w:val="1"/>
                <w:color w:val="auto"/>
              </w:rPr>
              <w:t>31,</w:t>
            </w:r>
          </w:p>
        </w:tc>
        <w:tc>
          <w:tcPr>
            <w:tcW w:w="680" w:type="dxa"/>
            <w:vAlign w:val="bottom"/>
            <w:tcBorders>
              <w:bottom w:val="single" w:sz="8" w:color="D7282F"/>
            </w:tcBorders>
          </w:tcPr>
          <w:p>
            <w:pPr>
              <w:spacing w:after="0"/>
              <w:rPr>
                <w:sz w:val="16"/>
                <w:szCs w:val="16"/>
                <w:color w:val="auto"/>
              </w:rPr>
            </w:pPr>
          </w:p>
        </w:tc>
      </w:tr>
      <w:tr>
        <w:trPr>
          <w:trHeight w:val="195"/>
        </w:trPr>
        <w:tc>
          <w:tcPr>
            <w:tcW w:w="92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Basic</w:t>
            </w:r>
          </w:p>
        </w:tc>
        <w:tc>
          <w:tcPr>
            <w:tcW w:w="180" w:type="dxa"/>
            <w:vAlign w:val="bottom"/>
            <w:tcBorders>
              <w:bottom w:val="single" w:sz="8" w:color="D7282F"/>
            </w:tcBorders>
          </w:tcPr>
          <w:p>
            <w:pPr>
              <w:spacing w:after="0"/>
              <w:rPr>
                <w:sz w:val="16"/>
                <w:szCs w:val="16"/>
                <w:color w:val="auto"/>
              </w:rPr>
            </w:pPr>
          </w:p>
        </w:tc>
        <w:tc>
          <w:tcPr>
            <w:tcW w:w="66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2024</w:t>
            </w:r>
          </w:p>
        </w:tc>
        <w:tc>
          <w:tcPr>
            <w:tcW w:w="44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2023</w:t>
            </w:r>
          </w:p>
        </w:tc>
      </w:tr>
      <w:tr>
        <w:trPr>
          <w:trHeight w:val="193"/>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Net income attributable to Honeywell</w:t>
            </w:r>
          </w:p>
        </w:tc>
        <w:tc>
          <w:tcPr>
            <w:tcW w:w="1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1,463</w:t>
            </w:r>
          </w:p>
        </w:tc>
        <w:tc>
          <w:tcPr>
            <w:tcW w:w="44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1,394</w:t>
            </w:r>
          </w:p>
        </w:tc>
      </w:tr>
      <w:tr>
        <w:trPr>
          <w:trHeight w:val="196"/>
        </w:trPr>
        <w:tc>
          <w:tcPr>
            <w:tcW w:w="92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Weighted average shares outstanding</w:t>
            </w:r>
          </w:p>
        </w:tc>
        <w:tc>
          <w:tcPr>
            <w:tcW w:w="18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652.3</w:t>
            </w:r>
          </w:p>
        </w:tc>
        <w:tc>
          <w:tcPr>
            <w:tcW w:w="44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667.8</w:t>
            </w:r>
          </w:p>
        </w:tc>
      </w:tr>
      <w:tr>
        <w:trPr>
          <w:trHeight w:val="199"/>
        </w:trPr>
        <w:tc>
          <w:tcPr>
            <w:tcW w:w="92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Earnings per share of common stock—basic</w:t>
            </w:r>
          </w:p>
        </w:tc>
        <w:tc>
          <w:tcPr>
            <w:tcW w:w="1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2.24</w:t>
            </w:r>
          </w:p>
        </w:tc>
        <w:tc>
          <w:tcPr>
            <w:tcW w:w="44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2.09</w:t>
            </w:r>
          </w:p>
        </w:tc>
      </w:tr>
      <w:tr>
        <w:trPr>
          <w:trHeight w:val="377"/>
        </w:trPr>
        <w:tc>
          <w:tcPr>
            <w:tcW w:w="9280" w:type="dxa"/>
            <w:vAlign w:val="bottom"/>
          </w:tcPr>
          <w:p>
            <w:pPr>
              <w:spacing w:after="0"/>
              <w:rPr>
                <w:sz w:val="24"/>
                <w:szCs w:val="24"/>
                <w:color w:val="auto"/>
              </w:rPr>
            </w:pPr>
          </w:p>
        </w:tc>
        <w:tc>
          <w:tcPr>
            <w:tcW w:w="1960" w:type="dxa"/>
            <w:vAlign w:val="bottom"/>
            <w:gridSpan w:val="4"/>
          </w:tcPr>
          <w:p>
            <w:pPr>
              <w:ind w:left="40"/>
              <w:spacing w:after="0"/>
              <w:rPr>
                <w:sz w:val="20"/>
                <w:szCs w:val="20"/>
                <w:color w:val="auto"/>
              </w:rPr>
            </w:pPr>
            <w:r>
              <w:rPr>
                <w:rFonts w:ascii="Arial" w:cs="Arial" w:eastAsia="Arial" w:hAnsi="Arial"/>
                <w:sz w:val="14"/>
                <w:szCs w:val="14"/>
                <w:b w:val="1"/>
                <w:bCs w:val="1"/>
                <w:color w:val="auto"/>
              </w:rPr>
              <w:t>Three Months Ended March</w:t>
            </w:r>
          </w:p>
        </w:tc>
      </w:tr>
      <w:tr>
        <w:trPr>
          <w:trHeight w:val="185"/>
        </w:trPr>
        <w:tc>
          <w:tcPr>
            <w:tcW w:w="9280" w:type="dxa"/>
            <w:vAlign w:val="bottom"/>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660" w:type="dxa"/>
            <w:vAlign w:val="bottom"/>
            <w:tcBorders>
              <w:bottom w:val="single" w:sz="8" w:color="D7282F"/>
            </w:tcBorders>
          </w:tcPr>
          <w:p>
            <w:pPr>
              <w:spacing w:after="0"/>
              <w:rPr>
                <w:sz w:val="16"/>
                <w:szCs w:val="16"/>
                <w:color w:val="auto"/>
              </w:rPr>
            </w:pPr>
          </w:p>
        </w:tc>
        <w:tc>
          <w:tcPr>
            <w:tcW w:w="44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b w:val="1"/>
                <w:bCs w:val="1"/>
                <w:color w:val="auto"/>
              </w:rPr>
              <w:t>31,</w:t>
            </w:r>
          </w:p>
        </w:tc>
        <w:tc>
          <w:tcPr>
            <w:tcW w:w="680" w:type="dxa"/>
            <w:vAlign w:val="bottom"/>
            <w:tcBorders>
              <w:bottom w:val="single" w:sz="8" w:color="D7282F"/>
            </w:tcBorders>
          </w:tcPr>
          <w:p>
            <w:pPr>
              <w:spacing w:after="0"/>
              <w:rPr>
                <w:sz w:val="16"/>
                <w:szCs w:val="16"/>
                <w:color w:val="auto"/>
              </w:rPr>
            </w:pPr>
          </w:p>
        </w:tc>
      </w:tr>
      <w:tr>
        <w:trPr>
          <w:trHeight w:val="195"/>
        </w:trPr>
        <w:tc>
          <w:tcPr>
            <w:tcW w:w="92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Assuming Dilution</w:t>
            </w:r>
          </w:p>
        </w:tc>
        <w:tc>
          <w:tcPr>
            <w:tcW w:w="180" w:type="dxa"/>
            <w:vAlign w:val="bottom"/>
            <w:tcBorders>
              <w:bottom w:val="single" w:sz="8" w:color="D7282F"/>
            </w:tcBorders>
          </w:tcPr>
          <w:p>
            <w:pPr>
              <w:spacing w:after="0"/>
              <w:rPr>
                <w:sz w:val="16"/>
                <w:szCs w:val="16"/>
                <w:color w:val="auto"/>
              </w:rPr>
            </w:pPr>
          </w:p>
        </w:tc>
        <w:tc>
          <w:tcPr>
            <w:tcW w:w="66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2024</w:t>
            </w:r>
          </w:p>
        </w:tc>
        <w:tc>
          <w:tcPr>
            <w:tcW w:w="44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2023</w:t>
            </w:r>
          </w:p>
        </w:tc>
      </w:tr>
      <w:tr>
        <w:trPr>
          <w:trHeight w:val="193"/>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Net income attributable to Honeywell</w:t>
            </w:r>
          </w:p>
        </w:tc>
        <w:tc>
          <w:tcPr>
            <w:tcW w:w="1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1,463</w:t>
            </w:r>
          </w:p>
        </w:tc>
        <w:tc>
          <w:tcPr>
            <w:tcW w:w="44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1,394</w:t>
            </w:r>
          </w:p>
        </w:tc>
      </w:tr>
      <w:tr>
        <w:trPr>
          <w:trHeight w:val="199"/>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Average shares</w:t>
            </w:r>
          </w:p>
        </w:tc>
        <w:tc>
          <w:tcPr>
            <w:tcW w:w="18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spacing w:after="0"/>
              <w:rPr>
                <w:sz w:val="17"/>
                <w:szCs w:val="17"/>
                <w:color w:val="auto"/>
              </w:rPr>
            </w:pPr>
          </w:p>
        </w:tc>
        <w:tc>
          <w:tcPr>
            <w:tcW w:w="44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r>
      <w:tr>
        <w:trPr>
          <w:trHeight w:val="193"/>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Weighted average shares outstanding</w:t>
            </w:r>
          </w:p>
        </w:tc>
        <w:tc>
          <w:tcPr>
            <w:tcW w:w="180" w:type="dxa"/>
            <w:vAlign w:val="bottom"/>
            <w:tcBorders>
              <w:bottom w:val="single" w:sz="8" w:color="61656A"/>
            </w:tcBorders>
          </w:tcPr>
          <w:p>
            <w:pPr>
              <w:spacing w:after="0"/>
              <w:rPr>
                <w:sz w:val="16"/>
                <w:szCs w:val="16"/>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652.3</w:t>
            </w:r>
          </w:p>
        </w:tc>
        <w:tc>
          <w:tcPr>
            <w:tcW w:w="44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667.8</w:t>
            </w:r>
          </w:p>
        </w:tc>
      </w:tr>
      <w:tr>
        <w:trPr>
          <w:trHeight w:val="196"/>
        </w:trPr>
        <w:tc>
          <w:tcPr>
            <w:tcW w:w="92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Dilutive securities issuable—stock plans</w:t>
            </w:r>
          </w:p>
        </w:tc>
        <w:tc>
          <w:tcPr>
            <w:tcW w:w="18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4.3</w:t>
            </w:r>
          </w:p>
        </w:tc>
        <w:tc>
          <w:tcPr>
            <w:tcW w:w="44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5.2</w:t>
            </w:r>
          </w:p>
        </w:tc>
      </w:tr>
      <w:tr>
        <w:trPr>
          <w:trHeight w:val="199"/>
        </w:trPr>
        <w:tc>
          <w:tcPr>
            <w:tcW w:w="92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weighted average diluted shares outstanding</w:t>
            </w:r>
          </w:p>
        </w:tc>
        <w:tc>
          <w:tcPr>
            <w:tcW w:w="18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656.6</w:t>
            </w:r>
          </w:p>
        </w:tc>
        <w:tc>
          <w:tcPr>
            <w:tcW w:w="44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673.0</w:t>
            </w:r>
          </w:p>
        </w:tc>
      </w:tr>
      <w:tr>
        <w:trPr>
          <w:trHeight w:val="196"/>
        </w:trPr>
        <w:tc>
          <w:tcPr>
            <w:tcW w:w="92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Earnings per share of common stock—assuming dilution</w:t>
            </w:r>
          </w:p>
        </w:tc>
        <w:tc>
          <w:tcPr>
            <w:tcW w:w="1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2.23</w:t>
            </w:r>
          </w:p>
        </w:tc>
        <w:tc>
          <w:tcPr>
            <w:tcW w:w="44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2.07</w:t>
            </w:r>
          </w:p>
        </w:tc>
      </w:tr>
    </w:tbl>
    <w:p>
      <w:pPr>
        <w:spacing w:after="0" w:line="18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diluted earnings per share calculations exclude the effect of stock options when the cost to exercise an option exceeds the average market price of the common shares during the period. For the three months ended March 31, 2024, and 2023, the weighted average number of stock options excluded from the computations was 4.9 million and 4.0 million, respectively.</w:t>
      </w:r>
    </w:p>
    <w:p>
      <w:pPr>
        <w:spacing w:after="0" w:line="7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of March 31, 2024, and 2023, the total shares outstanding were 651.2 million and 665.7 million, respectively, and as of March 31, 2024, and 2023, total shares issued were 957.6 million.</w:t>
      </w:r>
    </w:p>
    <w:p>
      <w:pPr>
        <w:spacing w:after="0" w:line="400" w:lineRule="exact"/>
        <w:rPr>
          <w:sz w:val="20"/>
          <w:szCs w:val="20"/>
          <w:color w:val="auto"/>
        </w:rPr>
      </w:pPr>
    </w:p>
    <w:p>
      <w:pPr>
        <w:ind w:left="400" w:hanging="392"/>
        <w:spacing w:after="0"/>
        <w:tabs>
          <w:tab w:leader="none" w:pos="400" w:val="left"/>
        </w:tabs>
        <w:numPr>
          <w:ilvl w:val="0"/>
          <w:numId w:val="22"/>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9"/>
          <w:szCs w:val="29"/>
          <w:color w:val="D7282F"/>
        </w:rPr>
        <w:t>NOTE 14. ACCUMULATED OTHER COMPREHENSIVE INCOME (LOSS)</w:t>
      </w:r>
    </w:p>
    <w:p>
      <w:pPr>
        <w:spacing w:after="0" w:line="28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CHANGES IN ACCUMULATED OTHER COMPREHENSIVE INCOME (LOSS) BY COMPONENT</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vMerge w:val="restart"/>
          </w:tcPr>
          <w:p>
            <w:pPr>
              <w:jc w:val="center"/>
              <w:ind w:right="168"/>
              <w:spacing w:after="0"/>
              <w:rPr>
                <w:sz w:val="20"/>
                <w:szCs w:val="20"/>
                <w:color w:val="auto"/>
              </w:rPr>
            </w:pPr>
            <w:r>
              <w:rPr>
                <w:rFonts w:ascii="Arial" w:cs="Arial" w:eastAsia="Arial" w:hAnsi="Arial"/>
                <w:sz w:val="14"/>
                <w:szCs w:val="14"/>
                <w:b w:val="1"/>
                <w:bCs w:val="1"/>
                <w:color w:val="auto"/>
              </w:rPr>
              <w:t>Foreign</w:t>
            </w:r>
          </w:p>
        </w:tc>
        <w:tc>
          <w:tcPr>
            <w:tcW w:w="260" w:type="dxa"/>
            <w:vAlign w:val="bottom"/>
          </w:tcPr>
          <w:p>
            <w:pPr>
              <w:spacing w:after="0"/>
              <w:rPr>
                <w:sz w:val="14"/>
                <w:szCs w:val="14"/>
                <w:color w:val="auto"/>
              </w:rPr>
            </w:pPr>
          </w:p>
        </w:tc>
        <w:tc>
          <w:tcPr>
            <w:tcW w:w="1400" w:type="dxa"/>
            <w:vAlign w:val="bottom"/>
          </w:tcPr>
          <w:p>
            <w:pPr>
              <w:jc w:val="center"/>
              <w:ind w:right="208"/>
              <w:spacing w:after="0"/>
              <w:rPr>
                <w:sz w:val="20"/>
                <w:szCs w:val="20"/>
                <w:color w:val="auto"/>
              </w:rPr>
            </w:pPr>
            <w:r>
              <w:rPr>
                <w:rFonts w:ascii="Arial" w:cs="Arial" w:eastAsia="Arial" w:hAnsi="Arial"/>
                <w:sz w:val="14"/>
                <w:szCs w:val="14"/>
                <w:b w:val="1"/>
                <w:bCs w:val="1"/>
                <w:color w:val="auto"/>
              </w:rPr>
              <w:t>Pension</w:t>
            </w:r>
          </w:p>
        </w:tc>
        <w:tc>
          <w:tcPr>
            <w:tcW w:w="220" w:type="dxa"/>
            <w:vAlign w:val="bottom"/>
          </w:tcPr>
          <w:p>
            <w:pPr>
              <w:spacing w:after="0"/>
              <w:rPr>
                <w:sz w:val="14"/>
                <w:szCs w:val="14"/>
                <w:color w:val="auto"/>
              </w:rPr>
            </w:pPr>
          </w:p>
        </w:tc>
        <w:tc>
          <w:tcPr>
            <w:tcW w:w="140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Changes in Fair</w:t>
            </w:r>
          </w:p>
        </w:tc>
        <w:tc>
          <w:tcPr>
            <w:tcW w:w="260" w:type="dxa"/>
            <w:vAlign w:val="bottom"/>
          </w:tcPr>
          <w:p>
            <w:pPr>
              <w:spacing w:after="0"/>
              <w:rPr>
                <w:sz w:val="14"/>
                <w:szCs w:val="14"/>
                <w:color w:val="auto"/>
              </w:rPr>
            </w:pPr>
          </w:p>
        </w:tc>
        <w:tc>
          <w:tcPr>
            <w:tcW w:w="1060" w:type="dxa"/>
            <w:vAlign w:val="bottom"/>
            <w:vMerge w:val="restart"/>
          </w:tcPr>
          <w:p>
            <w:pPr>
              <w:jc w:val="center"/>
              <w:ind w:right="168"/>
              <w:spacing w:after="0"/>
              <w:rPr>
                <w:sz w:val="20"/>
                <w:szCs w:val="20"/>
                <w:color w:val="auto"/>
              </w:rPr>
            </w:pPr>
            <w:r>
              <w:rPr>
                <w:rFonts w:ascii="Arial" w:cs="Arial" w:eastAsia="Arial" w:hAnsi="Arial"/>
                <w:sz w:val="14"/>
                <w:szCs w:val="14"/>
                <w:b w:val="1"/>
                <w:bCs w:val="1"/>
                <w:color w:val="auto"/>
              </w:rPr>
              <w:t>Changes in</w:t>
            </w: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tcPr>
          <w:p>
            <w:pPr>
              <w:jc w:val="center"/>
              <w:ind w:right="208"/>
              <w:spacing w:after="0" w:line="145" w:lineRule="exact"/>
              <w:rPr>
                <w:sz w:val="20"/>
                <w:szCs w:val="20"/>
                <w:color w:val="auto"/>
              </w:rPr>
            </w:pPr>
            <w:r>
              <w:rPr>
                <w:rFonts w:ascii="Arial" w:cs="Arial" w:eastAsia="Arial" w:hAnsi="Arial"/>
                <w:sz w:val="14"/>
                <w:szCs w:val="14"/>
                <w:b w:val="1"/>
                <w:bCs w:val="1"/>
                <w:color w:val="auto"/>
              </w:rPr>
              <w:t>and Other</w:t>
            </w:r>
          </w:p>
        </w:tc>
        <w:tc>
          <w:tcPr>
            <w:tcW w:w="22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jc w:val="center"/>
              <w:ind w:right="168"/>
              <w:spacing w:after="0" w:line="135" w:lineRule="exact"/>
              <w:rPr>
                <w:sz w:val="20"/>
                <w:szCs w:val="20"/>
                <w:color w:val="auto"/>
              </w:rPr>
            </w:pPr>
            <w:r>
              <w:rPr>
                <w:rFonts w:ascii="Arial" w:cs="Arial" w:eastAsia="Arial" w:hAnsi="Arial"/>
                <w:sz w:val="14"/>
                <w:szCs w:val="14"/>
                <w:b w:val="1"/>
                <w:bCs w:val="1"/>
                <w:color w:val="auto"/>
              </w:rPr>
              <w:t>Exchange</w:t>
            </w:r>
          </w:p>
        </w:tc>
        <w:tc>
          <w:tcPr>
            <w:tcW w:w="260" w:type="dxa"/>
            <w:vAlign w:val="bottom"/>
          </w:tcPr>
          <w:p>
            <w:pPr>
              <w:spacing w:after="0"/>
              <w:rPr>
                <w:sz w:val="11"/>
                <w:szCs w:val="11"/>
                <w:color w:val="auto"/>
              </w:rPr>
            </w:pPr>
          </w:p>
        </w:tc>
        <w:tc>
          <w:tcPr>
            <w:tcW w:w="1400" w:type="dxa"/>
            <w:vAlign w:val="bottom"/>
          </w:tcPr>
          <w:p>
            <w:pPr>
              <w:jc w:val="center"/>
              <w:ind w:right="188"/>
              <w:spacing w:after="0" w:line="135" w:lineRule="exact"/>
              <w:rPr>
                <w:sz w:val="20"/>
                <w:szCs w:val="20"/>
                <w:color w:val="auto"/>
              </w:rPr>
            </w:pPr>
            <w:r>
              <w:rPr>
                <w:rFonts w:ascii="Arial" w:cs="Arial" w:eastAsia="Arial" w:hAnsi="Arial"/>
                <w:sz w:val="14"/>
                <w:szCs w:val="14"/>
                <w:b w:val="1"/>
                <w:bCs w:val="1"/>
                <w:color w:val="auto"/>
              </w:rPr>
              <w:t>Postretirement</w:t>
            </w:r>
          </w:p>
        </w:tc>
        <w:tc>
          <w:tcPr>
            <w:tcW w:w="220" w:type="dxa"/>
            <w:vAlign w:val="bottom"/>
          </w:tcPr>
          <w:p>
            <w:pPr>
              <w:spacing w:after="0"/>
              <w:rPr>
                <w:sz w:val="11"/>
                <w:szCs w:val="11"/>
                <w:color w:val="auto"/>
              </w:rPr>
            </w:pPr>
          </w:p>
        </w:tc>
        <w:tc>
          <w:tcPr>
            <w:tcW w:w="1400" w:type="dxa"/>
            <w:vAlign w:val="bottom"/>
          </w:tcPr>
          <w:p>
            <w:pPr>
              <w:jc w:val="center"/>
              <w:ind w:right="128"/>
              <w:spacing w:after="0" w:line="135" w:lineRule="exact"/>
              <w:rPr>
                <w:sz w:val="20"/>
                <w:szCs w:val="20"/>
                <w:color w:val="auto"/>
              </w:rPr>
            </w:pPr>
            <w:r>
              <w:rPr>
                <w:rFonts w:ascii="Arial" w:cs="Arial" w:eastAsia="Arial" w:hAnsi="Arial"/>
                <w:sz w:val="14"/>
                <w:szCs w:val="14"/>
                <w:b w:val="1"/>
                <w:bCs w:val="1"/>
                <w:color w:val="auto"/>
              </w:rPr>
              <w:t>Value of</w:t>
            </w:r>
          </w:p>
        </w:tc>
        <w:tc>
          <w:tcPr>
            <w:tcW w:w="260" w:type="dxa"/>
            <w:vAlign w:val="bottom"/>
          </w:tcPr>
          <w:p>
            <w:pPr>
              <w:spacing w:after="0"/>
              <w:rPr>
                <w:sz w:val="11"/>
                <w:szCs w:val="11"/>
                <w:color w:val="auto"/>
              </w:rPr>
            </w:pPr>
          </w:p>
        </w:tc>
        <w:tc>
          <w:tcPr>
            <w:tcW w:w="1060" w:type="dxa"/>
            <w:vAlign w:val="bottom"/>
          </w:tcPr>
          <w:p>
            <w:pPr>
              <w:jc w:val="center"/>
              <w:ind w:right="188"/>
              <w:spacing w:after="0" w:line="135" w:lineRule="exact"/>
              <w:rPr>
                <w:sz w:val="20"/>
                <w:szCs w:val="20"/>
                <w:color w:val="auto"/>
              </w:rPr>
            </w:pPr>
            <w:r>
              <w:rPr>
                <w:rFonts w:ascii="Arial" w:cs="Arial" w:eastAsia="Arial" w:hAnsi="Arial"/>
                <w:sz w:val="14"/>
                <w:szCs w:val="14"/>
                <w:b w:val="1"/>
                <w:bCs w:val="1"/>
                <w:color w:val="auto"/>
              </w:rPr>
              <w:t>Fair Value</w:t>
            </w: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center"/>
              <w:ind w:right="168"/>
              <w:spacing w:after="0" w:line="149" w:lineRule="exact"/>
              <w:rPr>
                <w:sz w:val="20"/>
                <w:szCs w:val="20"/>
                <w:color w:val="auto"/>
              </w:rPr>
            </w:pPr>
            <w:r>
              <w:rPr>
                <w:rFonts w:ascii="Arial" w:cs="Arial" w:eastAsia="Arial" w:hAnsi="Arial"/>
                <w:sz w:val="14"/>
                <w:szCs w:val="14"/>
                <w:b w:val="1"/>
                <w:bCs w:val="1"/>
                <w:color w:val="auto"/>
              </w:rPr>
              <w:t>Translation</w:t>
            </w:r>
          </w:p>
        </w:tc>
        <w:tc>
          <w:tcPr>
            <w:tcW w:w="260" w:type="dxa"/>
            <w:vAlign w:val="bottom"/>
          </w:tcPr>
          <w:p>
            <w:pPr>
              <w:spacing w:after="0"/>
              <w:rPr>
                <w:sz w:val="12"/>
                <w:szCs w:val="12"/>
                <w:color w:val="auto"/>
              </w:rPr>
            </w:pPr>
          </w:p>
        </w:tc>
        <w:tc>
          <w:tcPr>
            <w:tcW w:w="1400" w:type="dxa"/>
            <w:vAlign w:val="bottom"/>
          </w:tcPr>
          <w:p>
            <w:pPr>
              <w:jc w:val="center"/>
              <w:ind w:right="188"/>
              <w:spacing w:after="0" w:line="149" w:lineRule="exact"/>
              <w:rPr>
                <w:sz w:val="20"/>
                <w:szCs w:val="20"/>
                <w:color w:val="auto"/>
              </w:rPr>
            </w:pPr>
            <w:r>
              <w:rPr>
                <w:rFonts w:ascii="Arial" w:cs="Arial" w:eastAsia="Arial" w:hAnsi="Arial"/>
                <w:sz w:val="14"/>
                <w:szCs w:val="14"/>
                <w:b w:val="1"/>
                <w:bCs w:val="1"/>
                <w:color w:val="auto"/>
              </w:rPr>
              <w:t>Benefit</w:t>
            </w:r>
          </w:p>
        </w:tc>
        <w:tc>
          <w:tcPr>
            <w:tcW w:w="220" w:type="dxa"/>
            <w:vAlign w:val="bottom"/>
          </w:tcPr>
          <w:p>
            <w:pPr>
              <w:spacing w:after="0"/>
              <w:rPr>
                <w:sz w:val="12"/>
                <w:szCs w:val="12"/>
                <w:color w:val="auto"/>
              </w:rPr>
            </w:pPr>
          </w:p>
        </w:tc>
        <w:tc>
          <w:tcPr>
            <w:tcW w:w="1400" w:type="dxa"/>
            <w:vAlign w:val="bottom"/>
          </w:tcPr>
          <w:p>
            <w:pPr>
              <w:jc w:val="center"/>
              <w:ind w:right="108"/>
              <w:spacing w:after="0" w:line="149" w:lineRule="exact"/>
              <w:rPr>
                <w:sz w:val="20"/>
                <w:szCs w:val="20"/>
                <w:color w:val="auto"/>
              </w:rPr>
            </w:pPr>
            <w:r>
              <w:rPr>
                <w:rFonts w:ascii="Arial" w:cs="Arial" w:eastAsia="Arial" w:hAnsi="Arial"/>
                <w:sz w:val="14"/>
                <w:szCs w:val="14"/>
                <w:b w:val="1"/>
                <w:bCs w:val="1"/>
                <w:color w:val="auto"/>
              </w:rPr>
              <w:t>Available for Sale</w:t>
            </w:r>
          </w:p>
        </w:tc>
        <w:tc>
          <w:tcPr>
            <w:tcW w:w="13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of Cash Flow</w:t>
            </w:r>
          </w:p>
        </w:tc>
        <w:tc>
          <w:tcPr>
            <w:tcW w:w="300" w:type="dxa"/>
            <w:vAlign w:val="bottom"/>
          </w:tcPr>
          <w:p>
            <w:pPr>
              <w:spacing w:after="0"/>
              <w:rPr>
                <w:sz w:val="12"/>
                <w:szCs w:val="12"/>
                <w:color w:val="auto"/>
              </w:rPr>
            </w:pPr>
          </w:p>
        </w:tc>
        <w:tc>
          <w:tcPr>
            <w:tcW w:w="72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200" w:type="dxa"/>
            <w:vAlign w:val="bottom"/>
            <w:tcBorders>
              <w:bottom w:val="single" w:sz="8" w:color="D7282F"/>
            </w:tcBorders>
          </w:tcPr>
          <w:p>
            <w:pPr>
              <w:spacing w:after="0"/>
              <w:rPr>
                <w:sz w:val="16"/>
                <w:szCs w:val="16"/>
                <w:color w:val="auto"/>
              </w:rPr>
            </w:pPr>
          </w:p>
        </w:tc>
        <w:tc>
          <w:tcPr>
            <w:tcW w:w="340" w:type="dxa"/>
            <w:vAlign w:val="bottom"/>
            <w:tcBorders>
              <w:bottom w:val="single" w:sz="8" w:color="D7282F"/>
            </w:tcBorders>
          </w:tcPr>
          <w:p>
            <w:pPr>
              <w:spacing w:after="0"/>
              <w:rPr>
                <w:sz w:val="16"/>
                <w:szCs w:val="16"/>
                <w:color w:val="auto"/>
              </w:rPr>
            </w:pPr>
          </w:p>
        </w:tc>
        <w:tc>
          <w:tcPr>
            <w:tcW w:w="1080" w:type="dxa"/>
            <w:vAlign w:val="bottom"/>
            <w:tcBorders>
              <w:bottom w:val="single" w:sz="8" w:color="D7282F"/>
            </w:tcBorders>
          </w:tcPr>
          <w:p>
            <w:pPr>
              <w:jc w:val="center"/>
              <w:ind w:right="168"/>
              <w:spacing w:after="0"/>
              <w:rPr>
                <w:sz w:val="20"/>
                <w:szCs w:val="20"/>
                <w:color w:val="auto"/>
              </w:rPr>
            </w:pPr>
            <w:r>
              <w:rPr>
                <w:rFonts w:ascii="Arial" w:cs="Arial" w:eastAsia="Arial" w:hAnsi="Arial"/>
                <w:sz w:val="14"/>
                <w:szCs w:val="14"/>
                <w:b w:val="1"/>
                <w:bCs w:val="1"/>
                <w:color w:val="auto"/>
              </w:rPr>
              <w:t>Adjustment</w:t>
            </w:r>
          </w:p>
        </w:tc>
        <w:tc>
          <w:tcPr>
            <w:tcW w:w="260" w:type="dxa"/>
            <w:vAlign w:val="bottom"/>
            <w:tcBorders>
              <w:bottom w:val="single" w:sz="8" w:color="D7282F"/>
            </w:tcBorders>
          </w:tcPr>
          <w:p>
            <w:pPr>
              <w:spacing w:after="0"/>
              <w:rPr>
                <w:sz w:val="16"/>
                <w:szCs w:val="16"/>
                <w:color w:val="auto"/>
              </w:rPr>
            </w:pPr>
          </w:p>
        </w:tc>
        <w:tc>
          <w:tcPr>
            <w:tcW w:w="1400" w:type="dxa"/>
            <w:vAlign w:val="bottom"/>
            <w:tcBorders>
              <w:bottom w:val="single" w:sz="8" w:color="D7282F"/>
            </w:tcBorders>
          </w:tcPr>
          <w:p>
            <w:pPr>
              <w:jc w:val="center"/>
              <w:ind w:right="188"/>
              <w:spacing w:after="0"/>
              <w:rPr>
                <w:sz w:val="20"/>
                <w:szCs w:val="20"/>
                <w:color w:val="auto"/>
              </w:rPr>
            </w:pPr>
            <w:r>
              <w:rPr>
                <w:rFonts w:ascii="Arial" w:cs="Arial" w:eastAsia="Arial" w:hAnsi="Arial"/>
                <w:sz w:val="14"/>
                <w:szCs w:val="14"/>
                <w:b w:val="1"/>
                <w:bCs w:val="1"/>
                <w:color w:val="auto"/>
              </w:rPr>
              <w:t>Adjustments</w:t>
            </w:r>
          </w:p>
        </w:tc>
        <w:tc>
          <w:tcPr>
            <w:tcW w:w="220" w:type="dxa"/>
            <w:vAlign w:val="bottom"/>
            <w:tcBorders>
              <w:bottom w:val="single" w:sz="8" w:color="D7282F"/>
            </w:tcBorders>
          </w:tcPr>
          <w:p>
            <w:pPr>
              <w:spacing w:after="0"/>
              <w:rPr>
                <w:sz w:val="16"/>
                <w:szCs w:val="16"/>
                <w:color w:val="auto"/>
              </w:rPr>
            </w:pPr>
          </w:p>
        </w:tc>
        <w:tc>
          <w:tcPr>
            <w:tcW w:w="1400" w:type="dxa"/>
            <w:vAlign w:val="bottom"/>
            <w:tcBorders>
              <w:bottom w:val="single" w:sz="8" w:color="D7282F"/>
            </w:tcBorders>
          </w:tcPr>
          <w:p>
            <w:pPr>
              <w:jc w:val="center"/>
              <w:ind w:right="88"/>
              <w:spacing w:after="0"/>
              <w:rPr>
                <w:sz w:val="20"/>
                <w:szCs w:val="20"/>
                <w:color w:val="auto"/>
              </w:rPr>
            </w:pPr>
            <w:r>
              <w:rPr>
                <w:rFonts w:ascii="Arial" w:cs="Arial" w:eastAsia="Arial" w:hAnsi="Arial"/>
                <w:sz w:val="14"/>
                <w:szCs w:val="14"/>
                <w:b w:val="1"/>
                <w:bCs w:val="1"/>
                <w:color w:val="auto"/>
              </w:rPr>
              <w:t>Investments</w:t>
            </w:r>
          </w:p>
        </w:tc>
        <w:tc>
          <w:tcPr>
            <w:tcW w:w="260" w:type="dxa"/>
            <w:vAlign w:val="bottom"/>
            <w:tcBorders>
              <w:bottom w:val="single" w:sz="8" w:color="D7282F"/>
            </w:tcBorders>
          </w:tcPr>
          <w:p>
            <w:pPr>
              <w:spacing w:after="0"/>
              <w:rPr>
                <w:sz w:val="16"/>
                <w:szCs w:val="16"/>
                <w:color w:val="auto"/>
              </w:rPr>
            </w:pPr>
          </w:p>
        </w:tc>
        <w:tc>
          <w:tcPr>
            <w:tcW w:w="1060" w:type="dxa"/>
            <w:vAlign w:val="bottom"/>
            <w:tcBorders>
              <w:bottom w:val="single" w:sz="8" w:color="D7282F"/>
            </w:tcBorders>
          </w:tcPr>
          <w:p>
            <w:pPr>
              <w:jc w:val="center"/>
              <w:ind w:right="188"/>
              <w:spacing w:after="0"/>
              <w:rPr>
                <w:sz w:val="20"/>
                <w:szCs w:val="20"/>
                <w:color w:val="auto"/>
              </w:rPr>
            </w:pPr>
            <w:r>
              <w:rPr>
                <w:rFonts w:ascii="Arial" w:cs="Arial" w:eastAsia="Arial" w:hAnsi="Arial"/>
                <w:sz w:val="14"/>
                <w:szCs w:val="14"/>
                <w:b w:val="1"/>
                <w:bCs w:val="1"/>
                <w:color w:val="auto"/>
              </w:rPr>
              <w:t>Hedges</w:t>
            </w:r>
          </w:p>
        </w:tc>
        <w:tc>
          <w:tcPr>
            <w:tcW w:w="300" w:type="dxa"/>
            <w:vAlign w:val="bottom"/>
            <w:tcBorders>
              <w:bottom w:val="single" w:sz="8" w:color="D7282F"/>
            </w:tcBorders>
          </w:tcPr>
          <w:p>
            <w:pPr>
              <w:spacing w:after="0"/>
              <w:rPr>
                <w:sz w:val="16"/>
                <w:szCs w:val="16"/>
                <w:color w:val="auto"/>
              </w:rPr>
            </w:pPr>
          </w:p>
        </w:tc>
        <w:tc>
          <w:tcPr>
            <w:tcW w:w="720" w:type="dxa"/>
            <w:vAlign w:val="bottom"/>
            <w:tcBorders>
              <w:bottom w:val="single" w:sz="8" w:color="D7282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2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Balance at December 31, 2023</w:t>
            </w:r>
          </w:p>
        </w:tc>
        <w:tc>
          <w:tcPr>
            <w:tcW w:w="3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(3,101)</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4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(1,055)</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4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(2)</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23</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(4,135)</w:t>
            </w:r>
          </w:p>
        </w:tc>
        <w:tc>
          <w:tcPr>
            <w:tcW w:w="0" w:type="dxa"/>
            <w:vAlign w:val="bottom"/>
          </w:tcPr>
          <w:p>
            <w:pPr>
              <w:spacing w:after="0"/>
              <w:rPr>
                <w:sz w:val="1"/>
                <w:szCs w:val="1"/>
                <w:color w:val="auto"/>
              </w:rPr>
            </w:pPr>
          </w:p>
        </w:tc>
      </w:tr>
      <w:tr>
        <w:trPr>
          <w:trHeight w:val="193"/>
        </w:trPr>
        <w:tc>
          <w:tcPr>
            <w:tcW w:w="4200" w:type="dxa"/>
            <w:vAlign w:val="bottom"/>
            <w:tcBorders>
              <w:bottom w:val="single" w:sz="8" w:color="61656A"/>
            </w:tcBorders>
          </w:tcPr>
          <w:p>
            <w:pPr>
              <w:ind w:left="80"/>
              <w:spacing w:after="0"/>
              <w:rPr>
                <w:sz w:val="20"/>
                <w:szCs w:val="20"/>
                <w:color w:val="auto"/>
              </w:rPr>
            </w:pPr>
            <w:r>
              <w:rPr>
                <w:rFonts w:ascii="Arial" w:cs="Arial" w:eastAsia="Arial" w:hAnsi="Arial"/>
                <w:sz w:val="14"/>
                <w:szCs w:val="14"/>
                <w:color w:val="auto"/>
              </w:rPr>
              <w:t>Other comprehensive income (loss) before reclassifications</w:t>
            </w:r>
          </w:p>
        </w:tc>
        <w:tc>
          <w:tcPr>
            <w:tcW w:w="340" w:type="dxa"/>
            <w:vAlign w:val="bottom"/>
            <w:tcBorders>
              <w:bottom w:val="single" w:sz="8" w:color="61656A"/>
            </w:tcBorders>
          </w:tcPr>
          <w:p>
            <w:pPr>
              <w:spacing w:after="0"/>
              <w:rPr>
                <w:sz w:val="16"/>
                <w:szCs w:val="16"/>
                <w:color w:val="auto"/>
              </w:rPr>
            </w:pPr>
          </w:p>
        </w:tc>
        <w:tc>
          <w:tcPr>
            <w:tcW w:w="10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78</w:t>
            </w:r>
          </w:p>
        </w:tc>
        <w:tc>
          <w:tcPr>
            <w:tcW w:w="260" w:type="dxa"/>
            <w:vAlign w:val="bottom"/>
            <w:tcBorders>
              <w:bottom w:val="single" w:sz="8" w:color="61656A"/>
            </w:tcBorders>
          </w:tcPr>
          <w:p>
            <w:pPr>
              <w:spacing w:after="0"/>
              <w:rPr>
                <w:sz w:val="16"/>
                <w:szCs w:val="16"/>
                <w:color w:val="auto"/>
              </w:rPr>
            </w:pPr>
          </w:p>
        </w:tc>
        <w:tc>
          <w:tcPr>
            <w:tcW w:w="14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61656A"/>
            </w:tcBorders>
          </w:tcPr>
          <w:p>
            <w:pPr>
              <w:spacing w:after="0"/>
              <w:rPr>
                <w:sz w:val="16"/>
                <w:szCs w:val="16"/>
                <w:color w:val="auto"/>
              </w:rPr>
            </w:pPr>
          </w:p>
        </w:tc>
        <w:tc>
          <w:tcPr>
            <w:tcW w:w="14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6"/>
                <w:szCs w:val="16"/>
                <w:color w:val="auto"/>
              </w:rPr>
            </w:pPr>
          </w:p>
        </w:tc>
        <w:tc>
          <w:tcPr>
            <w:tcW w:w="10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18</w:t>
            </w:r>
          </w:p>
        </w:tc>
        <w:tc>
          <w:tcPr>
            <w:tcW w:w="300" w:type="dxa"/>
            <w:vAlign w:val="bottom"/>
            <w:tcBorders>
              <w:bottom w:val="single" w:sz="8" w:color="61656A"/>
            </w:tcBorders>
          </w:tcPr>
          <w:p>
            <w:pPr>
              <w:spacing w:after="0"/>
              <w:rPr>
                <w:sz w:val="16"/>
                <w:szCs w:val="16"/>
                <w:color w:val="auto"/>
              </w:rPr>
            </w:pPr>
          </w:p>
        </w:tc>
        <w:tc>
          <w:tcPr>
            <w:tcW w:w="7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150"/>
        </w:trPr>
        <w:tc>
          <w:tcPr>
            <w:tcW w:w="4200" w:type="dxa"/>
            <w:vAlign w:val="bottom"/>
          </w:tcPr>
          <w:p>
            <w:pPr>
              <w:ind w:left="80"/>
              <w:spacing w:after="0" w:line="151" w:lineRule="exact"/>
              <w:rPr>
                <w:sz w:val="20"/>
                <w:szCs w:val="20"/>
                <w:color w:val="auto"/>
              </w:rPr>
            </w:pPr>
            <w:r>
              <w:rPr>
                <w:rFonts w:ascii="Arial" w:cs="Arial" w:eastAsia="Arial" w:hAnsi="Arial"/>
                <w:sz w:val="14"/>
                <w:szCs w:val="14"/>
                <w:color w:val="auto"/>
              </w:rPr>
              <w:t>Amounts reclassified from accumulated other comprehensive</w:t>
            </w:r>
          </w:p>
        </w:tc>
        <w:tc>
          <w:tcPr>
            <w:tcW w:w="340" w:type="dxa"/>
            <w:vAlign w:val="bottom"/>
          </w:tcPr>
          <w:p>
            <w:pPr>
              <w:spacing w:after="0"/>
              <w:rPr>
                <w:sz w:val="13"/>
                <w:szCs w:val="13"/>
                <w:color w:val="auto"/>
              </w:rPr>
            </w:pPr>
          </w:p>
        </w:tc>
        <w:tc>
          <w:tcPr>
            <w:tcW w:w="10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1400" w:type="dxa"/>
            <w:vAlign w:val="bottom"/>
            <w:vMerge w:val="restart"/>
          </w:tcPr>
          <w:p>
            <w:pPr>
              <w:jc w:val="right"/>
              <w:ind w:right="68"/>
              <w:spacing w:after="0"/>
              <w:rPr>
                <w:sz w:val="20"/>
                <w:szCs w:val="20"/>
                <w:color w:val="auto"/>
              </w:rPr>
            </w:pPr>
            <w:r>
              <w:rPr>
                <w:rFonts w:ascii="Arial" w:cs="Arial" w:eastAsia="Arial" w:hAnsi="Arial"/>
                <w:sz w:val="14"/>
                <w:szCs w:val="14"/>
                <w:color w:val="auto"/>
              </w:rPr>
              <w:t>(5)</w:t>
            </w:r>
          </w:p>
        </w:tc>
        <w:tc>
          <w:tcPr>
            <w:tcW w:w="220" w:type="dxa"/>
            <w:vAlign w:val="bottom"/>
          </w:tcPr>
          <w:p>
            <w:pPr>
              <w:spacing w:after="0"/>
              <w:rPr>
                <w:sz w:val="13"/>
                <w:szCs w:val="13"/>
                <w:color w:val="auto"/>
              </w:rPr>
            </w:pPr>
          </w:p>
        </w:tc>
        <w:tc>
          <w:tcPr>
            <w:tcW w:w="140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1060" w:type="dxa"/>
            <w:vAlign w:val="bottom"/>
            <w:vMerge w:val="restart"/>
          </w:tcPr>
          <w:p>
            <w:pPr>
              <w:jc w:val="right"/>
              <w:ind w:right="68"/>
              <w:spacing w:after="0"/>
              <w:rPr>
                <w:sz w:val="20"/>
                <w:szCs w:val="20"/>
                <w:color w:val="auto"/>
              </w:rPr>
            </w:pPr>
            <w:r>
              <w:rPr>
                <w:rFonts w:ascii="Arial" w:cs="Arial" w:eastAsia="Arial" w:hAnsi="Arial"/>
                <w:sz w:val="14"/>
                <w:szCs w:val="14"/>
                <w:color w:val="auto"/>
              </w:rPr>
              <w:t>(4)</w:t>
            </w:r>
          </w:p>
        </w:tc>
        <w:tc>
          <w:tcPr>
            <w:tcW w:w="30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85"/>
        </w:trPr>
        <w:tc>
          <w:tcPr>
            <w:tcW w:w="4200" w:type="dxa"/>
            <w:vAlign w:val="bottom"/>
            <w:tcBorders>
              <w:bottom w:val="single" w:sz="8" w:color="D7282F"/>
            </w:tcBorders>
          </w:tcPr>
          <w:p>
            <w:pPr>
              <w:ind w:left="80"/>
              <w:spacing w:after="0"/>
              <w:rPr>
                <w:sz w:val="20"/>
                <w:szCs w:val="20"/>
                <w:color w:val="auto"/>
              </w:rPr>
            </w:pPr>
            <w:r>
              <w:rPr>
                <w:rFonts w:ascii="Arial" w:cs="Arial" w:eastAsia="Arial" w:hAnsi="Arial"/>
                <w:sz w:val="14"/>
                <w:szCs w:val="14"/>
                <w:color w:val="auto"/>
              </w:rPr>
              <w:t>income (loss)</w:t>
            </w:r>
          </w:p>
        </w:tc>
        <w:tc>
          <w:tcPr>
            <w:tcW w:w="340" w:type="dxa"/>
            <w:vAlign w:val="bottom"/>
            <w:tcBorders>
              <w:bottom w:val="single" w:sz="8" w:color="D7282F"/>
            </w:tcBorders>
          </w:tcPr>
          <w:p>
            <w:pPr>
              <w:spacing w:after="0"/>
              <w:rPr>
                <w:sz w:val="16"/>
                <w:szCs w:val="16"/>
                <w:color w:val="auto"/>
              </w:rPr>
            </w:pPr>
          </w:p>
        </w:tc>
        <w:tc>
          <w:tcPr>
            <w:tcW w:w="1080" w:type="dxa"/>
            <w:vAlign w:val="bottom"/>
            <w:tcBorders>
              <w:bottom w:val="single" w:sz="8" w:color="D7282F"/>
            </w:tcBorders>
            <w:vMerge w:val="continue"/>
          </w:tcPr>
          <w:p>
            <w:pPr>
              <w:spacing w:after="0"/>
              <w:rPr>
                <w:sz w:val="16"/>
                <w:szCs w:val="16"/>
                <w:color w:val="auto"/>
              </w:rPr>
            </w:pPr>
          </w:p>
        </w:tc>
        <w:tc>
          <w:tcPr>
            <w:tcW w:w="260" w:type="dxa"/>
            <w:vAlign w:val="bottom"/>
            <w:tcBorders>
              <w:bottom w:val="single" w:sz="8" w:color="D7282F"/>
            </w:tcBorders>
          </w:tcPr>
          <w:p>
            <w:pPr>
              <w:spacing w:after="0"/>
              <w:rPr>
                <w:sz w:val="16"/>
                <w:szCs w:val="16"/>
                <w:color w:val="auto"/>
              </w:rPr>
            </w:pPr>
          </w:p>
        </w:tc>
        <w:tc>
          <w:tcPr>
            <w:tcW w:w="1400" w:type="dxa"/>
            <w:vAlign w:val="bottom"/>
            <w:tcBorders>
              <w:bottom w:val="single" w:sz="8" w:color="D7282F"/>
            </w:tcBorders>
            <w:vMerge w:val="continue"/>
          </w:tcPr>
          <w:p>
            <w:pPr>
              <w:spacing w:after="0"/>
              <w:rPr>
                <w:sz w:val="16"/>
                <w:szCs w:val="16"/>
                <w:color w:val="auto"/>
              </w:rPr>
            </w:pPr>
          </w:p>
        </w:tc>
        <w:tc>
          <w:tcPr>
            <w:tcW w:w="220" w:type="dxa"/>
            <w:vAlign w:val="bottom"/>
            <w:tcBorders>
              <w:bottom w:val="single" w:sz="8" w:color="D7282F"/>
            </w:tcBorders>
          </w:tcPr>
          <w:p>
            <w:pPr>
              <w:spacing w:after="0"/>
              <w:rPr>
                <w:sz w:val="16"/>
                <w:szCs w:val="16"/>
                <w:color w:val="auto"/>
              </w:rPr>
            </w:pPr>
          </w:p>
        </w:tc>
        <w:tc>
          <w:tcPr>
            <w:tcW w:w="1400" w:type="dxa"/>
            <w:vAlign w:val="bottom"/>
            <w:tcBorders>
              <w:bottom w:val="single" w:sz="8" w:color="D7282F"/>
            </w:tcBorders>
            <w:vMerge w:val="continue"/>
          </w:tcPr>
          <w:p>
            <w:pPr>
              <w:spacing w:after="0"/>
              <w:rPr>
                <w:sz w:val="16"/>
                <w:szCs w:val="16"/>
                <w:color w:val="auto"/>
              </w:rPr>
            </w:pPr>
          </w:p>
        </w:tc>
        <w:tc>
          <w:tcPr>
            <w:tcW w:w="260" w:type="dxa"/>
            <w:vAlign w:val="bottom"/>
            <w:tcBorders>
              <w:bottom w:val="single" w:sz="8" w:color="D7282F"/>
            </w:tcBorders>
          </w:tcPr>
          <w:p>
            <w:pPr>
              <w:spacing w:after="0"/>
              <w:rPr>
                <w:sz w:val="16"/>
                <w:szCs w:val="16"/>
                <w:color w:val="auto"/>
              </w:rPr>
            </w:pPr>
          </w:p>
        </w:tc>
        <w:tc>
          <w:tcPr>
            <w:tcW w:w="1060" w:type="dxa"/>
            <w:vAlign w:val="bottom"/>
            <w:tcBorders>
              <w:bottom w:val="single" w:sz="8" w:color="D7282F"/>
            </w:tcBorders>
            <w:vMerge w:val="continue"/>
          </w:tcPr>
          <w:p>
            <w:pPr>
              <w:spacing w:after="0"/>
              <w:rPr>
                <w:sz w:val="16"/>
                <w:szCs w:val="16"/>
                <w:color w:val="auto"/>
              </w:rPr>
            </w:pPr>
          </w:p>
        </w:tc>
        <w:tc>
          <w:tcPr>
            <w:tcW w:w="300" w:type="dxa"/>
            <w:vAlign w:val="bottom"/>
            <w:tcBorders>
              <w:bottom w:val="single" w:sz="8" w:color="D7282F"/>
            </w:tcBorders>
          </w:tcPr>
          <w:p>
            <w:pPr>
              <w:spacing w:after="0"/>
              <w:rPr>
                <w:sz w:val="16"/>
                <w:szCs w:val="16"/>
                <w:color w:val="auto"/>
              </w:rPr>
            </w:pPr>
          </w:p>
        </w:tc>
        <w:tc>
          <w:tcPr>
            <w:tcW w:w="720" w:type="dxa"/>
            <w:vAlign w:val="bottom"/>
            <w:tcBorders>
              <w:bottom w:val="single" w:sz="8" w:color="D7282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20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Net current period other comprehensive income (loss)</w:t>
            </w:r>
          </w:p>
        </w:tc>
        <w:tc>
          <w:tcPr>
            <w:tcW w:w="340" w:type="dxa"/>
            <w:vAlign w:val="bottom"/>
            <w:tcBorders>
              <w:bottom w:val="single" w:sz="8" w:color="D7282F"/>
            </w:tcBorders>
          </w:tcPr>
          <w:p>
            <w:pPr>
              <w:spacing w:after="0"/>
              <w:rPr>
                <w:sz w:val="16"/>
                <w:szCs w:val="16"/>
                <w:color w:val="auto"/>
              </w:rPr>
            </w:pPr>
          </w:p>
        </w:tc>
        <w:tc>
          <w:tcPr>
            <w:tcW w:w="10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78</w:t>
            </w:r>
          </w:p>
        </w:tc>
        <w:tc>
          <w:tcPr>
            <w:tcW w:w="260" w:type="dxa"/>
            <w:vAlign w:val="bottom"/>
            <w:tcBorders>
              <w:bottom w:val="single" w:sz="8" w:color="D7282F"/>
            </w:tcBorders>
          </w:tcPr>
          <w:p>
            <w:pPr>
              <w:spacing w:after="0"/>
              <w:rPr>
                <w:sz w:val="16"/>
                <w:szCs w:val="16"/>
                <w:color w:val="auto"/>
              </w:rPr>
            </w:pPr>
          </w:p>
        </w:tc>
        <w:tc>
          <w:tcPr>
            <w:tcW w:w="14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(5)</w:t>
            </w:r>
          </w:p>
        </w:tc>
        <w:tc>
          <w:tcPr>
            <w:tcW w:w="220" w:type="dxa"/>
            <w:vAlign w:val="bottom"/>
            <w:tcBorders>
              <w:bottom w:val="single" w:sz="8" w:color="D7282F"/>
            </w:tcBorders>
          </w:tcPr>
          <w:p>
            <w:pPr>
              <w:spacing w:after="0"/>
              <w:rPr>
                <w:sz w:val="16"/>
                <w:szCs w:val="16"/>
                <w:color w:val="auto"/>
              </w:rPr>
            </w:pPr>
          </w:p>
        </w:tc>
        <w:tc>
          <w:tcPr>
            <w:tcW w:w="14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D7282F"/>
            </w:tcBorders>
          </w:tcPr>
          <w:p>
            <w:pPr>
              <w:spacing w:after="0"/>
              <w:rPr>
                <w:sz w:val="16"/>
                <w:szCs w:val="16"/>
                <w:color w:val="auto"/>
              </w:rPr>
            </w:pPr>
          </w:p>
        </w:tc>
        <w:tc>
          <w:tcPr>
            <w:tcW w:w="10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14</w:t>
            </w:r>
          </w:p>
        </w:tc>
        <w:tc>
          <w:tcPr>
            <w:tcW w:w="300" w:type="dxa"/>
            <w:vAlign w:val="bottom"/>
            <w:tcBorders>
              <w:bottom w:val="single" w:sz="8" w:color="D7282F"/>
            </w:tcBorders>
          </w:tcPr>
          <w:p>
            <w:pPr>
              <w:spacing w:after="0"/>
              <w:rPr>
                <w:sz w:val="16"/>
                <w:szCs w:val="16"/>
                <w:color w:val="auto"/>
              </w:rPr>
            </w:pPr>
          </w:p>
        </w:tc>
        <w:tc>
          <w:tcPr>
            <w:tcW w:w="7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87</w:t>
            </w:r>
          </w:p>
        </w:tc>
        <w:tc>
          <w:tcPr>
            <w:tcW w:w="0" w:type="dxa"/>
            <w:vAlign w:val="bottom"/>
          </w:tcPr>
          <w:p>
            <w:pPr>
              <w:spacing w:after="0"/>
              <w:rPr>
                <w:sz w:val="1"/>
                <w:szCs w:val="1"/>
                <w:color w:val="auto"/>
              </w:rPr>
            </w:pPr>
          </w:p>
        </w:tc>
      </w:tr>
      <w:tr>
        <w:trPr>
          <w:trHeight w:val="196"/>
        </w:trPr>
        <w:tc>
          <w:tcPr>
            <w:tcW w:w="42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Balance at March 31, 2024</w:t>
            </w:r>
          </w:p>
        </w:tc>
        <w:tc>
          <w:tcPr>
            <w:tcW w:w="3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(3,023)</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4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(1,060)</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4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(2)</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37</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(4,048)</w:t>
            </w:r>
          </w:p>
        </w:tc>
        <w:tc>
          <w:tcPr>
            <w:tcW w:w="0" w:type="dxa"/>
            <w:vAlign w:val="bottom"/>
          </w:tcPr>
          <w:p>
            <w:pPr>
              <w:spacing w:after="0"/>
              <w:rPr>
                <w:sz w:val="1"/>
                <w:szCs w:val="1"/>
                <w:color w:val="auto"/>
              </w:rPr>
            </w:pPr>
          </w:p>
        </w:tc>
      </w:tr>
      <w:tr>
        <w:trPr>
          <w:trHeight w:val="372"/>
        </w:trPr>
        <w:tc>
          <w:tcPr>
            <w:tcW w:w="4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vMerge w:val="restart"/>
          </w:tcPr>
          <w:p>
            <w:pPr>
              <w:jc w:val="center"/>
              <w:ind w:right="168"/>
              <w:spacing w:after="0"/>
              <w:rPr>
                <w:sz w:val="20"/>
                <w:szCs w:val="20"/>
                <w:color w:val="auto"/>
              </w:rPr>
            </w:pPr>
            <w:r>
              <w:rPr>
                <w:rFonts w:ascii="Arial" w:cs="Arial" w:eastAsia="Arial" w:hAnsi="Arial"/>
                <w:sz w:val="14"/>
                <w:szCs w:val="14"/>
                <w:b w:val="1"/>
                <w:bCs w:val="1"/>
                <w:color w:val="auto"/>
              </w:rPr>
              <w:t>Foreign</w:t>
            </w:r>
          </w:p>
        </w:tc>
        <w:tc>
          <w:tcPr>
            <w:tcW w:w="260" w:type="dxa"/>
            <w:vAlign w:val="bottom"/>
          </w:tcPr>
          <w:p>
            <w:pPr>
              <w:spacing w:after="0"/>
              <w:rPr>
                <w:sz w:val="24"/>
                <w:szCs w:val="24"/>
                <w:color w:val="auto"/>
              </w:rPr>
            </w:pPr>
          </w:p>
        </w:tc>
        <w:tc>
          <w:tcPr>
            <w:tcW w:w="1400" w:type="dxa"/>
            <w:vAlign w:val="bottom"/>
          </w:tcPr>
          <w:p>
            <w:pPr>
              <w:jc w:val="center"/>
              <w:ind w:right="248"/>
              <w:spacing w:after="0"/>
              <w:rPr>
                <w:sz w:val="20"/>
                <w:szCs w:val="20"/>
                <w:color w:val="auto"/>
              </w:rPr>
            </w:pPr>
            <w:r>
              <w:rPr>
                <w:rFonts w:ascii="Arial" w:cs="Arial" w:eastAsia="Arial" w:hAnsi="Arial"/>
                <w:sz w:val="14"/>
                <w:szCs w:val="14"/>
                <w:b w:val="1"/>
                <w:bCs w:val="1"/>
                <w:color w:val="auto"/>
              </w:rPr>
              <w:t>Pension</w:t>
            </w:r>
          </w:p>
        </w:tc>
        <w:tc>
          <w:tcPr>
            <w:tcW w:w="220" w:type="dxa"/>
            <w:vAlign w:val="bottom"/>
          </w:tcPr>
          <w:p>
            <w:pPr>
              <w:spacing w:after="0"/>
              <w:rPr>
                <w:sz w:val="24"/>
                <w:szCs w:val="24"/>
                <w:color w:val="auto"/>
              </w:rPr>
            </w:pPr>
          </w:p>
        </w:tc>
        <w:tc>
          <w:tcPr>
            <w:tcW w:w="1400" w:type="dxa"/>
            <w:vAlign w:val="bottom"/>
            <w:vMerge w:val="restart"/>
          </w:tcPr>
          <w:p>
            <w:pPr>
              <w:jc w:val="center"/>
              <w:ind w:right="168"/>
              <w:spacing w:after="0"/>
              <w:rPr>
                <w:sz w:val="20"/>
                <w:szCs w:val="20"/>
                <w:color w:val="auto"/>
              </w:rPr>
            </w:pPr>
            <w:r>
              <w:rPr>
                <w:rFonts w:ascii="Arial" w:cs="Arial" w:eastAsia="Arial" w:hAnsi="Arial"/>
                <w:sz w:val="14"/>
                <w:szCs w:val="14"/>
                <w:b w:val="1"/>
                <w:bCs w:val="1"/>
                <w:color w:val="auto"/>
              </w:rPr>
              <w:t>Changes in Fair</w:t>
            </w:r>
          </w:p>
        </w:tc>
        <w:tc>
          <w:tcPr>
            <w:tcW w:w="260" w:type="dxa"/>
            <w:vAlign w:val="bottom"/>
          </w:tcPr>
          <w:p>
            <w:pPr>
              <w:spacing w:after="0"/>
              <w:rPr>
                <w:sz w:val="24"/>
                <w:szCs w:val="24"/>
                <w:color w:val="auto"/>
              </w:rPr>
            </w:pPr>
          </w:p>
        </w:tc>
        <w:tc>
          <w:tcPr>
            <w:tcW w:w="1060" w:type="dxa"/>
            <w:vAlign w:val="bottom"/>
            <w:vMerge w:val="restart"/>
          </w:tcPr>
          <w:p>
            <w:pPr>
              <w:jc w:val="center"/>
              <w:ind w:right="168"/>
              <w:spacing w:after="0"/>
              <w:rPr>
                <w:sz w:val="20"/>
                <w:szCs w:val="20"/>
                <w:color w:val="auto"/>
              </w:rPr>
            </w:pPr>
            <w:r>
              <w:rPr>
                <w:rFonts w:ascii="Arial" w:cs="Arial" w:eastAsia="Arial" w:hAnsi="Arial"/>
                <w:sz w:val="14"/>
                <w:szCs w:val="14"/>
                <w:b w:val="1"/>
                <w:bCs w:val="1"/>
                <w:color w:val="auto"/>
              </w:rPr>
              <w:t>Changes in</w:t>
            </w: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400" w:type="dxa"/>
            <w:vAlign w:val="bottom"/>
          </w:tcPr>
          <w:p>
            <w:pPr>
              <w:jc w:val="center"/>
              <w:ind w:right="208"/>
              <w:spacing w:after="0" w:line="135" w:lineRule="exact"/>
              <w:rPr>
                <w:sz w:val="20"/>
                <w:szCs w:val="20"/>
                <w:color w:val="auto"/>
              </w:rPr>
            </w:pPr>
            <w:r>
              <w:rPr>
                <w:rFonts w:ascii="Arial" w:cs="Arial" w:eastAsia="Arial" w:hAnsi="Arial"/>
                <w:sz w:val="14"/>
                <w:szCs w:val="14"/>
                <w:b w:val="1"/>
                <w:bCs w:val="1"/>
                <w:color w:val="auto"/>
              </w:rPr>
              <w:t>and Other</w:t>
            </w:r>
          </w:p>
        </w:tc>
        <w:tc>
          <w:tcPr>
            <w:tcW w:w="22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center"/>
              <w:ind w:right="168"/>
              <w:spacing w:after="0" w:line="149" w:lineRule="exact"/>
              <w:rPr>
                <w:sz w:val="20"/>
                <w:szCs w:val="20"/>
                <w:color w:val="auto"/>
              </w:rPr>
            </w:pPr>
            <w:r>
              <w:rPr>
                <w:rFonts w:ascii="Arial" w:cs="Arial" w:eastAsia="Arial" w:hAnsi="Arial"/>
                <w:sz w:val="14"/>
                <w:szCs w:val="14"/>
                <w:b w:val="1"/>
                <w:bCs w:val="1"/>
                <w:color w:val="auto"/>
              </w:rPr>
              <w:t>Exchange</w:t>
            </w:r>
          </w:p>
        </w:tc>
        <w:tc>
          <w:tcPr>
            <w:tcW w:w="260" w:type="dxa"/>
            <w:vAlign w:val="bottom"/>
          </w:tcPr>
          <w:p>
            <w:pPr>
              <w:spacing w:after="0"/>
              <w:rPr>
                <w:sz w:val="12"/>
                <w:szCs w:val="12"/>
                <w:color w:val="auto"/>
              </w:rPr>
            </w:pPr>
          </w:p>
        </w:tc>
        <w:tc>
          <w:tcPr>
            <w:tcW w:w="1400" w:type="dxa"/>
            <w:vAlign w:val="bottom"/>
          </w:tcPr>
          <w:p>
            <w:pPr>
              <w:jc w:val="center"/>
              <w:ind w:right="188"/>
              <w:spacing w:after="0" w:line="149" w:lineRule="exact"/>
              <w:rPr>
                <w:sz w:val="20"/>
                <w:szCs w:val="20"/>
                <w:color w:val="auto"/>
              </w:rPr>
            </w:pPr>
            <w:r>
              <w:rPr>
                <w:rFonts w:ascii="Arial" w:cs="Arial" w:eastAsia="Arial" w:hAnsi="Arial"/>
                <w:sz w:val="14"/>
                <w:szCs w:val="14"/>
                <w:b w:val="1"/>
                <w:bCs w:val="1"/>
                <w:color w:val="auto"/>
              </w:rPr>
              <w:t>Postretirement</w:t>
            </w:r>
          </w:p>
        </w:tc>
        <w:tc>
          <w:tcPr>
            <w:tcW w:w="220" w:type="dxa"/>
            <w:vAlign w:val="bottom"/>
          </w:tcPr>
          <w:p>
            <w:pPr>
              <w:spacing w:after="0"/>
              <w:rPr>
                <w:sz w:val="12"/>
                <w:szCs w:val="12"/>
                <w:color w:val="auto"/>
              </w:rPr>
            </w:pPr>
          </w:p>
        </w:tc>
        <w:tc>
          <w:tcPr>
            <w:tcW w:w="1400" w:type="dxa"/>
            <w:vAlign w:val="bottom"/>
          </w:tcPr>
          <w:p>
            <w:pPr>
              <w:jc w:val="center"/>
              <w:ind w:right="128"/>
              <w:spacing w:after="0" w:line="149" w:lineRule="exact"/>
              <w:rPr>
                <w:sz w:val="20"/>
                <w:szCs w:val="20"/>
                <w:color w:val="auto"/>
              </w:rPr>
            </w:pPr>
            <w:r>
              <w:rPr>
                <w:rFonts w:ascii="Arial" w:cs="Arial" w:eastAsia="Arial" w:hAnsi="Arial"/>
                <w:sz w:val="14"/>
                <w:szCs w:val="14"/>
                <w:b w:val="1"/>
                <w:bCs w:val="1"/>
                <w:color w:val="auto"/>
              </w:rPr>
              <w:t>Value of</w:t>
            </w:r>
          </w:p>
        </w:tc>
        <w:tc>
          <w:tcPr>
            <w:tcW w:w="260" w:type="dxa"/>
            <w:vAlign w:val="bottom"/>
          </w:tcPr>
          <w:p>
            <w:pPr>
              <w:spacing w:after="0"/>
              <w:rPr>
                <w:sz w:val="12"/>
                <w:szCs w:val="12"/>
                <w:color w:val="auto"/>
              </w:rPr>
            </w:pPr>
          </w:p>
        </w:tc>
        <w:tc>
          <w:tcPr>
            <w:tcW w:w="1060" w:type="dxa"/>
            <w:vAlign w:val="bottom"/>
          </w:tcPr>
          <w:p>
            <w:pPr>
              <w:jc w:val="center"/>
              <w:ind w:right="188"/>
              <w:spacing w:after="0" w:line="149" w:lineRule="exact"/>
              <w:rPr>
                <w:sz w:val="20"/>
                <w:szCs w:val="20"/>
                <w:color w:val="auto"/>
              </w:rPr>
            </w:pPr>
            <w:r>
              <w:rPr>
                <w:rFonts w:ascii="Arial" w:cs="Arial" w:eastAsia="Arial" w:hAnsi="Arial"/>
                <w:sz w:val="14"/>
                <w:szCs w:val="14"/>
                <w:b w:val="1"/>
                <w:bCs w:val="1"/>
                <w:color w:val="auto"/>
              </w:rPr>
              <w:t>Fair Value</w:t>
            </w: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center"/>
              <w:ind w:right="168"/>
              <w:spacing w:after="0" w:line="149" w:lineRule="exact"/>
              <w:rPr>
                <w:sz w:val="20"/>
                <w:szCs w:val="20"/>
                <w:color w:val="auto"/>
              </w:rPr>
            </w:pPr>
            <w:r>
              <w:rPr>
                <w:rFonts w:ascii="Arial" w:cs="Arial" w:eastAsia="Arial" w:hAnsi="Arial"/>
                <w:sz w:val="14"/>
                <w:szCs w:val="14"/>
                <w:b w:val="1"/>
                <w:bCs w:val="1"/>
                <w:color w:val="auto"/>
              </w:rPr>
              <w:t>Translation</w:t>
            </w:r>
          </w:p>
        </w:tc>
        <w:tc>
          <w:tcPr>
            <w:tcW w:w="260" w:type="dxa"/>
            <w:vAlign w:val="bottom"/>
          </w:tcPr>
          <w:p>
            <w:pPr>
              <w:spacing w:after="0"/>
              <w:rPr>
                <w:sz w:val="12"/>
                <w:szCs w:val="12"/>
                <w:color w:val="auto"/>
              </w:rPr>
            </w:pPr>
          </w:p>
        </w:tc>
        <w:tc>
          <w:tcPr>
            <w:tcW w:w="1400" w:type="dxa"/>
            <w:vAlign w:val="bottom"/>
          </w:tcPr>
          <w:p>
            <w:pPr>
              <w:jc w:val="center"/>
              <w:ind w:right="188"/>
              <w:spacing w:after="0" w:line="149" w:lineRule="exact"/>
              <w:rPr>
                <w:sz w:val="20"/>
                <w:szCs w:val="20"/>
                <w:color w:val="auto"/>
              </w:rPr>
            </w:pPr>
            <w:r>
              <w:rPr>
                <w:rFonts w:ascii="Arial" w:cs="Arial" w:eastAsia="Arial" w:hAnsi="Arial"/>
                <w:sz w:val="14"/>
                <w:szCs w:val="14"/>
                <w:b w:val="1"/>
                <w:bCs w:val="1"/>
                <w:color w:val="auto"/>
              </w:rPr>
              <w:t>Benefit</w:t>
            </w:r>
          </w:p>
        </w:tc>
        <w:tc>
          <w:tcPr>
            <w:tcW w:w="220" w:type="dxa"/>
            <w:vAlign w:val="bottom"/>
          </w:tcPr>
          <w:p>
            <w:pPr>
              <w:spacing w:after="0"/>
              <w:rPr>
                <w:sz w:val="12"/>
                <w:szCs w:val="12"/>
                <w:color w:val="auto"/>
              </w:rPr>
            </w:pPr>
          </w:p>
        </w:tc>
        <w:tc>
          <w:tcPr>
            <w:tcW w:w="1400" w:type="dxa"/>
            <w:vAlign w:val="bottom"/>
          </w:tcPr>
          <w:p>
            <w:pPr>
              <w:jc w:val="center"/>
              <w:ind w:right="108"/>
              <w:spacing w:after="0" w:line="149" w:lineRule="exact"/>
              <w:rPr>
                <w:sz w:val="20"/>
                <w:szCs w:val="20"/>
                <w:color w:val="auto"/>
              </w:rPr>
            </w:pPr>
            <w:r>
              <w:rPr>
                <w:rFonts w:ascii="Arial" w:cs="Arial" w:eastAsia="Arial" w:hAnsi="Arial"/>
                <w:sz w:val="14"/>
                <w:szCs w:val="14"/>
                <w:b w:val="1"/>
                <w:bCs w:val="1"/>
                <w:color w:val="auto"/>
              </w:rPr>
              <w:t>Available for Sale</w:t>
            </w:r>
          </w:p>
        </w:tc>
        <w:tc>
          <w:tcPr>
            <w:tcW w:w="13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of Cash Flow</w:t>
            </w:r>
          </w:p>
        </w:tc>
        <w:tc>
          <w:tcPr>
            <w:tcW w:w="300" w:type="dxa"/>
            <w:vAlign w:val="bottom"/>
          </w:tcPr>
          <w:p>
            <w:pPr>
              <w:spacing w:after="0"/>
              <w:rPr>
                <w:sz w:val="12"/>
                <w:szCs w:val="12"/>
                <w:color w:val="auto"/>
              </w:rPr>
            </w:pPr>
          </w:p>
        </w:tc>
        <w:tc>
          <w:tcPr>
            <w:tcW w:w="72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200" w:type="dxa"/>
            <w:vAlign w:val="bottom"/>
            <w:tcBorders>
              <w:bottom w:val="single" w:sz="8" w:color="D7282F"/>
            </w:tcBorders>
          </w:tcPr>
          <w:p>
            <w:pPr>
              <w:spacing w:after="0"/>
              <w:rPr>
                <w:sz w:val="16"/>
                <w:szCs w:val="16"/>
                <w:color w:val="auto"/>
              </w:rPr>
            </w:pPr>
          </w:p>
        </w:tc>
        <w:tc>
          <w:tcPr>
            <w:tcW w:w="340" w:type="dxa"/>
            <w:vAlign w:val="bottom"/>
            <w:tcBorders>
              <w:bottom w:val="single" w:sz="8" w:color="D7282F"/>
            </w:tcBorders>
          </w:tcPr>
          <w:p>
            <w:pPr>
              <w:spacing w:after="0"/>
              <w:rPr>
                <w:sz w:val="16"/>
                <w:szCs w:val="16"/>
                <w:color w:val="auto"/>
              </w:rPr>
            </w:pPr>
          </w:p>
        </w:tc>
        <w:tc>
          <w:tcPr>
            <w:tcW w:w="1080" w:type="dxa"/>
            <w:vAlign w:val="bottom"/>
            <w:tcBorders>
              <w:bottom w:val="single" w:sz="8" w:color="D7282F"/>
            </w:tcBorders>
          </w:tcPr>
          <w:p>
            <w:pPr>
              <w:jc w:val="center"/>
              <w:ind w:right="168"/>
              <w:spacing w:after="0"/>
              <w:rPr>
                <w:sz w:val="20"/>
                <w:szCs w:val="20"/>
                <w:color w:val="auto"/>
              </w:rPr>
            </w:pPr>
            <w:r>
              <w:rPr>
                <w:rFonts w:ascii="Arial" w:cs="Arial" w:eastAsia="Arial" w:hAnsi="Arial"/>
                <w:sz w:val="14"/>
                <w:szCs w:val="14"/>
                <w:b w:val="1"/>
                <w:bCs w:val="1"/>
                <w:color w:val="auto"/>
              </w:rPr>
              <w:t>Adjustment</w:t>
            </w:r>
          </w:p>
        </w:tc>
        <w:tc>
          <w:tcPr>
            <w:tcW w:w="260" w:type="dxa"/>
            <w:vAlign w:val="bottom"/>
            <w:tcBorders>
              <w:bottom w:val="single" w:sz="8" w:color="D7282F"/>
            </w:tcBorders>
          </w:tcPr>
          <w:p>
            <w:pPr>
              <w:spacing w:after="0"/>
              <w:rPr>
                <w:sz w:val="16"/>
                <w:szCs w:val="16"/>
                <w:color w:val="auto"/>
              </w:rPr>
            </w:pPr>
          </w:p>
        </w:tc>
        <w:tc>
          <w:tcPr>
            <w:tcW w:w="1400" w:type="dxa"/>
            <w:vAlign w:val="bottom"/>
            <w:tcBorders>
              <w:bottom w:val="single" w:sz="8" w:color="D7282F"/>
            </w:tcBorders>
          </w:tcPr>
          <w:p>
            <w:pPr>
              <w:jc w:val="center"/>
              <w:ind w:right="228"/>
              <w:spacing w:after="0"/>
              <w:rPr>
                <w:sz w:val="20"/>
                <w:szCs w:val="20"/>
                <w:color w:val="auto"/>
              </w:rPr>
            </w:pPr>
            <w:r>
              <w:rPr>
                <w:rFonts w:ascii="Arial" w:cs="Arial" w:eastAsia="Arial" w:hAnsi="Arial"/>
                <w:sz w:val="14"/>
                <w:szCs w:val="14"/>
                <w:b w:val="1"/>
                <w:bCs w:val="1"/>
                <w:color w:val="auto"/>
              </w:rPr>
              <w:t>Adjustments</w:t>
            </w:r>
          </w:p>
        </w:tc>
        <w:tc>
          <w:tcPr>
            <w:tcW w:w="220" w:type="dxa"/>
            <w:vAlign w:val="bottom"/>
            <w:tcBorders>
              <w:bottom w:val="single" w:sz="8" w:color="D7282F"/>
            </w:tcBorders>
          </w:tcPr>
          <w:p>
            <w:pPr>
              <w:spacing w:after="0"/>
              <w:rPr>
                <w:sz w:val="16"/>
                <w:szCs w:val="16"/>
                <w:color w:val="auto"/>
              </w:rPr>
            </w:pPr>
          </w:p>
        </w:tc>
        <w:tc>
          <w:tcPr>
            <w:tcW w:w="1400" w:type="dxa"/>
            <w:vAlign w:val="bottom"/>
            <w:tcBorders>
              <w:bottom w:val="single" w:sz="8" w:color="D7282F"/>
            </w:tcBorders>
          </w:tcPr>
          <w:p>
            <w:pPr>
              <w:jc w:val="center"/>
              <w:ind w:right="88"/>
              <w:spacing w:after="0"/>
              <w:rPr>
                <w:sz w:val="20"/>
                <w:szCs w:val="20"/>
                <w:color w:val="auto"/>
              </w:rPr>
            </w:pPr>
            <w:r>
              <w:rPr>
                <w:rFonts w:ascii="Arial" w:cs="Arial" w:eastAsia="Arial" w:hAnsi="Arial"/>
                <w:sz w:val="14"/>
                <w:szCs w:val="14"/>
                <w:b w:val="1"/>
                <w:bCs w:val="1"/>
                <w:color w:val="auto"/>
              </w:rPr>
              <w:t>Investments</w:t>
            </w:r>
          </w:p>
        </w:tc>
        <w:tc>
          <w:tcPr>
            <w:tcW w:w="260" w:type="dxa"/>
            <w:vAlign w:val="bottom"/>
            <w:tcBorders>
              <w:bottom w:val="single" w:sz="8" w:color="D7282F"/>
            </w:tcBorders>
          </w:tcPr>
          <w:p>
            <w:pPr>
              <w:spacing w:after="0"/>
              <w:rPr>
                <w:sz w:val="16"/>
                <w:szCs w:val="16"/>
                <w:color w:val="auto"/>
              </w:rPr>
            </w:pPr>
          </w:p>
        </w:tc>
        <w:tc>
          <w:tcPr>
            <w:tcW w:w="1060" w:type="dxa"/>
            <w:vAlign w:val="bottom"/>
            <w:tcBorders>
              <w:bottom w:val="single" w:sz="8" w:color="D7282F"/>
            </w:tcBorders>
          </w:tcPr>
          <w:p>
            <w:pPr>
              <w:jc w:val="center"/>
              <w:ind w:right="188"/>
              <w:spacing w:after="0"/>
              <w:rPr>
                <w:sz w:val="20"/>
                <w:szCs w:val="20"/>
                <w:color w:val="auto"/>
              </w:rPr>
            </w:pPr>
            <w:r>
              <w:rPr>
                <w:rFonts w:ascii="Arial" w:cs="Arial" w:eastAsia="Arial" w:hAnsi="Arial"/>
                <w:sz w:val="14"/>
                <w:szCs w:val="14"/>
                <w:b w:val="1"/>
                <w:bCs w:val="1"/>
                <w:color w:val="auto"/>
              </w:rPr>
              <w:t>Hedges</w:t>
            </w:r>
          </w:p>
        </w:tc>
        <w:tc>
          <w:tcPr>
            <w:tcW w:w="300" w:type="dxa"/>
            <w:vAlign w:val="bottom"/>
            <w:tcBorders>
              <w:bottom w:val="single" w:sz="8" w:color="D7282F"/>
            </w:tcBorders>
          </w:tcPr>
          <w:p>
            <w:pPr>
              <w:spacing w:after="0"/>
              <w:rPr>
                <w:sz w:val="16"/>
                <w:szCs w:val="16"/>
                <w:color w:val="auto"/>
              </w:rPr>
            </w:pPr>
          </w:p>
        </w:tc>
        <w:tc>
          <w:tcPr>
            <w:tcW w:w="720" w:type="dxa"/>
            <w:vAlign w:val="bottom"/>
            <w:tcBorders>
              <w:bottom w:val="single" w:sz="8" w:color="D7282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2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Balance at December 31, 2022</w:t>
            </w:r>
          </w:p>
        </w:tc>
        <w:tc>
          <w:tcPr>
            <w:tcW w:w="3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(2,832)</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4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(648)</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4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(7)</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12</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(3,475)</w:t>
            </w:r>
          </w:p>
        </w:tc>
        <w:tc>
          <w:tcPr>
            <w:tcW w:w="0" w:type="dxa"/>
            <w:vAlign w:val="bottom"/>
          </w:tcPr>
          <w:p>
            <w:pPr>
              <w:spacing w:after="0"/>
              <w:rPr>
                <w:sz w:val="1"/>
                <w:szCs w:val="1"/>
                <w:color w:val="auto"/>
              </w:rPr>
            </w:pPr>
          </w:p>
        </w:tc>
      </w:tr>
      <w:tr>
        <w:trPr>
          <w:trHeight w:val="193"/>
        </w:trPr>
        <w:tc>
          <w:tcPr>
            <w:tcW w:w="4200" w:type="dxa"/>
            <w:vAlign w:val="bottom"/>
            <w:tcBorders>
              <w:bottom w:val="single" w:sz="8" w:color="61656A"/>
            </w:tcBorders>
          </w:tcPr>
          <w:p>
            <w:pPr>
              <w:ind w:left="80"/>
              <w:spacing w:after="0"/>
              <w:rPr>
                <w:sz w:val="20"/>
                <w:szCs w:val="20"/>
                <w:color w:val="auto"/>
              </w:rPr>
            </w:pPr>
            <w:r>
              <w:rPr>
                <w:rFonts w:ascii="Arial" w:cs="Arial" w:eastAsia="Arial" w:hAnsi="Arial"/>
                <w:sz w:val="14"/>
                <w:szCs w:val="14"/>
                <w:color w:val="auto"/>
              </w:rPr>
              <w:t>Other comprehensive income (loss) before reclassifications</w:t>
            </w:r>
          </w:p>
        </w:tc>
        <w:tc>
          <w:tcPr>
            <w:tcW w:w="340" w:type="dxa"/>
            <w:vAlign w:val="bottom"/>
            <w:tcBorders>
              <w:bottom w:val="single" w:sz="8" w:color="61656A"/>
            </w:tcBorders>
          </w:tcPr>
          <w:p>
            <w:pPr>
              <w:spacing w:after="0"/>
              <w:rPr>
                <w:sz w:val="16"/>
                <w:szCs w:val="16"/>
                <w:color w:val="auto"/>
              </w:rPr>
            </w:pPr>
          </w:p>
        </w:tc>
        <w:tc>
          <w:tcPr>
            <w:tcW w:w="10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(59)</w:t>
            </w:r>
          </w:p>
        </w:tc>
        <w:tc>
          <w:tcPr>
            <w:tcW w:w="260" w:type="dxa"/>
            <w:vAlign w:val="bottom"/>
            <w:tcBorders>
              <w:bottom w:val="single" w:sz="8" w:color="61656A"/>
            </w:tcBorders>
          </w:tcPr>
          <w:p>
            <w:pPr>
              <w:spacing w:after="0"/>
              <w:rPr>
                <w:sz w:val="16"/>
                <w:szCs w:val="16"/>
                <w:color w:val="auto"/>
              </w:rPr>
            </w:pPr>
          </w:p>
        </w:tc>
        <w:tc>
          <w:tcPr>
            <w:tcW w:w="14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61656A"/>
            </w:tcBorders>
          </w:tcPr>
          <w:p>
            <w:pPr>
              <w:spacing w:after="0"/>
              <w:rPr>
                <w:sz w:val="16"/>
                <w:szCs w:val="16"/>
                <w:color w:val="auto"/>
              </w:rPr>
            </w:pPr>
          </w:p>
        </w:tc>
        <w:tc>
          <w:tcPr>
            <w:tcW w:w="14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(6)</w:t>
            </w:r>
          </w:p>
        </w:tc>
        <w:tc>
          <w:tcPr>
            <w:tcW w:w="260" w:type="dxa"/>
            <w:vAlign w:val="bottom"/>
            <w:tcBorders>
              <w:bottom w:val="single" w:sz="8" w:color="61656A"/>
            </w:tcBorders>
          </w:tcPr>
          <w:p>
            <w:pPr>
              <w:spacing w:after="0"/>
              <w:rPr>
                <w:sz w:val="16"/>
                <w:szCs w:val="16"/>
                <w:color w:val="auto"/>
              </w:rPr>
            </w:pPr>
          </w:p>
        </w:tc>
        <w:tc>
          <w:tcPr>
            <w:tcW w:w="10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16</w:t>
            </w:r>
          </w:p>
        </w:tc>
        <w:tc>
          <w:tcPr>
            <w:tcW w:w="300" w:type="dxa"/>
            <w:vAlign w:val="bottom"/>
            <w:tcBorders>
              <w:bottom w:val="single" w:sz="8" w:color="61656A"/>
            </w:tcBorders>
          </w:tcPr>
          <w:p>
            <w:pPr>
              <w:spacing w:after="0"/>
              <w:rPr>
                <w:sz w:val="16"/>
                <w:szCs w:val="16"/>
                <w:color w:val="auto"/>
              </w:rPr>
            </w:pPr>
          </w:p>
        </w:tc>
        <w:tc>
          <w:tcPr>
            <w:tcW w:w="7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46"/>
        </w:trPr>
        <w:tc>
          <w:tcPr>
            <w:tcW w:w="4200" w:type="dxa"/>
            <w:vAlign w:val="bottom"/>
          </w:tcPr>
          <w:p>
            <w:pPr>
              <w:ind w:left="80"/>
              <w:spacing w:after="0" w:line="146" w:lineRule="exact"/>
              <w:rPr>
                <w:sz w:val="20"/>
                <w:szCs w:val="20"/>
                <w:color w:val="auto"/>
              </w:rPr>
            </w:pPr>
            <w:r>
              <w:rPr>
                <w:rFonts w:ascii="Arial" w:cs="Arial" w:eastAsia="Arial" w:hAnsi="Arial"/>
                <w:sz w:val="14"/>
                <w:szCs w:val="14"/>
                <w:color w:val="auto"/>
              </w:rPr>
              <w:t>Amounts reclassified from accumulated other comprehensive</w:t>
            </w:r>
          </w:p>
        </w:tc>
        <w:tc>
          <w:tcPr>
            <w:tcW w:w="340" w:type="dxa"/>
            <w:vAlign w:val="bottom"/>
          </w:tcPr>
          <w:p>
            <w:pPr>
              <w:spacing w:after="0"/>
              <w:rPr>
                <w:sz w:val="12"/>
                <w:szCs w:val="12"/>
                <w:color w:val="auto"/>
              </w:rPr>
            </w:pPr>
          </w:p>
        </w:tc>
        <w:tc>
          <w:tcPr>
            <w:tcW w:w="10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400" w:type="dxa"/>
            <w:vAlign w:val="bottom"/>
            <w:vMerge w:val="restart"/>
          </w:tcPr>
          <w:p>
            <w:pPr>
              <w:jc w:val="right"/>
              <w:ind w:right="68"/>
              <w:spacing w:after="0"/>
              <w:rPr>
                <w:sz w:val="20"/>
                <w:szCs w:val="20"/>
                <w:color w:val="auto"/>
              </w:rPr>
            </w:pPr>
            <w:r>
              <w:rPr>
                <w:rFonts w:ascii="Arial" w:cs="Arial" w:eastAsia="Arial" w:hAnsi="Arial"/>
                <w:sz w:val="14"/>
                <w:szCs w:val="14"/>
                <w:color w:val="auto"/>
              </w:rPr>
              <w:t>(12)</w:t>
            </w:r>
          </w:p>
        </w:tc>
        <w:tc>
          <w:tcPr>
            <w:tcW w:w="220" w:type="dxa"/>
            <w:vAlign w:val="bottom"/>
          </w:tcPr>
          <w:p>
            <w:pPr>
              <w:spacing w:after="0"/>
              <w:rPr>
                <w:sz w:val="12"/>
                <w:szCs w:val="12"/>
                <w:color w:val="auto"/>
              </w:rPr>
            </w:pPr>
          </w:p>
        </w:tc>
        <w:tc>
          <w:tcPr>
            <w:tcW w:w="140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060" w:type="dxa"/>
            <w:vAlign w:val="bottom"/>
            <w:vMerge w:val="restart"/>
          </w:tcPr>
          <w:p>
            <w:pPr>
              <w:jc w:val="right"/>
              <w:ind w:right="68"/>
              <w:spacing w:after="0"/>
              <w:rPr>
                <w:sz w:val="20"/>
                <w:szCs w:val="20"/>
                <w:color w:val="auto"/>
              </w:rPr>
            </w:pPr>
            <w:r>
              <w:rPr>
                <w:rFonts w:ascii="Arial" w:cs="Arial" w:eastAsia="Arial" w:hAnsi="Arial"/>
                <w:sz w:val="14"/>
                <w:szCs w:val="14"/>
                <w:color w:val="auto"/>
              </w:rPr>
              <w:t>(2)</w:t>
            </w:r>
          </w:p>
        </w:tc>
        <w:tc>
          <w:tcPr>
            <w:tcW w:w="3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89"/>
        </w:trPr>
        <w:tc>
          <w:tcPr>
            <w:tcW w:w="4200" w:type="dxa"/>
            <w:vAlign w:val="bottom"/>
            <w:tcBorders>
              <w:bottom w:val="single" w:sz="8" w:color="D7282F"/>
            </w:tcBorders>
          </w:tcPr>
          <w:p>
            <w:pPr>
              <w:ind w:left="80"/>
              <w:spacing w:after="0"/>
              <w:rPr>
                <w:sz w:val="20"/>
                <w:szCs w:val="20"/>
                <w:color w:val="auto"/>
              </w:rPr>
            </w:pPr>
            <w:r>
              <w:rPr>
                <w:rFonts w:ascii="Arial" w:cs="Arial" w:eastAsia="Arial" w:hAnsi="Arial"/>
                <w:sz w:val="14"/>
                <w:szCs w:val="14"/>
                <w:color w:val="auto"/>
              </w:rPr>
              <w:t>income (loss)</w:t>
            </w:r>
          </w:p>
        </w:tc>
        <w:tc>
          <w:tcPr>
            <w:tcW w:w="340" w:type="dxa"/>
            <w:vAlign w:val="bottom"/>
            <w:tcBorders>
              <w:bottom w:val="single" w:sz="8" w:color="D7282F"/>
            </w:tcBorders>
          </w:tcPr>
          <w:p>
            <w:pPr>
              <w:spacing w:after="0"/>
              <w:rPr>
                <w:sz w:val="16"/>
                <w:szCs w:val="16"/>
                <w:color w:val="auto"/>
              </w:rPr>
            </w:pPr>
          </w:p>
        </w:tc>
        <w:tc>
          <w:tcPr>
            <w:tcW w:w="1080" w:type="dxa"/>
            <w:vAlign w:val="bottom"/>
            <w:tcBorders>
              <w:bottom w:val="single" w:sz="8" w:color="D7282F"/>
            </w:tcBorders>
            <w:vMerge w:val="continue"/>
          </w:tcPr>
          <w:p>
            <w:pPr>
              <w:spacing w:after="0"/>
              <w:rPr>
                <w:sz w:val="16"/>
                <w:szCs w:val="16"/>
                <w:color w:val="auto"/>
              </w:rPr>
            </w:pPr>
          </w:p>
        </w:tc>
        <w:tc>
          <w:tcPr>
            <w:tcW w:w="260" w:type="dxa"/>
            <w:vAlign w:val="bottom"/>
            <w:tcBorders>
              <w:bottom w:val="single" w:sz="8" w:color="D7282F"/>
            </w:tcBorders>
          </w:tcPr>
          <w:p>
            <w:pPr>
              <w:spacing w:after="0"/>
              <w:rPr>
                <w:sz w:val="16"/>
                <w:szCs w:val="16"/>
                <w:color w:val="auto"/>
              </w:rPr>
            </w:pPr>
          </w:p>
        </w:tc>
        <w:tc>
          <w:tcPr>
            <w:tcW w:w="1400" w:type="dxa"/>
            <w:vAlign w:val="bottom"/>
            <w:tcBorders>
              <w:bottom w:val="single" w:sz="8" w:color="D7282F"/>
            </w:tcBorders>
            <w:vMerge w:val="continue"/>
          </w:tcPr>
          <w:p>
            <w:pPr>
              <w:spacing w:after="0"/>
              <w:rPr>
                <w:sz w:val="16"/>
                <w:szCs w:val="16"/>
                <w:color w:val="auto"/>
              </w:rPr>
            </w:pPr>
          </w:p>
        </w:tc>
        <w:tc>
          <w:tcPr>
            <w:tcW w:w="220" w:type="dxa"/>
            <w:vAlign w:val="bottom"/>
            <w:tcBorders>
              <w:bottom w:val="single" w:sz="8" w:color="D7282F"/>
            </w:tcBorders>
          </w:tcPr>
          <w:p>
            <w:pPr>
              <w:spacing w:after="0"/>
              <w:rPr>
                <w:sz w:val="16"/>
                <w:szCs w:val="16"/>
                <w:color w:val="auto"/>
              </w:rPr>
            </w:pPr>
          </w:p>
        </w:tc>
        <w:tc>
          <w:tcPr>
            <w:tcW w:w="1400" w:type="dxa"/>
            <w:vAlign w:val="bottom"/>
            <w:tcBorders>
              <w:bottom w:val="single" w:sz="8" w:color="D7282F"/>
            </w:tcBorders>
            <w:vMerge w:val="continue"/>
          </w:tcPr>
          <w:p>
            <w:pPr>
              <w:spacing w:after="0"/>
              <w:rPr>
                <w:sz w:val="16"/>
                <w:szCs w:val="16"/>
                <w:color w:val="auto"/>
              </w:rPr>
            </w:pPr>
          </w:p>
        </w:tc>
        <w:tc>
          <w:tcPr>
            <w:tcW w:w="260" w:type="dxa"/>
            <w:vAlign w:val="bottom"/>
            <w:tcBorders>
              <w:bottom w:val="single" w:sz="8" w:color="D7282F"/>
            </w:tcBorders>
          </w:tcPr>
          <w:p>
            <w:pPr>
              <w:spacing w:after="0"/>
              <w:rPr>
                <w:sz w:val="16"/>
                <w:szCs w:val="16"/>
                <w:color w:val="auto"/>
              </w:rPr>
            </w:pPr>
          </w:p>
        </w:tc>
        <w:tc>
          <w:tcPr>
            <w:tcW w:w="1060" w:type="dxa"/>
            <w:vAlign w:val="bottom"/>
            <w:tcBorders>
              <w:bottom w:val="single" w:sz="8" w:color="D7282F"/>
            </w:tcBorders>
            <w:vMerge w:val="continue"/>
          </w:tcPr>
          <w:p>
            <w:pPr>
              <w:spacing w:after="0"/>
              <w:rPr>
                <w:sz w:val="16"/>
                <w:szCs w:val="16"/>
                <w:color w:val="auto"/>
              </w:rPr>
            </w:pPr>
          </w:p>
        </w:tc>
        <w:tc>
          <w:tcPr>
            <w:tcW w:w="300" w:type="dxa"/>
            <w:vAlign w:val="bottom"/>
            <w:tcBorders>
              <w:bottom w:val="single" w:sz="8" w:color="D7282F"/>
            </w:tcBorders>
          </w:tcPr>
          <w:p>
            <w:pPr>
              <w:spacing w:after="0"/>
              <w:rPr>
                <w:sz w:val="16"/>
                <w:szCs w:val="16"/>
                <w:color w:val="auto"/>
              </w:rPr>
            </w:pPr>
          </w:p>
        </w:tc>
        <w:tc>
          <w:tcPr>
            <w:tcW w:w="720" w:type="dxa"/>
            <w:vAlign w:val="bottom"/>
            <w:tcBorders>
              <w:bottom w:val="single" w:sz="8" w:color="D7282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200" w:type="dxa"/>
            <w:vAlign w:val="bottom"/>
            <w:tcBorders>
              <w:bottom w:val="single" w:sz="8" w:color="D7282F"/>
            </w:tcBorders>
          </w:tcPr>
          <w:p>
            <w:pPr>
              <w:ind w:left="180"/>
              <w:spacing w:after="0"/>
              <w:rPr>
                <w:sz w:val="20"/>
                <w:szCs w:val="20"/>
                <w:color w:val="auto"/>
              </w:rPr>
            </w:pPr>
            <w:r>
              <w:rPr>
                <w:rFonts w:ascii="Arial" w:cs="Arial" w:eastAsia="Arial" w:hAnsi="Arial"/>
                <w:sz w:val="14"/>
                <w:szCs w:val="14"/>
                <w:b w:val="1"/>
                <w:bCs w:val="1"/>
                <w:color w:val="auto"/>
              </w:rPr>
              <w:t>Net current period other comprehensive income (loss)</w:t>
            </w:r>
          </w:p>
        </w:tc>
        <w:tc>
          <w:tcPr>
            <w:tcW w:w="340" w:type="dxa"/>
            <w:vAlign w:val="bottom"/>
            <w:tcBorders>
              <w:bottom w:val="single" w:sz="8" w:color="D7282F"/>
            </w:tcBorders>
          </w:tcPr>
          <w:p>
            <w:pPr>
              <w:spacing w:after="0"/>
              <w:rPr>
                <w:sz w:val="16"/>
                <w:szCs w:val="16"/>
                <w:color w:val="auto"/>
              </w:rPr>
            </w:pPr>
          </w:p>
        </w:tc>
        <w:tc>
          <w:tcPr>
            <w:tcW w:w="10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(59)</w:t>
            </w:r>
          </w:p>
        </w:tc>
        <w:tc>
          <w:tcPr>
            <w:tcW w:w="260" w:type="dxa"/>
            <w:vAlign w:val="bottom"/>
            <w:tcBorders>
              <w:bottom w:val="single" w:sz="8" w:color="D7282F"/>
            </w:tcBorders>
          </w:tcPr>
          <w:p>
            <w:pPr>
              <w:spacing w:after="0"/>
              <w:rPr>
                <w:sz w:val="16"/>
                <w:szCs w:val="16"/>
                <w:color w:val="auto"/>
              </w:rPr>
            </w:pPr>
          </w:p>
        </w:tc>
        <w:tc>
          <w:tcPr>
            <w:tcW w:w="14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(12)</w:t>
            </w:r>
          </w:p>
        </w:tc>
        <w:tc>
          <w:tcPr>
            <w:tcW w:w="220" w:type="dxa"/>
            <w:vAlign w:val="bottom"/>
            <w:tcBorders>
              <w:bottom w:val="single" w:sz="8" w:color="D7282F"/>
            </w:tcBorders>
          </w:tcPr>
          <w:p>
            <w:pPr>
              <w:spacing w:after="0"/>
              <w:rPr>
                <w:sz w:val="16"/>
                <w:szCs w:val="16"/>
                <w:color w:val="auto"/>
              </w:rPr>
            </w:pPr>
          </w:p>
        </w:tc>
        <w:tc>
          <w:tcPr>
            <w:tcW w:w="14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(6)</w:t>
            </w:r>
          </w:p>
        </w:tc>
        <w:tc>
          <w:tcPr>
            <w:tcW w:w="260" w:type="dxa"/>
            <w:vAlign w:val="bottom"/>
            <w:tcBorders>
              <w:bottom w:val="single" w:sz="8" w:color="D7282F"/>
            </w:tcBorders>
          </w:tcPr>
          <w:p>
            <w:pPr>
              <w:spacing w:after="0"/>
              <w:rPr>
                <w:sz w:val="16"/>
                <w:szCs w:val="16"/>
                <w:color w:val="auto"/>
              </w:rPr>
            </w:pPr>
          </w:p>
        </w:tc>
        <w:tc>
          <w:tcPr>
            <w:tcW w:w="10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14</w:t>
            </w:r>
          </w:p>
        </w:tc>
        <w:tc>
          <w:tcPr>
            <w:tcW w:w="300" w:type="dxa"/>
            <w:vAlign w:val="bottom"/>
            <w:tcBorders>
              <w:bottom w:val="single" w:sz="8" w:color="D7282F"/>
            </w:tcBorders>
          </w:tcPr>
          <w:p>
            <w:pPr>
              <w:spacing w:after="0"/>
              <w:rPr>
                <w:sz w:val="16"/>
                <w:szCs w:val="16"/>
                <w:color w:val="auto"/>
              </w:rPr>
            </w:pPr>
          </w:p>
        </w:tc>
        <w:tc>
          <w:tcPr>
            <w:tcW w:w="7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(63)</w:t>
            </w:r>
          </w:p>
        </w:tc>
        <w:tc>
          <w:tcPr>
            <w:tcW w:w="0" w:type="dxa"/>
            <w:vAlign w:val="bottom"/>
          </w:tcPr>
          <w:p>
            <w:pPr>
              <w:spacing w:after="0"/>
              <w:rPr>
                <w:sz w:val="1"/>
                <w:szCs w:val="1"/>
                <w:color w:val="auto"/>
              </w:rPr>
            </w:pPr>
          </w:p>
        </w:tc>
      </w:tr>
      <w:tr>
        <w:trPr>
          <w:trHeight w:val="196"/>
        </w:trPr>
        <w:tc>
          <w:tcPr>
            <w:tcW w:w="42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Balance at March 31, 2023</w:t>
            </w:r>
          </w:p>
        </w:tc>
        <w:tc>
          <w:tcPr>
            <w:tcW w:w="3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(2,891)</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4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(660)</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4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(13)</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26</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(3,538)</w:t>
            </w:r>
          </w:p>
        </w:tc>
        <w:tc>
          <w:tcPr>
            <w:tcW w:w="0" w:type="dxa"/>
            <w:vAlign w:val="bottom"/>
          </w:tcPr>
          <w:p>
            <w:pPr>
              <w:spacing w:after="0"/>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29"/>
          <w:szCs w:val="29"/>
          <w:color w:val="D7282F"/>
        </w:rPr>
        <w:t>NOTE 15. COMMITMENTS AND CONTINGENCIES</w:t>
      </w:r>
    </w:p>
    <w:p>
      <w:pPr>
        <w:spacing w:after="0" w:line="26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ENVIRONMENTAL MATTERS</w:t>
      </w:r>
    </w:p>
    <w:p>
      <w:pPr>
        <w:spacing w:after="0" w:line="128"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Honeywell's environmental matters are described in Note 19 Commitments and Contingencies of Notes to Consolidated Financial Statements in the Company's 2023 Annual Report on Form 10-K.</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information concerning the Company's recorded liabilities for environmental costs: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00" w:type="dxa"/>
            <w:vAlign w:val="bottom"/>
            <w:tcBorders>
              <w:top w:val="single" w:sz="8" w:color="D7282F"/>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Balance at December 31, 2023</w:t>
            </w:r>
          </w:p>
        </w:tc>
        <w:tc>
          <w:tcPr>
            <w:tcW w:w="2900" w:type="dxa"/>
            <w:vAlign w:val="bottom"/>
            <w:tcBorders>
              <w:top w:val="single" w:sz="8" w:color="D7282F"/>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540" w:type="dxa"/>
            <w:vAlign w:val="bottom"/>
            <w:tcBorders>
              <w:top w:val="single" w:sz="8" w:color="D7282F"/>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641</w:t>
            </w:r>
          </w:p>
        </w:tc>
      </w:tr>
      <w:tr>
        <w:trPr>
          <w:trHeight w:val="193"/>
        </w:trPr>
        <w:tc>
          <w:tcPr>
            <w:tcW w:w="78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Accruals for environmental matters deemed probable and reasonably estimable</w:t>
            </w:r>
          </w:p>
        </w:tc>
        <w:tc>
          <w:tcPr>
            <w:tcW w:w="2900" w:type="dxa"/>
            <w:vAlign w:val="bottom"/>
            <w:tcBorders>
              <w:bottom w:val="single" w:sz="8" w:color="61656A"/>
            </w:tcBorders>
          </w:tcPr>
          <w:p>
            <w:pPr>
              <w:spacing w:after="0"/>
              <w:rPr>
                <w:sz w:val="16"/>
                <w:szCs w:val="16"/>
                <w:color w:val="auto"/>
              </w:rPr>
            </w:pPr>
          </w:p>
        </w:tc>
        <w:tc>
          <w:tcPr>
            <w:tcW w:w="5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82</w:t>
            </w:r>
          </w:p>
        </w:tc>
      </w:tr>
      <w:tr>
        <w:trPr>
          <w:trHeight w:val="196"/>
        </w:trPr>
        <w:tc>
          <w:tcPr>
            <w:tcW w:w="78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Environmental liability payments</w:t>
            </w:r>
          </w:p>
        </w:tc>
        <w:tc>
          <w:tcPr>
            <w:tcW w:w="2900" w:type="dxa"/>
            <w:vAlign w:val="bottom"/>
            <w:tcBorders>
              <w:bottom w:val="single" w:sz="8" w:color="D7282F"/>
            </w:tcBorders>
          </w:tcPr>
          <w:p>
            <w:pPr>
              <w:spacing w:after="0"/>
              <w:rPr>
                <w:sz w:val="17"/>
                <w:szCs w:val="17"/>
                <w:color w:val="auto"/>
              </w:rPr>
            </w:pPr>
          </w:p>
        </w:tc>
        <w:tc>
          <w:tcPr>
            <w:tcW w:w="5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(61)</w:t>
            </w:r>
          </w:p>
        </w:tc>
      </w:tr>
      <w:tr>
        <w:trPr>
          <w:trHeight w:val="199"/>
        </w:trPr>
        <w:tc>
          <w:tcPr>
            <w:tcW w:w="78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Balance at March 31, 2024</w:t>
            </w:r>
          </w:p>
        </w:tc>
        <w:tc>
          <w:tcPr>
            <w:tcW w:w="290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662</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Environmental liabilities are included in the following balance sheet accounts: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20" w:type="dxa"/>
            <w:vAlign w:val="bottom"/>
            <w:tcBorders>
              <w:bottom w:val="single" w:sz="8" w:color="D7282F"/>
            </w:tcBorders>
          </w:tcPr>
          <w:p>
            <w:pPr>
              <w:spacing w:after="0"/>
              <w:rPr>
                <w:sz w:val="17"/>
                <w:szCs w:val="17"/>
                <w:color w:val="auto"/>
              </w:rPr>
            </w:pPr>
          </w:p>
        </w:tc>
        <w:tc>
          <w:tcPr>
            <w:tcW w:w="40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March 31, 2024</w:t>
            </w:r>
          </w:p>
        </w:tc>
        <w:tc>
          <w:tcPr>
            <w:tcW w:w="440" w:type="dxa"/>
            <w:vAlign w:val="bottom"/>
            <w:tcBorders>
              <w:bottom w:val="single" w:sz="8" w:color="D7282F"/>
            </w:tcBorders>
          </w:tcPr>
          <w:p>
            <w:pPr>
              <w:spacing w:after="0"/>
              <w:rPr>
                <w:sz w:val="17"/>
                <w:szCs w:val="17"/>
                <w:color w:val="auto"/>
              </w:rPr>
            </w:pPr>
          </w:p>
        </w:tc>
        <w:tc>
          <w:tcPr>
            <w:tcW w:w="30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December 31, 2023</w:t>
            </w:r>
          </w:p>
        </w:tc>
      </w:tr>
      <w:tr>
        <w:trPr>
          <w:trHeight w:val="193"/>
        </w:trPr>
        <w:tc>
          <w:tcPr>
            <w:tcW w:w="48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Accrued liabilities</w:t>
            </w:r>
          </w:p>
        </w:tc>
        <w:tc>
          <w:tcPr>
            <w:tcW w:w="4080" w:type="dxa"/>
            <w:vAlign w:val="bottom"/>
            <w:tcBorders>
              <w:bottom w:val="single" w:sz="8" w:color="61656A"/>
            </w:tcBorders>
          </w:tcPr>
          <w:p>
            <w:pPr>
              <w:jc w:val="right"/>
              <w:ind w:right="124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228</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227</w:t>
            </w:r>
          </w:p>
        </w:tc>
      </w:tr>
      <w:tr>
        <w:trPr>
          <w:trHeight w:val="196"/>
        </w:trPr>
        <w:tc>
          <w:tcPr>
            <w:tcW w:w="48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Other liabilities</w:t>
            </w:r>
          </w:p>
        </w:tc>
        <w:tc>
          <w:tcPr>
            <w:tcW w:w="4080" w:type="dxa"/>
            <w:vAlign w:val="bottom"/>
            <w:tcBorders>
              <w:bottom w:val="single" w:sz="8" w:color="D7282F"/>
            </w:tcBorders>
          </w:tcPr>
          <w:p>
            <w:pPr>
              <w:spacing w:after="0"/>
              <w:rPr>
                <w:sz w:val="17"/>
                <w:szCs w:val="17"/>
                <w:color w:val="auto"/>
              </w:rPr>
            </w:pPr>
          </w:p>
        </w:tc>
        <w:tc>
          <w:tcPr>
            <w:tcW w:w="4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434</w:t>
            </w:r>
          </w:p>
        </w:tc>
        <w:tc>
          <w:tcPr>
            <w:tcW w:w="30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414</w:t>
            </w:r>
          </w:p>
        </w:tc>
      </w:tr>
      <w:tr>
        <w:trPr>
          <w:trHeight w:val="199"/>
        </w:trPr>
        <w:tc>
          <w:tcPr>
            <w:tcW w:w="482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environmental liabilities</w:t>
            </w:r>
          </w:p>
        </w:tc>
        <w:tc>
          <w:tcPr>
            <w:tcW w:w="4080" w:type="dxa"/>
            <w:vAlign w:val="bottom"/>
            <w:tcBorders>
              <w:bottom w:val="single" w:sz="8" w:color="D7282F"/>
            </w:tcBorders>
          </w:tcPr>
          <w:p>
            <w:pPr>
              <w:jc w:val="right"/>
              <w:ind w:right="1248"/>
              <w:spacing w:after="0"/>
              <w:rPr>
                <w:sz w:val="20"/>
                <w:szCs w:val="20"/>
                <w:color w:val="auto"/>
              </w:rPr>
            </w:pPr>
            <w:r>
              <w:rPr>
                <w:rFonts w:ascii="Arial" w:cs="Arial" w:eastAsia="Arial" w:hAnsi="Arial"/>
                <w:sz w:val="14"/>
                <w:szCs w:val="14"/>
                <w:b w:val="1"/>
                <w:bCs w:val="1"/>
                <w:color w:val="auto"/>
              </w:rPr>
              <w:t>$</w:t>
            </w:r>
          </w:p>
        </w:tc>
        <w:tc>
          <w:tcPr>
            <w:tcW w:w="4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662</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641</w:t>
            </w:r>
          </w:p>
        </w:tc>
      </w:tr>
    </w:tbl>
    <w:p>
      <w:pPr>
        <w:spacing w:after="0" w:line="200" w:lineRule="exact"/>
        <w:rPr>
          <w:sz w:val="20"/>
          <w:szCs w:val="20"/>
          <w:color w:val="auto"/>
        </w:rPr>
      </w:pPr>
    </w:p>
    <w:p>
      <w:pPr>
        <w:spacing w:after="0" w:line="30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DC202E"/>
        </w:rPr>
        <w:t>24</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does not currently possess sufficient information to reasonably estimate the amounts of environmental liabilities to be recorded upon future completion of studies, litigation, or settlements, and neither the timing nor the amount of the ultimate costs associated with environmental matters can be determined, although they could be material to the Company's consolidated results of operations and operating cash flows in the periods recognized or paid. However, considering the Company's past experience and existing reserves, the Company does not expect that environmental matters will have a material adverse effect on its consolidated financial position.</w:t>
      </w:r>
    </w:p>
    <w:p>
      <w:pPr>
        <w:spacing w:after="0" w:line="6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conjunction with the Resideo Technologies, Inc. (Resideo) spin-off, the Company entered into an indemnification and reimbursement agreement with a Resideo subsidiary, pursuant to which Resideo’s subsidiary has an ongoing obligation to make cash payments to Honeywell in amounts equal to 90% of Honeywell’s annual net spending for environmental matters at certain sites as defined in the agreement. The amount payable to Honeywell in any given year is subject to a cap of $140 million, and the obligation will continue until the earlier of December 31, 2043, or December 31 of the third consecutive year during which the annual payment obligation is less than $25 million.</w:t>
      </w:r>
    </w:p>
    <w:p>
      <w:pPr>
        <w:spacing w:after="0" w:line="6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Reimbursements associated with this agreement are collected from Resideo quarterly and were $35 million in the three months ended March 31, 2024, and offset operating cash outflows incurred by the Company. As the Company incurs costs for environmental matters deemed probable and reasonably estimable related to the sites covered by the indemnification and reimbursement agreement, a corresponding receivable from Resideo for 90% of such costs is also recorded. This receivable amount recorded in the three months ended March 31, 2024, was $59 million. As of March 31, 2024, Other current assets and Other assets included $140 million and $545 million, respectively, for the short-term and long-term portion of the receivable amount due from Resideo under the indemnification and reimbursement agreement.</w:t>
      </w:r>
    </w:p>
    <w:p>
      <w:pPr>
        <w:spacing w:after="0" w:line="20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ASBESTOS MATTERS</w:t>
      </w:r>
    </w:p>
    <w:p>
      <w:pPr>
        <w:spacing w:after="0" w:line="128"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Honeywell is named in asbestos-related personal injury claims related to North American Refractories Company (NARCO), which was sold in 1986, and the Bendix Friction Materials (Bendix) business, which was sold in 2014.</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summarize information concerning NARCO and Bendix asbestos-related balances:</w:t>
      </w:r>
    </w:p>
    <w:p>
      <w:pPr>
        <w:spacing w:after="0" w:line="25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ASBESTOS-RELATED LIABILITIES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500" w:type="dxa"/>
            <w:vAlign w:val="bottom"/>
            <w:tcBorders>
              <w:bottom w:val="single" w:sz="8" w:color="D7282F"/>
            </w:tcBorders>
          </w:tcPr>
          <w:p>
            <w:pPr>
              <w:spacing w:after="0"/>
              <w:rPr>
                <w:sz w:val="17"/>
                <w:szCs w:val="17"/>
                <w:color w:val="auto"/>
              </w:rPr>
            </w:pPr>
          </w:p>
        </w:tc>
        <w:tc>
          <w:tcPr>
            <w:tcW w:w="2840" w:type="dxa"/>
            <w:vAlign w:val="bottom"/>
            <w:tcBorders>
              <w:bottom w:val="single" w:sz="8" w:color="D7282F"/>
            </w:tcBorders>
          </w:tcPr>
          <w:p>
            <w:pPr>
              <w:spacing w:after="0"/>
              <w:rPr>
                <w:sz w:val="17"/>
                <w:szCs w:val="17"/>
                <w:color w:val="auto"/>
              </w:rPr>
            </w:pPr>
          </w:p>
        </w:tc>
        <w:tc>
          <w:tcPr>
            <w:tcW w:w="820" w:type="dxa"/>
            <w:vAlign w:val="bottom"/>
            <w:tcBorders>
              <w:bottom w:val="single" w:sz="8" w:color="D7282F"/>
            </w:tcBorders>
          </w:tcPr>
          <w:p>
            <w:pPr>
              <w:jc w:val="right"/>
              <w:ind w:right="228"/>
              <w:spacing w:after="0"/>
              <w:rPr>
                <w:sz w:val="20"/>
                <w:szCs w:val="20"/>
                <w:color w:val="auto"/>
              </w:rPr>
            </w:pPr>
            <w:r>
              <w:rPr>
                <w:rFonts w:ascii="Arial" w:cs="Arial" w:eastAsia="Arial" w:hAnsi="Arial"/>
                <w:sz w:val="14"/>
                <w:szCs w:val="14"/>
                <w:b w:val="1"/>
                <w:bCs w:val="1"/>
                <w:color w:val="auto"/>
              </w:rPr>
              <w:t>Bendix</w:t>
            </w:r>
          </w:p>
        </w:tc>
        <w:tc>
          <w:tcPr>
            <w:tcW w:w="260" w:type="dxa"/>
            <w:vAlign w:val="bottom"/>
            <w:tcBorders>
              <w:bottom w:val="single" w:sz="8" w:color="D7282F"/>
            </w:tcBorders>
          </w:tcPr>
          <w:p>
            <w:pPr>
              <w:spacing w:after="0"/>
              <w:rPr>
                <w:sz w:val="17"/>
                <w:szCs w:val="17"/>
                <w:color w:val="auto"/>
              </w:rPr>
            </w:pPr>
          </w:p>
        </w:tc>
        <w:tc>
          <w:tcPr>
            <w:tcW w:w="820" w:type="dxa"/>
            <w:vAlign w:val="bottom"/>
            <w:tcBorders>
              <w:bottom w:val="single" w:sz="8" w:color="D7282F"/>
            </w:tcBorders>
          </w:tcPr>
          <w:p>
            <w:pPr>
              <w:ind w:left="40"/>
              <w:spacing w:after="0"/>
              <w:rPr>
                <w:sz w:val="20"/>
                <w:szCs w:val="20"/>
                <w:color w:val="auto"/>
              </w:rPr>
            </w:pPr>
            <w:r>
              <w:rPr>
                <w:rFonts w:ascii="Arial" w:cs="Arial" w:eastAsia="Arial" w:hAnsi="Arial"/>
                <w:sz w:val="14"/>
                <w:szCs w:val="14"/>
                <w:b w:val="1"/>
                <w:bCs w:val="1"/>
                <w:color w:val="auto"/>
              </w:rPr>
              <w:t>NARCO</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b w:val="1"/>
                <w:bCs w:val="1"/>
                <w:color w:val="auto"/>
              </w:rPr>
              <w:t>Total</w:t>
            </w:r>
          </w:p>
        </w:tc>
      </w:tr>
      <w:tr>
        <w:trPr>
          <w:trHeight w:val="196"/>
        </w:trPr>
        <w:tc>
          <w:tcPr>
            <w:tcW w:w="55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December 31, 2023</w:t>
            </w:r>
          </w:p>
        </w:tc>
        <w:tc>
          <w:tcPr>
            <w:tcW w:w="28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1,644</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D7282F"/>
            </w:tcBorders>
          </w:tcPr>
          <w:p>
            <w:pPr>
              <w:ind w:left="520"/>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1,644</w:t>
            </w:r>
          </w:p>
        </w:tc>
      </w:tr>
      <w:tr>
        <w:trPr>
          <w:trHeight w:val="193"/>
        </w:trPr>
        <w:tc>
          <w:tcPr>
            <w:tcW w:w="55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Accrual for update to estimated liability</w:t>
            </w:r>
          </w:p>
        </w:tc>
        <w:tc>
          <w:tcPr>
            <w:tcW w:w="2840" w:type="dxa"/>
            <w:vAlign w:val="bottom"/>
            <w:tcBorders>
              <w:bottom w:val="single" w:sz="8" w:color="61656A"/>
            </w:tcBorders>
          </w:tcPr>
          <w:p>
            <w:pPr>
              <w:spacing w:after="0"/>
              <w:rPr>
                <w:sz w:val="16"/>
                <w:szCs w:val="16"/>
                <w:color w:val="auto"/>
              </w:rPr>
            </w:pPr>
          </w:p>
        </w:tc>
        <w:tc>
          <w:tcPr>
            <w:tcW w:w="8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10</w:t>
            </w:r>
          </w:p>
        </w:tc>
        <w:tc>
          <w:tcPr>
            <w:tcW w:w="260" w:type="dxa"/>
            <w:vAlign w:val="bottom"/>
            <w:tcBorders>
              <w:bottom w:val="single" w:sz="8" w:color="61656A"/>
            </w:tcBorders>
          </w:tcPr>
          <w:p>
            <w:pPr>
              <w:spacing w:after="0"/>
              <w:rPr>
                <w:sz w:val="16"/>
                <w:szCs w:val="16"/>
                <w:color w:val="auto"/>
              </w:rPr>
            </w:pPr>
          </w:p>
        </w:tc>
        <w:tc>
          <w:tcPr>
            <w:tcW w:w="820" w:type="dxa"/>
            <w:vAlign w:val="bottom"/>
            <w:tcBorders>
              <w:bottom w:val="single" w:sz="8" w:color="61656A"/>
            </w:tcBorders>
          </w:tcPr>
          <w:p>
            <w:pPr>
              <w:ind w:left="52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w:t>
            </w:r>
          </w:p>
        </w:tc>
      </w:tr>
      <w:tr>
        <w:trPr>
          <w:trHeight w:val="196"/>
        </w:trPr>
        <w:tc>
          <w:tcPr>
            <w:tcW w:w="55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Change in estimated cost of future claims</w:t>
            </w:r>
          </w:p>
        </w:tc>
        <w:tc>
          <w:tcPr>
            <w:tcW w:w="284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5</w:t>
            </w:r>
          </w:p>
        </w:tc>
        <w:tc>
          <w:tcPr>
            <w:tcW w:w="26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ind w:left="52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w:t>
            </w:r>
          </w:p>
        </w:tc>
      </w:tr>
      <w:tr>
        <w:trPr>
          <w:trHeight w:val="196"/>
        </w:trPr>
        <w:tc>
          <w:tcPr>
            <w:tcW w:w="55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Asbestos-related liability payments</w:t>
            </w:r>
          </w:p>
        </w:tc>
        <w:tc>
          <w:tcPr>
            <w:tcW w:w="2840" w:type="dxa"/>
            <w:vAlign w:val="bottom"/>
            <w:tcBorders>
              <w:bottom w:val="single" w:sz="8" w:color="D7282F"/>
            </w:tcBorders>
          </w:tcPr>
          <w:p>
            <w:pPr>
              <w:spacing w:after="0"/>
              <w:rPr>
                <w:sz w:val="17"/>
                <w:szCs w:val="17"/>
                <w:color w:val="auto"/>
              </w:rPr>
            </w:pPr>
          </w:p>
        </w:tc>
        <w:tc>
          <w:tcPr>
            <w:tcW w:w="8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(55)</w:t>
            </w:r>
          </w:p>
        </w:tc>
        <w:tc>
          <w:tcPr>
            <w:tcW w:w="260" w:type="dxa"/>
            <w:vAlign w:val="bottom"/>
            <w:tcBorders>
              <w:bottom w:val="single" w:sz="8" w:color="D7282F"/>
            </w:tcBorders>
          </w:tcPr>
          <w:p>
            <w:pPr>
              <w:spacing w:after="0"/>
              <w:rPr>
                <w:sz w:val="17"/>
                <w:szCs w:val="17"/>
                <w:color w:val="auto"/>
              </w:rPr>
            </w:pPr>
          </w:p>
        </w:tc>
        <w:tc>
          <w:tcPr>
            <w:tcW w:w="820" w:type="dxa"/>
            <w:vAlign w:val="bottom"/>
            <w:tcBorders>
              <w:bottom w:val="single" w:sz="8" w:color="D7282F"/>
            </w:tcBorders>
          </w:tcPr>
          <w:p>
            <w:pPr>
              <w:ind w:left="52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(55)</w:t>
            </w:r>
          </w:p>
        </w:tc>
      </w:tr>
      <w:tr>
        <w:trPr>
          <w:trHeight w:val="199"/>
        </w:trPr>
        <w:tc>
          <w:tcPr>
            <w:tcW w:w="55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March 31, 2024</w:t>
            </w:r>
          </w:p>
        </w:tc>
        <w:tc>
          <w:tcPr>
            <w:tcW w:w="28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1,604</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D7282F"/>
            </w:tcBorders>
          </w:tcPr>
          <w:p>
            <w:pPr>
              <w:ind w:left="520"/>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1,604</w:t>
            </w:r>
          </w:p>
        </w:tc>
      </w:tr>
    </w:tbl>
    <w:p>
      <w:pPr>
        <w:spacing w:after="0" w:line="31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INSURANCE RECOVERIES FOR ASBESTOS-RELATED LIABILITIES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18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gridSpan w:val="2"/>
          </w:tcPr>
          <w:p>
            <w:pPr>
              <w:ind w:left="40"/>
              <w:spacing w:after="0"/>
              <w:rPr>
                <w:sz w:val="20"/>
                <w:szCs w:val="20"/>
                <w:color w:val="auto"/>
              </w:rPr>
            </w:pPr>
            <w:r>
              <w:rPr>
                <w:rFonts w:ascii="Arial" w:cs="Arial" w:eastAsia="Arial" w:hAnsi="Arial"/>
                <w:sz w:val="14"/>
                <w:szCs w:val="14"/>
                <w:b w:val="1"/>
                <w:bCs w:val="1"/>
                <w:color w:val="auto"/>
              </w:rPr>
              <w:t>Bendix</w:t>
            </w:r>
          </w:p>
        </w:tc>
        <w:tc>
          <w:tcPr>
            <w:tcW w:w="140" w:type="dxa"/>
            <w:vAlign w:val="bottom"/>
            <w:tcBorders>
              <w:bottom w:val="single" w:sz="8" w:color="D7282F"/>
            </w:tcBorders>
          </w:tcPr>
          <w:p>
            <w:pPr>
              <w:spacing w:after="0"/>
              <w:rPr>
                <w:sz w:val="17"/>
                <w:szCs w:val="17"/>
                <w:color w:val="auto"/>
              </w:rPr>
            </w:pPr>
          </w:p>
        </w:tc>
        <w:tc>
          <w:tcPr>
            <w:tcW w:w="960" w:type="dxa"/>
            <w:vAlign w:val="bottom"/>
            <w:tcBorders>
              <w:bottom w:val="single" w:sz="8" w:color="D7282F"/>
            </w:tcBorders>
            <w:gridSpan w:val="2"/>
          </w:tcPr>
          <w:p>
            <w:pPr>
              <w:ind w:left="40"/>
              <w:spacing w:after="0"/>
              <w:rPr>
                <w:sz w:val="20"/>
                <w:szCs w:val="20"/>
                <w:color w:val="auto"/>
              </w:rPr>
            </w:pPr>
            <w:r>
              <w:rPr>
                <w:rFonts w:ascii="Arial" w:cs="Arial" w:eastAsia="Arial" w:hAnsi="Arial"/>
                <w:sz w:val="14"/>
                <w:szCs w:val="14"/>
                <w:b w:val="1"/>
                <w:bCs w:val="1"/>
                <w:color w:val="auto"/>
              </w:rPr>
              <w:t>NARCO</w:t>
            </w:r>
          </w:p>
        </w:tc>
        <w:tc>
          <w:tcPr>
            <w:tcW w:w="18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b w:val="1"/>
                <w:bCs w:val="1"/>
                <w:color w:val="auto"/>
              </w:rPr>
              <w:t>Total</w:t>
            </w:r>
          </w:p>
        </w:tc>
      </w:tr>
      <w:tr>
        <w:trPr>
          <w:trHeight w:val="196"/>
        </w:trPr>
        <w:tc>
          <w:tcPr>
            <w:tcW w:w="81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December 31, 2023</w:t>
            </w:r>
          </w:p>
        </w:tc>
        <w:tc>
          <w:tcPr>
            <w:tcW w:w="16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C202E"/>
            </w:tcBorders>
          </w:tcPr>
          <w:p>
            <w:pPr>
              <w:jc w:val="right"/>
              <w:ind w:right="8"/>
              <w:spacing w:after="0"/>
              <w:rPr>
                <w:sz w:val="20"/>
                <w:szCs w:val="20"/>
                <w:color w:val="auto"/>
              </w:rPr>
            </w:pPr>
            <w:r>
              <w:rPr>
                <w:rFonts w:ascii="Arial" w:cs="Arial" w:eastAsia="Arial" w:hAnsi="Arial"/>
                <w:sz w:val="14"/>
                <w:szCs w:val="14"/>
                <w:b w:val="1"/>
                <w:bCs w:val="1"/>
                <w:color w:val="auto"/>
              </w:rPr>
              <w:t>123</w:t>
            </w:r>
          </w:p>
        </w:tc>
        <w:tc>
          <w:tcPr>
            <w:tcW w:w="220" w:type="dxa"/>
            <w:vAlign w:val="bottom"/>
            <w:tcBorders>
              <w:bottom w:val="single" w:sz="8" w:color="D7282F"/>
            </w:tcBorders>
          </w:tcPr>
          <w:p>
            <w:pPr>
              <w:spacing w:after="0"/>
              <w:rPr>
                <w:sz w:val="17"/>
                <w:szCs w:val="17"/>
                <w:color w:val="auto"/>
              </w:rPr>
            </w:pPr>
          </w:p>
        </w:tc>
        <w:tc>
          <w:tcPr>
            <w:tcW w:w="14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88</w:t>
            </w:r>
          </w:p>
        </w:tc>
        <w:tc>
          <w:tcPr>
            <w:tcW w:w="240" w:type="dxa"/>
            <w:vAlign w:val="bottom"/>
            <w:tcBorders>
              <w:bottom w:val="single" w:sz="8" w:color="D7282F"/>
            </w:tcBorders>
          </w:tcPr>
          <w:p>
            <w:pPr>
              <w:spacing w:after="0"/>
              <w:rPr>
                <w:sz w:val="17"/>
                <w:szCs w:val="17"/>
                <w:color w:val="auto"/>
              </w:rPr>
            </w:pPr>
          </w:p>
        </w:tc>
        <w:tc>
          <w:tcPr>
            <w:tcW w:w="180" w:type="dxa"/>
            <w:vAlign w:val="bottom"/>
            <w:tcBorders>
              <w:bottom w:val="single" w:sz="8" w:color="DC202E"/>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211</w:t>
            </w:r>
          </w:p>
        </w:tc>
      </w:tr>
      <w:tr>
        <w:trPr>
          <w:trHeight w:val="193"/>
        </w:trPr>
        <w:tc>
          <w:tcPr>
            <w:tcW w:w="81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Probable insurance recoveries related to estimated liability</w:t>
            </w:r>
          </w:p>
        </w:tc>
        <w:tc>
          <w:tcPr>
            <w:tcW w:w="16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81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Insurance receipts for asbestos-related liabilities</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w:t>
            </w:r>
          </w:p>
        </w:tc>
        <w:tc>
          <w:tcPr>
            <w:tcW w:w="220" w:type="dxa"/>
            <w:vAlign w:val="bottom"/>
            <w:tcBorders>
              <w:bottom w:val="single" w:sz="8" w:color="D7282F"/>
            </w:tcBorders>
          </w:tcPr>
          <w:p>
            <w:pPr>
              <w:spacing w:after="0"/>
              <w:rPr>
                <w:sz w:val="17"/>
                <w:szCs w:val="17"/>
                <w:color w:val="auto"/>
              </w:rPr>
            </w:pPr>
          </w:p>
        </w:tc>
        <w:tc>
          <w:tcPr>
            <w:tcW w:w="14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w:t>
            </w:r>
          </w:p>
        </w:tc>
        <w:tc>
          <w:tcPr>
            <w:tcW w:w="24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(6)</w:t>
            </w:r>
          </w:p>
        </w:tc>
      </w:tr>
      <w:tr>
        <w:trPr>
          <w:trHeight w:val="199"/>
        </w:trPr>
        <w:tc>
          <w:tcPr>
            <w:tcW w:w="81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March 31, 2024</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120</w:t>
            </w:r>
          </w:p>
        </w:tc>
        <w:tc>
          <w:tcPr>
            <w:tcW w:w="220" w:type="dxa"/>
            <w:vAlign w:val="bottom"/>
            <w:tcBorders>
              <w:bottom w:val="single" w:sz="8" w:color="D7282F"/>
            </w:tcBorders>
          </w:tcPr>
          <w:p>
            <w:pPr>
              <w:spacing w:after="0"/>
              <w:rPr>
                <w:sz w:val="17"/>
                <w:szCs w:val="17"/>
                <w:color w:val="auto"/>
              </w:rPr>
            </w:pPr>
          </w:p>
        </w:tc>
        <w:tc>
          <w:tcPr>
            <w:tcW w:w="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85</w:t>
            </w:r>
          </w:p>
        </w:tc>
        <w:tc>
          <w:tcPr>
            <w:tcW w:w="24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205</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NARCO and Bendix asbestos-related balances are included in the following balance sheet accounts: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760" w:type="dxa"/>
            <w:vAlign w:val="bottom"/>
            <w:tcBorders>
              <w:bottom w:val="single" w:sz="8" w:color="D7282F"/>
            </w:tcBorders>
          </w:tcPr>
          <w:p>
            <w:pPr>
              <w:spacing w:after="0"/>
              <w:rPr>
                <w:sz w:val="17"/>
                <w:szCs w:val="17"/>
                <w:color w:val="auto"/>
              </w:rPr>
            </w:pPr>
          </w:p>
        </w:tc>
        <w:tc>
          <w:tcPr>
            <w:tcW w:w="1940" w:type="dxa"/>
            <w:vAlign w:val="bottom"/>
            <w:tcBorders>
              <w:bottom w:val="single" w:sz="8" w:color="D7282F"/>
            </w:tcBorders>
          </w:tcPr>
          <w:p>
            <w:pPr>
              <w:spacing w:after="0"/>
              <w:rPr>
                <w:sz w:val="17"/>
                <w:szCs w:val="17"/>
                <w:color w:val="auto"/>
              </w:rPr>
            </w:pPr>
          </w:p>
        </w:tc>
        <w:tc>
          <w:tcPr>
            <w:tcW w:w="1640" w:type="dxa"/>
            <w:vAlign w:val="bottom"/>
            <w:tcBorders>
              <w:bottom w:val="single" w:sz="8" w:color="D7282F"/>
            </w:tcBorders>
          </w:tcPr>
          <w:p>
            <w:pPr>
              <w:jc w:val="right"/>
              <w:ind w:right="408"/>
              <w:spacing w:after="0"/>
              <w:rPr>
                <w:sz w:val="20"/>
                <w:szCs w:val="20"/>
                <w:color w:val="auto"/>
              </w:rPr>
            </w:pPr>
            <w:r>
              <w:rPr>
                <w:rFonts w:ascii="Arial" w:cs="Arial" w:eastAsia="Arial" w:hAnsi="Arial"/>
                <w:sz w:val="14"/>
                <w:szCs w:val="14"/>
                <w:b w:val="1"/>
                <w:bCs w:val="1"/>
                <w:color w:val="auto"/>
              </w:rPr>
              <w:t>March 31, 2024</w:t>
            </w:r>
          </w:p>
        </w:tc>
        <w:tc>
          <w:tcPr>
            <w:tcW w:w="30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December 31, 2023</w:t>
            </w:r>
          </w:p>
        </w:tc>
      </w:tr>
      <w:tr>
        <w:trPr>
          <w:trHeight w:val="193"/>
        </w:trPr>
        <w:tc>
          <w:tcPr>
            <w:tcW w:w="57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Other current assets</w:t>
            </w:r>
          </w:p>
        </w:tc>
        <w:tc>
          <w:tcPr>
            <w:tcW w:w="194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41</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41</w:t>
            </w:r>
          </w:p>
        </w:tc>
      </w:tr>
      <w:tr>
        <w:trPr>
          <w:trHeight w:val="196"/>
        </w:trPr>
        <w:tc>
          <w:tcPr>
            <w:tcW w:w="57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Insurance recoveries for asbestos-related liabilities</w:t>
            </w:r>
          </w:p>
        </w:tc>
        <w:tc>
          <w:tcPr>
            <w:tcW w:w="1940" w:type="dxa"/>
            <w:vAlign w:val="bottom"/>
            <w:tcBorders>
              <w:bottom w:val="single" w:sz="8" w:color="D7282F"/>
            </w:tcBorders>
          </w:tcPr>
          <w:p>
            <w:pPr>
              <w:spacing w:after="0"/>
              <w:rPr>
                <w:sz w:val="17"/>
                <w:szCs w:val="17"/>
                <w:color w:val="auto"/>
              </w:rPr>
            </w:pPr>
          </w:p>
        </w:tc>
        <w:tc>
          <w:tcPr>
            <w:tcW w:w="16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164</w:t>
            </w:r>
          </w:p>
        </w:tc>
        <w:tc>
          <w:tcPr>
            <w:tcW w:w="30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170</w:t>
            </w:r>
          </w:p>
        </w:tc>
      </w:tr>
      <w:tr>
        <w:trPr>
          <w:trHeight w:val="199"/>
        </w:trPr>
        <w:tc>
          <w:tcPr>
            <w:tcW w:w="576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insurance recoveries for asbestos-related liabilities</w:t>
            </w:r>
          </w:p>
        </w:tc>
        <w:tc>
          <w:tcPr>
            <w:tcW w:w="194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6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205</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211</w:t>
            </w:r>
          </w:p>
        </w:tc>
      </w:tr>
      <w:tr>
        <w:trPr>
          <w:trHeight w:val="193"/>
        </w:trPr>
        <w:tc>
          <w:tcPr>
            <w:tcW w:w="57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Accrued liabilities</w:t>
            </w:r>
          </w:p>
        </w:tc>
        <w:tc>
          <w:tcPr>
            <w:tcW w:w="194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137</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154</w:t>
            </w:r>
          </w:p>
        </w:tc>
      </w:tr>
      <w:tr>
        <w:trPr>
          <w:trHeight w:val="196"/>
        </w:trPr>
        <w:tc>
          <w:tcPr>
            <w:tcW w:w="57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Asbestos-related liabilities</w:t>
            </w:r>
          </w:p>
        </w:tc>
        <w:tc>
          <w:tcPr>
            <w:tcW w:w="1940" w:type="dxa"/>
            <w:vAlign w:val="bottom"/>
            <w:tcBorders>
              <w:bottom w:val="single" w:sz="8" w:color="D7282F"/>
            </w:tcBorders>
          </w:tcPr>
          <w:p>
            <w:pPr>
              <w:spacing w:after="0"/>
              <w:rPr>
                <w:sz w:val="17"/>
                <w:szCs w:val="17"/>
                <w:color w:val="auto"/>
              </w:rPr>
            </w:pPr>
          </w:p>
        </w:tc>
        <w:tc>
          <w:tcPr>
            <w:tcW w:w="16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1,467</w:t>
            </w:r>
          </w:p>
        </w:tc>
        <w:tc>
          <w:tcPr>
            <w:tcW w:w="30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1,490</w:t>
            </w:r>
          </w:p>
        </w:tc>
      </w:tr>
      <w:tr>
        <w:trPr>
          <w:trHeight w:val="199"/>
        </w:trPr>
        <w:tc>
          <w:tcPr>
            <w:tcW w:w="576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asbestos-related liabilities</w:t>
            </w:r>
          </w:p>
        </w:tc>
        <w:tc>
          <w:tcPr>
            <w:tcW w:w="194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6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1,604</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1,644</w:t>
            </w:r>
          </w:p>
        </w:tc>
      </w:tr>
    </w:tbl>
    <w:p>
      <w:pPr>
        <w:spacing w:after="0" w:line="200" w:lineRule="exact"/>
        <w:rPr>
          <w:sz w:val="20"/>
          <w:szCs w:val="20"/>
          <w:color w:val="auto"/>
        </w:rPr>
      </w:pPr>
    </w:p>
    <w:p>
      <w:pPr>
        <w:spacing w:after="0" w:line="30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DC202E"/>
        </w:rPr>
        <w:t>25</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b w:val="1"/>
          <w:bCs w:val="1"/>
          <w:i w:val="1"/>
          <w:iCs w:val="1"/>
          <w:color w:val="auto"/>
        </w:rPr>
        <w:t xml:space="preserve">NARCO Products </w:t>
      </w:r>
      <w:r>
        <w:rPr>
          <w:rFonts w:ascii="Arial" w:cs="Arial" w:eastAsia="Arial" w:hAnsi="Arial"/>
          <w:sz w:val="16"/>
          <w:szCs w:val="16"/>
          <w:color w:val="auto"/>
        </w:rPr>
        <w:t>– NARCO manufactured high-grade, heat-resistant, refractory products for various industries. Honeywell’s predecessor, Allied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Corporation, owned NARCO from 1979 to 1986. Allied Corporation sold the NARCO business in 1986 and entered into a cross-indemnity agreement which included an obligation to indemnify the purchaser for asbestos claims, arising primarily from alleged occupational exposure to asbestos-containing refractory brick and mortar for high-temperature applications. NARCO ceased manufacturing these products in 1980 and filed for bankruptcy in January 2002, at which point in time all then current and future NARCO asbestos claims were stayed against both NARCO and Honeywell pending the reorganization of NARCO. The Company established its initial liability for NARCO asbestos claims in 2002.</w:t>
      </w:r>
    </w:p>
    <w:p>
      <w:pPr>
        <w:spacing w:after="0" w:line="6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NARCO emerged from bankruptcy in April 2013, at which time a federally authorized 524(g) trust was established to evaluate and resolve all existing NARCO asbestos claims (the Trust). Both Honeywell and NARCO are protected by a permanent channeling injunction barring all present and future individual actions in state or federal courts and requiring all asbestos-related claims based on exposure to NARCO asbestos-containing products to be made against the Trust (Channeling Injunction). The NARCO Trust Agreement (TA) and the NARCO Trust Distribution Procedures (TDP) set forth the structure and operating rules of the Trust, and established Honeywell’s evergreen funding obligations.</w:t>
      </w:r>
    </w:p>
    <w:p>
      <w:pPr>
        <w:spacing w:after="0" w:line="64"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operating rules per the TDP define criteria claimants must meet for a claim to be considered valid and paid. Once operational in 2014, the Trust began to receive, process, and pay claims. In September 2021, Honeywell filed suit against the Trust in the United States Bankruptcy Court for the Western District of Pennsylvania (Bankruptcy Court) alleging that the Trust breached its duties in managing the Trust, including breaches of certain provisions of the TA and TDP. Honeywell's lawsuit sought appropriate relief preventing the Trust from continuing these practices. The Trust also filed suit against Honeywell, alleging Honeywell breached its obligations under the Trust's governing documents. Honeywell moved to dismiss the Trust’s suit, and on December 15, 2021, the Bankruptcy Court granted Honeywell’s motion to dismiss subject to granting the Trust leave to file an amended complaint. On December 28, 2021, the Trust filed an answer with counterclaims in response to Honeywell’s complaint and in lieu of filing an amended complaint. The Bankruptcy Court conducted a trial on these matters during May 2022; following the trial, the Company and the Trust began discussing a potential settlement of Honeywell’s remaining obligations to the Trust.</w:t>
      </w:r>
    </w:p>
    <w:p>
      <w:pPr>
        <w:spacing w:after="0" w:line="8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On November 18, 2022, Honeywell entered into a definitive agreement (Buyout Agreement) with the Trust, and on November 20, 2022, in exchange for the NARCO Trust Advisory Committee (TAC) and Lawrence Fitzpatrick, in his capacity as the NARCO Asbestos Future Claimants Representative (FCR), becoming parties to the Buyout Agreement, Honeywell, the Trust, the TAC, and the FCR entered into an Amended and Restated Buyout Agreement (Amended Buyout Agreement).</w:t>
      </w:r>
    </w:p>
    <w:p>
      <w:pPr>
        <w:spacing w:after="0" w:line="65"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Pursuant to the terms of the Amended Buyout Agreement, Honeywell agreed to make a one-time, lump sum payment in the amount of $1.325 billion to the Trust (Buyout Amount), subject to certain deductions as described in the Amended Buyout Agreement and in exchange for the release by the Trust of Honeywell from all further and future obligations of any kind related to the Trust and/or any claimants who were exposed to asbestos-containing products manufactured, sold, or distributed by NARCO or its predecessors, including Honeywell’s ongoing evergreen obligation to fund (i) claims against the Trust, which comprise Honeywell’s NARCO asbestos-related claims liability, and (ii) the Trust’s annual operating expenses, which are expensed as incurred, including its legal fees (which operating expenses, for reference, were approximately $30 million in 2022) (such evergreen obligations referred to in (i) and (ii), Honeywell Obligations) (the NARCO Buyout).</w:t>
      </w:r>
    </w:p>
    <w:p>
      <w:pPr>
        <w:spacing w:after="0" w:line="6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 December 8, 2022, the Bankruptcy Court issued an order that (A) approved the Amended Buyout Agreement, and (B) declared that the NARCO Channeling Injunction (which bars all past, present, and future individual actions in state or federal courts based on exposure to NARCO asbestos-containing products and requires all such claims to be made against the Trust) will remain in full force and effect without modification, dissolution, or termination (Order).</w:t>
      </w:r>
    </w:p>
    <w:p>
      <w:pPr>
        <w:spacing w:after="0" w:line="5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On December 14, 2022, HWI, the reorganized and renamed entity that emerged from the NARCO bankruptcy, entered into a definitive agreement (Sale Agreement) pursuant to which an affiliate of Platinum Equity, LLC agreed to acquire HWI (HWI Sale) subject to the terms set forth in the Sale Agreement, including customary conditions to closing set forth therein. In accordance with the Amended Buyout Agreement, the economic rights of the Trust in respect of the net proceeds from the HWI Sale inure to the benefit of Honeywell.</w:t>
      </w:r>
    </w:p>
    <w:p>
      <w:pPr>
        <w:spacing w:after="0" w:line="7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 January 30, 2023, the Company paid the Buyout Amount to the Trust, the parties closed the transactions contemplated in the Amended Buyout Agreement (Closing), and Honeywell was released from the Honeywell Obligations. Honeywell continues to have the right to collect proceeds in connection with its NARCO asbestos-related insurance policies.</w:t>
      </w:r>
    </w:p>
    <w:p>
      <w:pPr>
        <w:spacing w:after="0" w:line="5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With the issuance of the Order, the Company derecognized the NARCO asbestos-related liability of $688 million from the Consolidated Balance Sheet and recognized a charge of $1.325 billion in the Consolidated Statement of Operations and accrued a corresponding liability in the Consolidated Balance Sheet for the Buyout Amount. In addition, the Company recognized a benefit of $295 million in the Consolidated Statement of Operations and corresponding asset in Other current assets in the Consolidated Balance Sheet for Honeywell's rights to the proceeds from the HWI Sale. The benefit of $295 million offset the charge for the Buyout Amount.</w:t>
      </w:r>
    </w:p>
    <w:p>
      <w:pPr>
        <w:spacing w:after="0" w:line="6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 February 16, 2023, the HWI Sale closed. Pursuant to the Amended Buyout Agreement, during 2023, Honeywell received $275 million of proceeds from the HWI sale. See Note 12 Fair Value Measurements for further information on the related proceeds and remaining amount under the Amended Buyout Agreement.</w:t>
      </w:r>
    </w:p>
    <w:p>
      <w:pPr>
        <w:spacing w:after="0" w:line="395" w:lineRule="exact"/>
        <w:rPr>
          <w:sz w:val="20"/>
          <w:szCs w:val="20"/>
          <w:color w:val="auto"/>
        </w:rPr>
      </w:pPr>
    </w:p>
    <w:p>
      <w:pPr>
        <w:ind w:left="400" w:hanging="392"/>
        <w:spacing w:after="0"/>
        <w:tabs>
          <w:tab w:leader="none" w:pos="400" w:val="left"/>
        </w:tabs>
        <w:numPr>
          <w:ilvl w:val="0"/>
          <w:numId w:val="23"/>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1"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b w:val="1"/>
          <w:bCs w:val="1"/>
          <w:color w:val="auto"/>
        </w:rPr>
        <w:t xml:space="preserve">Bendix Products </w:t>
      </w:r>
      <w:r>
        <w:rPr>
          <w:rFonts w:ascii="Arial" w:cs="Arial" w:eastAsia="Arial" w:hAnsi="Arial"/>
          <w:sz w:val="16"/>
          <w:szCs w:val="16"/>
          <w:color w:val="auto"/>
        </w:rPr>
        <w:t>– Bendix manufactured automotive brake linings that contained chrysotile asbestos in an encapsulated form. Claimants consist largely of</w:t>
      </w:r>
      <w:r>
        <w:rPr>
          <w:rFonts w:ascii="Arial" w:cs="Arial" w:eastAsia="Arial" w:hAnsi="Arial"/>
          <w:sz w:val="16"/>
          <w:szCs w:val="16"/>
          <w:b w:val="1"/>
          <w:bCs w:val="1"/>
          <w:color w:val="auto"/>
        </w:rPr>
        <w:t xml:space="preserve"> </w:t>
      </w:r>
      <w:r>
        <w:rPr>
          <w:rFonts w:ascii="Arial" w:cs="Arial" w:eastAsia="Arial" w:hAnsi="Arial"/>
          <w:sz w:val="16"/>
          <w:szCs w:val="16"/>
          <w:color w:val="auto"/>
        </w:rPr>
        <w:t>individuals who allege exposure to asbestos from brakes from either performing or being in the vicinity of individuals who performed brake replacements. The following tables present information regarding Bendix-related asbestos claims activity:</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2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Three Months Ended</w:t>
            </w:r>
          </w:p>
        </w:tc>
        <w:tc>
          <w:tcPr>
            <w:tcW w:w="2480" w:type="dxa"/>
            <w:vAlign w:val="bottom"/>
          </w:tcPr>
          <w:p>
            <w:pPr>
              <w:jc w:val="center"/>
              <w:ind w:left="1108"/>
              <w:spacing w:after="0"/>
              <w:rPr>
                <w:sz w:val="20"/>
                <w:szCs w:val="20"/>
                <w:color w:val="auto"/>
              </w:rPr>
            </w:pPr>
            <w:r>
              <w:rPr>
                <w:rFonts w:ascii="Arial" w:cs="Arial" w:eastAsia="Arial" w:hAnsi="Arial"/>
                <w:sz w:val="14"/>
                <w:szCs w:val="14"/>
                <w:b w:val="1"/>
                <w:bCs w:val="1"/>
                <w:color w:val="auto"/>
              </w:rPr>
              <w:t>Years Ended</w:t>
            </w:r>
          </w:p>
        </w:tc>
        <w:tc>
          <w:tcPr>
            <w:tcW w:w="1200" w:type="dxa"/>
            <w:vAlign w:val="bottom"/>
          </w:tcPr>
          <w:p>
            <w:pPr>
              <w:spacing w:after="0"/>
              <w:rPr>
                <w:sz w:val="14"/>
                <w:szCs w:val="14"/>
                <w:color w:val="auto"/>
              </w:rPr>
            </w:pPr>
          </w:p>
        </w:tc>
      </w:tr>
      <w:tr>
        <w:trPr>
          <w:trHeight w:val="185"/>
        </w:trPr>
        <w:tc>
          <w:tcPr>
            <w:tcW w:w="5500" w:type="dxa"/>
            <w:vAlign w:val="bottom"/>
          </w:tcPr>
          <w:p>
            <w:pPr>
              <w:spacing w:after="0"/>
              <w:rPr>
                <w:sz w:val="16"/>
                <w:szCs w:val="16"/>
                <w:color w:val="auto"/>
              </w:rPr>
            </w:pPr>
          </w:p>
        </w:tc>
        <w:tc>
          <w:tcPr>
            <w:tcW w:w="2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March 31,</w:t>
            </w:r>
          </w:p>
        </w:tc>
        <w:tc>
          <w:tcPr>
            <w:tcW w:w="2480" w:type="dxa"/>
            <w:vAlign w:val="bottom"/>
          </w:tcPr>
          <w:p>
            <w:pPr>
              <w:jc w:val="center"/>
              <w:ind w:left="1108"/>
              <w:spacing w:after="0"/>
              <w:rPr>
                <w:sz w:val="20"/>
                <w:szCs w:val="20"/>
                <w:color w:val="auto"/>
              </w:rPr>
            </w:pPr>
            <w:r>
              <w:rPr>
                <w:rFonts w:ascii="Arial" w:cs="Arial" w:eastAsia="Arial" w:hAnsi="Arial"/>
                <w:sz w:val="14"/>
                <w:szCs w:val="14"/>
                <w:b w:val="1"/>
                <w:bCs w:val="1"/>
                <w:color w:val="auto"/>
              </w:rPr>
              <w:t>December 31,</w:t>
            </w:r>
          </w:p>
        </w:tc>
        <w:tc>
          <w:tcPr>
            <w:tcW w:w="1200" w:type="dxa"/>
            <w:vAlign w:val="bottom"/>
          </w:tcPr>
          <w:p>
            <w:pPr>
              <w:spacing w:after="0"/>
              <w:rPr>
                <w:sz w:val="16"/>
                <w:szCs w:val="16"/>
                <w:color w:val="auto"/>
              </w:rPr>
            </w:pPr>
          </w:p>
        </w:tc>
      </w:tr>
      <w:tr>
        <w:trPr>
          <w:trHeight w:val="195"/>
        </w:trPr>
        <w:tc>
          <w:tcPr>
            <w:tcW w:w="5500" w:type="dxa"/>
            <w:vAlign w:val="bottom"/>
            <w:tcBorders>
              <w:bottom w:val="single" w:sz="8" w:color="D7282F"/>
            </w:tcBorders>
          </w:tcPr>
          <w:p>
            <w:pPr>
              <w:spacing w:after="0"/>
              <w:rPr>
                <w:sz w:val="16"/>
                <w:szCs w:val="16"/>
                <w:color w:val="auto"/>
              </w:rPr>
            </w:pPr>
          </w:p>
        </w:tc>
        <w:tc>
          <w:tcPr>
            <w:tcW w:w="1820" w:type="dxa"/>
            <w:vAlign w:val="bottom"/>
            <w:tcBorders>
              <w:top w:val="single" w:sz="8" w:color="D7282F"/>
              <w:bottom w:val="single" w:sz="8" w:color="D7282F"/>
            </w:tcBorders>
          </w:tcPr>
          <w:p>
            <w:pPr>
              <w:jc w:val="center"/>
              <w:spacing w:after="0"/>
              <w:rPr>
                <w:sz w:val="20"/>
                <w:szCs w:val="20"/>
                <w:color w:val="auto"/>
              </w:rPr>
            </w:pPr>
            <w:r>
              <w:rPr>
                <w:rFonts w:ascii="Arial" w:cs="Arial" w:eastAsia="Arial" w:hAnsi="Arial"/>
                <w:sz w:val="14"/>
                <w:szCs w:val="14"/>
                <w:b w:val="1"/>
                <w:bCs w:val="1"/>
                <w:color w:val="auto"/>
              </w:rPr>
              <w:t>2024</w:t>
            </w:r>
          </w:p>
        </w:tc>
        <w:tc>
          <w:tcPr>
            <w:tcW w:w="240" w:type="dxa"/>
            <w:vAlign w:val="bottom"/>
            <w:tcBorders>
              <w:bottom w:val="single" w:sz="8" w:color="D7282F"/>
            </w:tcBorders>
          </w:tcPr>
          <w:p>
            <w:pPr>
              <w:spacing w:after="0"/>
              <w:rPr>
                <w:sz w:val="16"/>
                <w:szCs w:val="16"/>
                <w:color w:val="auto"/>
              </w:rPr>
            </w:pPr>
          </w:p>
        </w:tc>
        <w:tc>
          <w:tcPr>
            <w:tcW w:w="2480" w:type="dxa"/>
            <w:vAlign w:val="bottom"/>
            <w:tcBorders>
              <w:top w:val="single" w:sz="8" w:color="D7282F"/>
              <w:bottom w:val="single" w:sz="8" w:color="D7282F"/>
            </w:tcBorders>
          </w:tcPr>
          <w:p>
            <w:pPr>
              <w:jc w:val="right"/>
              <w:ind w:right="1388"/>
              <w:spacing w:after="0"/>
              <w:rPr>
                <w:sz w:val="20"/>
                <w:szCs w:val="20"/>
                <w:color w:val="auto"/>
              </w:rPr>
            </w:pPr>
            <w:r>
              <w:rPr>
                <w:rFonts w:ascii="Arial" w:cs="Arial" w:eastAsia="Arial" w:hAnsi="Arial"/>
                <w:sz w:val="14"/>
                <w:szCs w:val="14"/>
                <w:b w:val="1"/>
                <w:bCs w:val="1"/>
                <w:color w:val="auto"/>
              </w:rPr>
              <w:t>2023</w:t>
            </w:r>
          </w:p>
        </w:tc>
        <w:tc>
          <w:tcPr>
            <w:tcW w:w="1200" w:type="dxa"/>
            <w:vAlign w:val="bottom"/>
            <w:tcBorders>
              <w:top w:val="single" w:sz="8" w:color="D7282F"/>
              <w:bottom w:val="single" w:sz="8" w:color="D7282F"/>
            </w:tcBorders>
          </w:tcPr>
          <w:p>
            <w:pPr>
              <w:jc w:val="right"/>
              <w:ind w:right="628"/>
              <w:spacing w:after="0"/>
              <w:rPr>
                <w:sz w:val="20"/>
                <w:szCs w:val="20"/>
                <w:color w:val="auto"/>
              </w:rPr>
            </w:pPr>
            <w:r>
              <w:rPr>
                <w:rFonts w:ascii="Arial" w:cs="Arial" w:eastAsia="Arial" w:hAnsi="Arial"/>
                <w:sz w:val="14"/>
                <w:szCs w:val="14"/>
                <w:b w:val="1"/>
                <w:bCs w:val="1"/>
                <w:color w:val="auto"/>
              </w:rPr>
              <w:t>2022</w:t>
            </w:r>
          </w:p>
        </w:tc>
      </w:tr>
      <w:tr>
        <w:trPr>
          <w:trHeight w:val="196"/>
        </w:trPr>
        <w:tc>
          <w:tcPr>
            <w:tcW w:w="55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Claims unresolved at the beginning of period</w:t>
            </w:r>
          </w:p>
        </w:tc>
        <w:tc>
          <w:tcPr>
            <w:tcW w:w="18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5,517</w:t>
            </w:r>
          </w:p>
        </w:tc>
        <w:tc>
          <w:tcPr>
            <w:tcW w:w="240" w:type="dxa"/>
            <w:vAlign w:val="bottom"/>
            <w:tcBorders>
              <w:bottom w:val="single" w:sz="8" w:color="D7282F"/>
            </w:tcBorders>
          </w:tcPr>
          <w:p>
            <w:pPr>
              <w:spacing w:after="0"/>
              <w:rPr>
                <w:sz w:val="17"/>
                <w:szCs w:val="17"/>
                <w:color w:val="auto"/>
              </w:rPr>
            </w:pPr>
          </w:p>
        </w:tc>
        <w:tc>
          <w:tcPr>
            <w:tcW w:w="2480" w:type="dxa"/>
            <w:vAlign w:val="bottom"/>
            <w:tcBorders>
              <w:bottom w:val="single" w:sz="8" w:color="D7282F"/>
            </w:tcBorders>
          </w:tcPr>
          <w:p>
            <w:pPr>
              <w:jc w:val="center"/>
              <w:ind w:left="408"/>
              <w:spacing w:after="0"/>
              <w:rPr>
                <w:sz w:val="20"/>
                <w:szCs w:val="20"/>
                <w:color w:val="auto"/>
              </w:rPr>
            </w:pPr>
            <w:r>
              <w:rPr>
                <w:rFonts w:ascii="Arial" w:cs="Arial" w:eastAsia="Arial" w:hAnsi="Arial"/>
                <w:sz w:val="14"/>
                <w:szCs w:val="14"/>
                <w:b w:val="1"/>
                <w:bCs w:val="1"/>
                <w:color w:val="auto"/>
              </w:rPr>
              <w:t>5,608</w:t>
            </w:r>
          </w:p>
        </w:tc>
        <w:tc>
          <w:tcPr>
            <w:tcW w:w="1200" w:type="dxa"/>
            <w:vAlign w:val="bottom"/>
            <w:tcBorders>
              <w:bottom w:val="single" w:sz="8" w:color="D7282F"/>
            </w:tcBorders>
          </w:tcPr>
          <w:p>
            <w:pPr>
              <w:jc w:val="center"/>
              <w:ind w:left="648"/>
              <w:spacing w:after="0"/>
              <w:rPr>
                <w:sz w:val="20"/>
                <w:szCs w:val="20"/>
                <w:color w:val="auto"/>
              </w:rPr>
            </w:pPr>
            <w:r>
              <w:rPr>
                <w:rFonts w:ascii="Arial" w:cs="Arial" w:eastAsia="Arial" w:hAnsi="Arial"/>
                <w:sz w:val="14"/>
                <w:szCs w:val="14"/>
                <w:b w:val="1"/>
                <w:bCs w:val="1"/>
                <w:color w:val="auto"/>
              </w:rPr>
              <w:t>6,401</w:t>
            </w:r>
          </w:p>
        </w:tc>
      </w:tr>
      <w:tr>
        <w:trPr>
          <w:trHeight w:val="193"/>
        </w:trPr>
        <w:tc>
          <w:tcPr>
            <w:tcW w:w="55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Claims filed</w:t>
            </w:r>
          </w:p>
        </w:tc>
        <w:tc>
          <w:tcPr>
            <w:tcW w:w="18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360</w:t>
            </w:r>
          </w:p>
        </w:tc>
        <w:tc>
          <w:tcPr>
            <w:tcW w:w="240" w:type="dxa"/>
            <w:vAlign w:val="bottom"/>
            <w:tcBorders>
              <w:bottom w:val="single" w:sz="8" w:color="61656A"/>
            </w:tcBorders>
          </w:tcPr>
          <w:p>
            <w:pPr>
              <w:spacing w:after="0"/>
              <w:rPr>
                <w:sz w:val="16"/>
                <w:szCs w:val="16"/>
                <w:color w:val="auto"/>
              </w:rPr>
            </w:pPr>
          </w:p>
        </w:tc>
        <w:tc>
          <w:tcPr>
            <w:tcW w:w="2480" w:type="dxa"/>
            <w:vAlign w:val="bottom"/>
            <w:tcBorders>
              <w:bottom w:val="single" w:sz="8" w:color="61656A"/>
            </w:tcBorders>
          </w:tcPr>
          <w:p>
            <w:pPr>
              <w:jc w:val="center"/>
              <w:ind w:left="408"/>
              <w:spacing w:after="0"/>
              <w:rPr>
                <w:sz w:val="20"/>
                <w:szCs w:val="20"/>
                <w:color w:val="auto"/>
              </w:rPr>
            </w:pPr>
            <w:r>
              <w:rPr>
                <w:rFonts w:ascii="Arial" w:cs="Arial" w:eastAsia="Arial" w:hAnsi="Arial"/>
                <w:sz w:val="14"/>
                <w:szCs w:val="14"/>
                <w:color w:val="auto"/>
              </w:rPr>
              <w:t>1,803</w:t>
            </w:r>
          </w:p>
        </w:tc>
        <w:tc>
          <w:tcPr>
            <w:tcW w:w="1200" w:type="dxa"/>
            <w:vAlign w:val="bottom"/>
            <w:tcBorders>
              <w:bottom w:val="single" w:sz="8" w:color="61656A"/>
            </w:tcBorders>
          </w:tcPr>
          <w:p>
            <w:pPr>
              <w:jc w:val="center"/>
              <w:ind w:left="648"/>
              <w:spacing w:after="0"/>
              <w:rPr>
                <w:sz w:val="20"/>
                <w:szCs w:val="20"/>
                <w:color w:val="auto"/>
              </w:rPr>
            </w:pPr>
            <w:r>
              <w:rPr>
                <w:rFonts w:ascii="Arial" w:cs="Arial" w:eastAsia="Arial" w:hAnsi="Arial"/>
                <w:sz w:val="14"/>
                <w:szCs w:val="14"/>
                <w:color w:val="auto"/>
              </w:rPr>
              <w:t>2,014</w:t>
            </w:r>
          </w:p>
        </w:tc>
      </w:tr>
      <w:tr>
        <w:trPr>
          <w:trHeight w:val="196"/>
        </w:trPr>
        <w:tc>
          <w:tcPr>
            <w:tcW w:w="55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Claims resolved</w:t>
            </w:r>
          </w:p>
        </w:tc>
        <w:tc>
          <w:tcPr>
            <w:tcW w:w="18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(504)</w:t>
            </w:r>
          </w:p>
        </w:tc>
        <w:tc>
          <w:tcPr>
            <w:tcW w:w="240" w:type="dxa"/>
            <w:vAlign w:val="bottom"/>
            <w:tcBorders>
              <w:bottom w:val="single" w:sz="8" w:color="D7282F"/>
            </w:tcBorders>
          </w:tcPr>
          <w:p>
            <w:pPr>
              <w:spacing w:after="0"/>
              <w:rPr>
                <w:sz w:val="17"/>
                <w:szCs w:val="17"/>
                <w:color w:val="auto"/>
              </w:rPr>
            </w:pPr>
          </w:p>
        </w:tc>
        <w:tc>
          <w:tcPr>
            <w:tcW w:w="2480" w:type="dxa"/>
            <w:vAlign w:val="bottom"/>
            <w:tcBorders>
              <w:bottom w:val="single" w:sz="8" w:color="D7282F"/>
            </w:tcBorders>
          </w:tcPr>
          <w:p>
            <w:pPr>
              <w:jc w:val="center"/>
              <w:ind w:left="388"/>
              <w:spacing w:after="0"/>
              <w:rPr>
                <w:sz w:val="20"/>
                <w:szCs w:val="20"/>
                <w:color w:val="auto"/>
              </w:rPr>
            </w:pPr>
            <w:r>
              <w:rPr>
                <w:rFonts w:ascii="Arial" w:cs="Arial" w:eastAsia="Arial" w:hAnsi="Arial"/>
                <w:sz w:val="14"/>
                <w:szCs w:val="14"/>
                <w:color w:val="auto"/>
              </w:rPr>
              <w:t>(1,894)</w:t>
            </w:r>
          </w:p>
        </w:tc>
        <w:tc>
          <w:tcPr>
            <w:tcW w:w="1200" w:type="dxa"/>
            <w:vAlign w:val="bottom"/>
            <w:tcBorders>
              <w:bottom w:val="single" w:sz="8" w:color="D7282F"/>
            </w:tcBorders>
          </w:tcPr>
          <w:p>
            <w:pPr>
              <w:jc w:val="center"/>
              <w:ind w:left="628"/>
              <w:spacing w:after="0"/>
              <w:rPr>
                <w:sz w:val="20"/>
                <w:szCs w:val="20"/>
                <w:color w:val="auto"/>
              </w:rPr>
            </w:pPr>
            <w:r>
              <w:rPr>
                <w:rFonts w:ascii="Arial" w:cs="Arial" w:eastAsia="Arial" w:hAnsi="Arial"/>
                <w:sz w:val="14"/>
                <w:szCs w:val="14"/>
                <w:color w:val="auto"/>
              </w:rPr>
              <w:t>(2,807)</w:t>
            </w:r>
          </w:p>
        </w:tc>
      </w:tr>
      <w:tr>
        <w:trPr>
          <w:trHeight w:val="199"/>
        </w:trPr>
        <w:tc>
          <w:tcPr>
            <w:tcW w:w="55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Claims unresolved at the end of period</w:t>
            </w:r>
          </w:p>
        </w:tc>
        <w:tc>
          <w:tcPr>
            <w:tcW w:w="18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5,373</w:t>
            </w:r>
          </w:p>
        </w:tc>
        <w:tc>
          <w:tcPr>
            <w:tcW w:w="240" w:type="dxa"/>
            <w:vAlign w:val="bottom"/>
            <w:tcBorders>
              <w:bottom w:val="single" w:sz="8" w:color="D7282F"/>
            </w:tcBorders>
          </w:tcPr>
          <w:p>
            <w:pPr>
              <w:spacing w:after="0"/>
              <w:rPr>
                <w:sz w:val="17"/>
                <w:szCs w:val="17"/>
                <w:color w:val="auto"/>
              </w:rPr>
            </w:pPr>
          </w:p>
        </w:tc>
        <w:tc>
          <w:tcPr>
            <w:tcW w:w="2480" w:type="dxa"/>
            <w:vAlign w:val="bottom"/>
            <w:tcBorders>
              <w:bottom w:val="single" w:sz="8" w:color="D7282F"/>
            </w:tcBorders>
          </w:tcPr>
          <w:p>
            <w:pPr>
              <w:jc w:val="center"/>
              <w:ind w:left="408"/>
              <w:spacing w:after="0"/>
              <w:rPr>
                <w:sz w:val="20"/>
                <w:szCs w:val="20"/>
                <w:color w:val="auto"/>
              </w:rPr>
            </w:pPr>
            <w:r>
              <w:rPr>
                <w:rFonts w:ascii="Arial" w:cs="Arial" w:eastAsia="Arial" w:hAnsi="Arial"/>
                <w:sz w:val="14"/>
                <w:szCs w:val="14"/>
                <w:b w:val="1"/>
                <w:bCs w:val="1"/>
                <w:color w:val="auto"/>
              </w:rPr>
              <w:t>5,517</w:t>
            </w:r>
          </w:p>
        </w:tc>
        <w:tc>
          <w:tcPr>
            <w:tcW w:w="1200" w:type="dxa"/>
            <w:vAlign w:val="bottom"/>
            <w:tcBorders>
              <w:bottom w:val="single" w:sz="8" w:color="D7282F"/>
            </w:tcBorders>
          </w:tcPr>
          <w:p>
            <w:pPr>
              <w:jc w:val="center"/>
              <w:ind w:left="648"/>
              <w:spacing w:after="0"/>
              <w:rPr>
                <w:sz w:val="20"/>
                <w:szCs w:val="20"/>
                <w:color w:val="auto"/>
              </w:rPr>
            </w:pPr>
            <w:r>
              <w:rPr>
                <w:rFonts w:ascii="Arial" w:cs="Arial" w:eastAsia="Arial" w:hAnsi="Arial"/>
                <w:sz w:val="14"/>
                <w:szCs w:val="14"/>
                <w:b w:val="1"/>
                <w:bCs w:val="1"/>
                <w:color w:val="auto"/>
              </w:rPr>
              <w:t>5,608</w:t>
            </w:r>
          </w:p>
        </w:tc>
      </w:tr>
      <w:tr>
        <w:trPr>
          <w:trHeight w:val="424"/>
        </w:trPr>
        <w:tc>
          <w:tcPr>
            <w:tcW w:w="5500" w:type="dxa"/>
            <w:vAlign w:val="bottom"/>
          </w:tcPr>
          <w:p>
            <w:pPr>
              <w:spacing w:after="0"/>
              <w:rPr>
                <w:sz w:val="24"/>
                <w:szCs w:val="24"/>
                <w:color w:val="auto"/>
              </w:rPr>
            </w:pPr>
          </w:p>
        </w:tc>
        <w:tc>
          <w:tcPr>
            <w:tcW w:w="2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March 31,</w:t>
            </w:r>
          </w:p>
        </w:tc>
        <w:tc>
          <w:tcPr>
            <w:tcW w:w="2480" w:type="dxa"/>
            <w:vAlign w:val="bottom"/>
          </w:tcPr>
          <w:p>
            <w:pPr>
              <w:jc w:val="center"/>
              <w:ind w:left="1108"/>
              <w:spacing w:after="0"/>
              <w:rPr>
                <w:sz w:val="20"/>
                <w:szCs w:val="20"/>
                <w:color w:val="auto"/>
              </w:rPr>
            </w:pPr>
            <w:r>
              <w:rPr>
                <w:rFonts w:ascii="Arial" w:cs="Arial" w:eastAsia="Arial" w:hAnsi="Arial"/>
                <w:sz w:val="14"/>
                <w:szCs w:val="14"/>
                <w:b w:val="1"/>
                <w:bCs w:val="1"/>
                <w:color w:val="auto"/>
              </w:rPr>
              <w:t>December 31,</w:t>
            </w:r>
          </w:p>
        </w:tc>
        <w:tc>
          <w:tcPr>
            <w:tcW w:w="1200" w:type="dxa"/>
            <w:vAlign w:val="bottom"/>
          </w:tcPr>
          <w:p>
            <w:pPr>
              <w:spacing w:after="0"/>
              <w:rPr>
                <w:sz w:val="24"/>
                <w:szCs w:val="24"/>
                <w:color w:val="auto"/>
              </w:rPr>
            </w:pPr>
          </w:p>
        </w:tc>
      </w:tr>
      <w:tr>
        <w:trPr>
          <w:trHeight w:val="197"/>
        </w:trPr>
        <w:tc>
          <w:tcPr>
            <w:tcW w:w="55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Disease Distribution of Unresolved Claims</w:t>
            </w:r>
          </w:p>
        </w:tc>
        <w:tc>
          <w:tcPr>
            <w:tcW w:w="1820" w:type="dxa"/>
            <w:vAlign w:val="bottom"/>
            <w:tcBorders>
              <w:top w:val="single" w:sz="8" w:color="D7282F"/>
              <w:bottom w:val="single" w:sz="8" w:color="D7282F"/>
            </w:tcBorders>
          </w:tcPr>
          <w:p>
            <w:pPr>
              <w:jc w:val="center"/>
              <w:spacing w:after="0"/>
              <w:rPr>
                <w:sz w:val="20"/>
                <w:szCs w:val="20"/>
                <w:color w:val="auto"/>
              </w:rPr>
            </w:pPr>
            <w:r>
              <w:rPr>
                <w:rFonts w:ascii="Arial" w:cs="Arial" w:eastAsia="Arial" w:hAnsi="Arial"/>
                <w:sz w:val="14"/>
                <w:szCs w:val="14"/>
                <w:b w:val="1"/>
                <w:bCs w:val="1"/>
                <w:color w:val="auto"/>
              </w:rPr>
              <w:t>2024</w:t>
            </w:r>
          </w:p>
        </w:tc>
        <w:tc>
          <w:tcPr>
            <w:tcW w:w="240" w:type="dxa"/>
            <w:vAlign w:val="bottom"/>
            <w:tcBorders>
              <w:bottom w:val="single" w:sz="8" w:color="D7282F"/>
            </w:tcBorders>
          </w:tcPr>
          <w:p>
            <w:pPr>
              <w:spacing w:after="0"/>
              <w:rPr>
                <w:sz w:val="17"/>
                <w:szCs w:val="17"/>
                <w:color w:val="auto"/>
              </w:rPr>
            </w:pPr>
          </w:p>
        </w:tc>
        <w:tc>
          <w:tcPr>
            <w:tcW w:w="2480" w:type="dxa"/>
            <w:vAlign w:val="bottom"/>
            <w:tcBorders>
              <w:top w:val="single" w:sz="8" w:color="D7282F"/>
              <w:bottom w:val="single" w:sz="8" w:color="D7282F"/>
            </w:tcBorders>
          </w:tcPr>
          <w:p>
            <w:pPr>
              <w:jc w:val="right"/>
              <w:ind w:right="1388"/>
              <w:spacing w:after="0"/>
              <w:rPr>
                <w:sz w:val="20"/>
                <w:szCs w:val="20"/>
                <w:color w:val="auto"/>
              </w:rPr>
            </w:pPr>
            <w:r>
              <w:rPr>
                <w:rFonts w:ascii="Arial" w:cs="Arial" w:eastAsia="Arial" w:hAnsi="Arial"/>
                <w:sz w:val="14"/>
                <w:szCs w:val="14"/>
                <w:b w:val="1"/>
                <w:bCs w:val="1"/>
                <w:color w:val="auto"/>
              </w:rPr>
              <w:t>2023</w:t>
            </w:r>
          </w:p>
        </w:tc>
        <w:tc>
          <w:tcPr>
            <w:tcW w:w="1200" w:type="dxa"/>
            <w:vAlign w:val="bottom"/>
            <w:tcBorders>
              <w:top w:val="single" w:sz="8" w:color="D7282F"/>
              <w:bottom w:val="single" w:sz="8" w:color="D7282F"/>
            </w:tcBorders>
          </w:tcPr>
          <w:p>
            <w:pPr>
              <w:jc w:val="right"/>
              <w:ind w:right="628"/>
              <w:spacing w:after="0"/>
              <w:rPr>
                <w:sz w:val="20"/>
                <w:szCs w:val="20"/>
                <w:color w:val="auto"/>
              </w:rPr>
            </w:pPr>
            <w:r>
              <w:rPr>
                <w:rFonts w:ascii="Arial" w:cs="Arial" w:eastAsia="Arial" w:hAnsi="Arial"/>
                <w:sz w:val="14"/>
                <w:szCs w:val="14"/>
                <w:b w:val="1"/>
                <w:bCs w:val="1"/>
                <w:color w:val="auto"/>
              </w:rPr>
              <w:t>2022</w:t>
            </w:r>
          </w:p>
        </w:tc>
      </w:tr>
      <w:tr>
        <w:trPr>
          <w:trHeight w:val="193"/>
        </w:trPr>
        <w:tc>
          <w:tcPr>
            <w:tcW w:w="55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Mesothelioma and other cancer claims</w:t>
            </w:r>
          </w:p>
        </w:tc>
        <w:tc>
          <w:tcPr>
            <w:tcW w:w="18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3,273</w:t>
            </w:r>
          </w:p>
        </w:tc>
        <w:tc>
          <w:tcPr>
            <w:tcW w:w="240" w:type="dxa"/>
            <w:vAlign w:val="bottom"/>
            <w:tcBorders>
              <w:bottom w:val="single" w:sz="8" w:color="61656A"/>
            </w:tcBorders>
          </w:tcPr>
          <w:p>
            <w:pPr>
              <w:spacing w:after="0"/>
              <w:rPr>
                <w:sz w:val="16"/>
                <w:szCs w:val="16"/>
                <w:color w:val="auto"/>
              </w:rPr>
            </w:pPr>
          </w:p>
        </w:tc>
        <w:tc>
          <w:tcPr>
            <w:tcW w:w="2480" w:type="dxa"/>
            <w:vAlign w:val="bottom"/>
            <w:tcBorders>
              <w:bottom w:val="single" w:sz="8" w:color="61656A"/>
            </w:tcBorders>
          </w:tcPr>
          <w:p>
            <w:pPr>
              <w:jc w:val="center"/>
              <w:ind w:left="408"/>
              <w:spacing w:after="0"/>
              <w:rPr>
                <w:sz w:val="20"/>
                <w:szCs w:val="20"/>
                <w:color w:val="auto"/>
              </w:rPr>
            </w:pPr>
            <w:r>
              <w:rPr>
                <w:rFonts w:ascii="Arial" w:cs="Arial" w:eastAsia="Arial" w:hAnsi="Arial"/>
                <w:sz w:val="14"/>
                <w:szCs w:val="14"/>
                <w:color w:val="auto"/>
              </w:rPr>
              <w:t>3,244</w:t>
            </w:r>
          </w:p>
        </w:tc>
        <w:tc>
          <w:tcPr>
            <w:tcW w:w="1200" w:type="dxa"/>
            <w:vAlign w:val="bottom"/>
            <w:tcBorders>
              <w:bottom w:val="single" w:sz="8" w:color="61656A"/>
            </w:tcBorders>
          </w:tcPr>
          <w:p>
            <w:pPr>
              <w:jc w:val="center"/>
              <w:ind w:left="648"/>
              <w:spacing w:after="0"/>
              <w:rPr>
                <w:sz w:val="20"/>
                <w:szCs w:val="20"/>
                <w:color w:val="auto"/>
              </w:rPr>
            </w:pPr>
            <w:r>
              <w:rPr>
                <w:rFonts w:ascii="Arial" w:cs="Arial" w:eastAsia="Arial" w:hAnsi="Arial"/>
                <w:sz w:val="14"/>
                <w:szCs w:val="14"/>
                <w:color w:val="auto"/>
              </w:rPr>
              <w:t>3,283</w:t>
            </w:r>
          </w:p>
        </w:tc>
      </w:tr>
      <w:tr>
        <w:trPr>
          <w:trHeight w:val="196"/>
        </w:trPr>
        <w:tc>
          <w:tcPr>
            <w:tcW w:w="55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Nonmalignant claims</w:t>
            </w:r>
          </w:p>
        </w:tc>
        <w:tc>
          <w:tcPr>
            <w:tcW w:w="18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2,100</w:t>
            </w:r>
          </w:p>
        </w:tc>
        <w:tc>
          <w:tcPr>
            <w:tcW w:w="240" w:type="dxa"/>
            <w:vAlign w:val="bottom"/>
            <w:tcBorders>
              <w:bottom w:val="single" w:sz="8" w:color="D7282F"/>
            </w:tcBorders>
          </w:tcPr>
          <w:p>
            <w:pPr>
              <w:spacing w:after="0"/>
              <w:rPr>
                <w:sz w:val="17"/>
                <w:szCs w:val="17"/>
                <w:color w:val="auto"/>
              </w:rPr>
            </w:pPr>
          </w:p>
        </w:tc>
        <w:tc>
          <w:tcPr>
            <w:tcW w:w="2480" w:type="dxa"/>
            <w:vAlign w:val="bottom"/>
            <w:tcBorders>
              <w:bottom w:val="single" w:sz="8" w:color="D7282F"/>
            </w:tcBorders>
          </w:tcPr>
          <w:p>
            <w:pPr>
              <w:jc w:val="center"/>
              <w:ind w:left="408"/>
              <w:spacing w:after="0"/>
              <w:rPr>
                <w:sz w:val="20"/>
                <w:szCs w:val="20"/>
                <w:color w:val="auto"/>
              </w:rPr>
            </w:pPr>
            <w:r>
              <w:rPr>
                <w:rFonts w:ascii="Arial" w:cs="Arial" w:eastAsia="Arial" w:hAnsi="Arial"/>
                <w:sz w:val="14"/>
                <w:szCs w:val="14"/>
                <w:color w:val="auto"/>
              </w:rPr>
              <w:t>2,273</w:t>
            </w:r>
          </w:p>
        </w:tc>
        <w:tc>
          <w:tcPr>
            <w:tcW w:w="1200" w:type="dxa"/>
            <w:vAlign w:val="bottom"/>
            <w:tcBorders>
              <w:bottom w:val="single" w:sz="8" w:color="D7282F"/>
            </w:tcBorders>
          </w:tcPr>
          <w:p>
            <w:pPr>
              <w:jc w:val="center"/>
              <w:ind w:left="648"/>
              <w:spacing w:after="0"/>
              <w:rPr>
                <w:sz w:val="20"/>
                <w:szCs w:val="20"/>
                <w:color w:val="auto"/>
              </w:rPr>
            </w:pPr>
            <w:r>
              <w:rPr>
                <w:rFonts w:ascii="Arial" w:cs="Arial" w:eastAsia="Arial" w:hAnsi="Arial"/>
                <w:sz w:val="14"/>
                <w:szCs w:val="14"/>
                <w:color w:val="auto"/>
              </w:rPr>
              <w:t>2,325</w:t>
            </w:r>
          </w:p>
        </w:tc>
      </w:tr>
      <w:tr>
        <w:trPr>
          <w:trHeight w:val="199"/>
        </w:trPr>
        <w:tc>
          <w:tcPr>
            <w:tcW w:w="550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claims</w:t>
            </w:r>
          </w:p>
        </w:tc>
        <w:tc>
          <w:tcPr>
            <w:tcW w:w="18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5,373</w:t>
            </w:r>
          </w:p>
        </w:tc>
        <w:tc>
          <w:tcPr>
            <w:tcW w:w="240" w:type="dxa"/>
            <w:vAlign w:val="bottom"/>
            <w:tcBorders>
              <w:bottom w:val="single" w:sz="8" w:color="D7282F"/>
            </w:tcBorders>
          </w:tcPr>
          <w:p>
            <w:pPr>
              <w:spacing w:after="0"/>
              <w:rPr>
                <w:sz w:val="17"/>
                <w:szCs w:val="17"/>
                <w:color w:val="auto"/>
              </w:rPr>
            </w:pPr>
          </w:p>
        </w:tc>
        <w:tc>
          <w:tcPr>
            <w:tcW w:w="2480" w:type="dxa"/>
            <w:vAlign w:val="bottom"/>
            <w:tcBorders>
              <w:bottom w:val="single" w:sz="8" w:color="D7282F"/>
            </w:tcBorders>
          </w:tcPr>
          <w:p>
            <w:pPr>
              <w:jc w:val="center"/>
              <w:ind w:left="408"/>
              <w:spacing w:after="0"/>
              <w:rPr>
                <w:sz w:val="20"/>
                <w:szCs w:val="20"/>
                <w:color w:val="auto"/>
              </w:rPr>
            </w:pPr>
            <w:r>
              <w:rPr>
                <w:rFonts w:ascii="Arial" w:cs="Arial" w:eastAsia="Arial" w:hAnsi="Arial"/>
                <w:sz w:val="14"/>
                <w:szCs w:val="14"/>
                <w:b w:val="1"/>
                <w:bCs w:val="1"/>
                <w:color w:val="auto"/>
              </w:rPr>
              <w:t>5,517</w:t>
            </w:r>
          </w:p>
        </w:tc>
        <w:tc>
          <w:tcPr>
            <w:tcW w:w="1200" w:type="dxa"/>
            <w:vAlign w:val="bottom"/>
            <w:tcBorders>
              <w:bottom w:val="single" w:sz="8" w:color="D7282F"/>
            </w:tcBorders>
          </w:tcPr>
          <w:p>
            <w:pPr>
              <w:jc w:val="center"/>
              <w:ind w:left="648"/>
              <w:spacing w:after="0"/>
              <w:rPr>
                <w:sz w:val="20"/>
                <w:szCs w:val="20"/>
                <w:color w:val="auto"/>
              </w:rPr>
            </w:pPr>
            <w:r>
              <w:rPr>
                <w:rFonts w:ascii="Arial" w:cs="Arial" w:eastAsia="Arial" w:hAnsi="Arial"/>
                <w:sz w:val="14"/>
                <w:szCs w:val="14"/>
                <w:b w:val="1"/>
                <w:bCs w:val="1"/>
                <w:color w:val="auto"/>
              </w:rPr>
              <w:t>5,608</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Honeywell has experienced average resolution values per claim excluding legal costs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480" w:type="dxa"/>
            <w:vAlign w:val="bottom"/>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spacing w:after="0"/>
              <w:rPr>
                <w:sz w:val="17"/>
                <w:szCs w:val="17"/>
                <w:color w:val="auto"/>
              </w:rPr>
            </w:pPr>
          </w:p>
        </w:tc>
        <w:tc>
          <w:tcPr>
            <w:tcW w:w="300" w:type="dxa"/>
            <w:vAlign w:val="bottom"/>
            <w:tcBorders>
              <w:bottom w:val="single" w:sz="8" w:color="D7282F"/>
            </w:tcBorders>
          </w:tcPr>
          <w:p>
            <w:pPr>
              <w:spacing w:after="0"/>
              <w:rPr>
                <w:sz w:val="17"/>
                <w:szCs w:val="17"/>
                <w:color w:val="auto"/>
              </w:rPr>
            </w:pPr>
          </w:p>
        </w:tc>
        <w:tc>
          <w:tcPr>
            <w:tcW w:w="2700" w:type="dxa"/>
            <w:vAlign w:val="bottom"/>
            <w:tcBorders>
              <w:bottom w:val="single" w:sz="8" w:color="D7282F"/>
            </w:tcBorders>
            <w:gridSpan w:val="5"/>
          </w:tcPr>
          <w:p>
            <w:pPr>
              <w:jc w:val="center"/>
              <w:ind w:right="188"/>
              <w:spacing w:after="0"/>
              <w:rPr>
                <w:sz w:val="20"/>
                <w:szCs w:val="20"/>
                <w:color w:val="auto"/>
              </w:rPr>
            </w:pPr>
            <w:r>
              <w:rPr>
                <w:rFonts w:ascii="Arial" w:cs="Arial" w:eastAsia="Arial" w:hAnsi="Arial"/>
                <w:sz w:val="14"/>
                <w:szCs w:val="14"/>
                <w:b w:val="1"/>
                <w:bCs w:val="1"/>
                <w:color w:val="auto"/>
              </w:rPr>
              <w:t>Years Ended December 31,</w:t>
            </w:r>
          </w:p>
        </w:tc>
        <w:tc>
          <w:tcPr>
            <w:tcW w:w="3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spacing w:after="0"/>
              <w:rPr>
                <w:sz w:val="17"/>
                <w:szCs w:val="17"/>
                <w:color w:val="auto"/>
              </w:rPr>
            </w:pPr>
          </w:p>
        </w:tc>
      </w:tr>
      <w:tr>
        <w:trPr>
          <w:trHeight w:val="196"/>
        </w:trPr>
        <w:tc>
          <w:tcPr>
            <w:tcW w:w="6480" w:type="dxa"/>
            <w:vAlign w:val="bottom"/>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248"/>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bottom w:val="single" w:sz="8" w:color="D7282F"/>
            </w:tcBorders>
          </w:tcPr>
          <w:p>
            <w:pPr>
              <w:spacing w:after="0"/>
              <w:rPr>
                <w:sz w:val="17"/>
                <w:szCs w:val="17"/>
                <w:color w:val="auto"/>
              </w:rPr>
            </w:pPr>
          </w:p>
        </w:tc>
        <w:tc>
          <w:tcPr>
            <w:tcW w:w="58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D7282F"/>
            </w:tcBorders>
          </w:tcPr>
          <w:p>
            <w:pPr>
              <w:spacing w:after="0"/>
              <w:rPr>
                <w:sz w:val="17"/>
                <w:szCs w:val="17"/>
                <w:color w:val="auto"/>
              </w:rPr>
            </w:pPr>
          </w:p>
        </w:tc>
        <w:tc>
          <w:tcPr>
            <w:tcW w:w="820" w:type="dxa"/>
            <w:vAlign w:val="bottom"/>
            <w:tcBorders>
              <w:bottom w:val="single" w:sz="8" w:color="D7282F"/>
            </w:tcBorders>
          </w:tcPr>
          <w:p>
            <w:pPr>
              <w:jc w:val="center"/>
              <w:ind w:right="308"/>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248"/>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2019</w:t>
            </w:r>
          </w:p>
        </w:tc>
      </w:tr>
      <w:tr>
        <w:trPr>
          <w:trHeight w:val="196"/>
        </w:trPr>
        <w:tc>
          <w:tcPr>
            <w:tcW w:w="648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spacing w:after="0"/>
              <w:rPr>
                <w:sz w:val="17"/>
                <w:szCs w:val="17"/>
                <w:color w:val="auto"/>
              </w:rPr>
            </w:pPr>
          </w:p>
        </w:tc>
        <w:tc>
          <w:tcPr>
            <w:tcW w:w="300" w:type="dxa"/>
            <w:vAlign w:val="bottom"/>
            <w:tcBorders>
              <w:bottom w:val="single" w:sz="8" w:color="D7282F"/>
            </w:tcBorders>
          </w:tcPr>
          <w:p>
            <w:pPr>
              <w:spacing w:after="0"/>
              <w:rPr>
                <w:sz w:val="17"/>
                <w:szCs w:val="17"/>
                <w:color w:val="auto"/>
              </w:rPr>
            </w:pPr>
          </w:p>
        </w:tc>
        <w:tc>
          <w:tcPr>
            <w:tcW w:w="580" w:type="dxa"/>
            <w:vAlign w:val="bottom"/>
            <w:tcBorders>
              <w:bottom w:val="single" w:sz="8" w:color="D7282F"/>
            </w:tcBorders>
          </w:tcPr>
          <w:p>
            <w:pPr>
              <w:spacing w:after="0"/>
              <w:rPr>
                <w:sz w:val="17"/>
                <w:szCs w:val="17"/>
                <w:color w:val="auto"/>
              </w:rPr>
            </w:pPr>
          </w:p>
        </w:tc>
        <w:tc>
          <w:tcPr>
            <w:tcW w:w="1240" w:type="dxa"/>
            <w:vAlign w:val="bottom"/>
            <w:tcBorders>
              <w:bottom w:val="single" w:sz="8" w:color="D7282F"/>
            </w:tcBorders>
            <w:gridSpan w:val="2"/>
          </w:tcPr>
          <w:p>
            <w:pPr>
              <w:jc w:val="center"/>
              <w:spacing w:after="0"/>
              <w:rPr>
                <w:sz w:val="20"/>
                <w:szCs w:val="20"/>
                <w:color w:val="auto"/>
              </w:rPr>
            </w:pPr>
            <w:r>
              <w:rPr>
                <w:rFonts w:ascii="Arial" w:cs="Arial" w:eastAsia="Arial" w:hAnsi="Arial"/>
                <w:sz w:val="14"/>
                <w:szCs w:val="14"/>
                <w:b w:val="1"/>
                <w:bCs w:val="1"/>
                <w:color w:val="auto"/>
              </w:rPr>
              <w:t>(in whole dollars)</w:t>
            </w:r>
          </w:p>
        </w:tc>
        <w:tc>
          <w:tcPr>
            <w:tcW w:w="18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spacing w:after="0"/>
              <w:rPr>
                <w:sz w:val="17"/>
                <w:szCs w:val="17"/>
                <w:color w:val="auto"/>
              </w:rPr>
            </w:pPr>
          </w:p>
        </w:tc>
        <w:tc>
          <w:tcPr>
            <w:tcW w:w="3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spacing w:after="0"/>
              <w:rPr>
                <w:sz w:val="17"/>
                <w:szCs w:val="17"/>
                <w:color w:val="auto"/>
              </w:rPr>
            </w:pPr>
          </w:p>
        </w:tc>
      </w:tr>
      <w:tr>
        <w:trPr>
          <w:trHeight w:val="193"/>
        </w:trPr>
        <w:tc>
          <w:tcPr>
            <w:tcW w:w="6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Mesothelioma and other cancer claims</w:t>
            </w:r>
          </w:p>
        </w:tc>
        <w:tc>
          <w:tcPr>
            <w:tcW w:w="1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66,200</w:t>
            </w:r>
          </w:p>
        </w:tc>
        <w:tc>
          <w:tcPr>
            <w:tcW w:w="3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59,200</w:t>
            </w:r>
          </w:p>
        </w:tc>
        <w:tc>
          <w:tcPr>
            <w:tcW w:w="4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61656A"/>
            </w:tcBorders>
          </w:tcPr>
          <w:p>
            <w:pPr>
              <w:jc w:val="right"/>
              <w:ind w:right="208"/>
              <w:spacing w:after="0"/>
              <w:rPr>
                <w:sz w:val="20"/>
                <w:szCs w:val="20"/>
                <w:color w:val="auto"/>
              </w:rPr>
            </w:pPr>
            <w:r>
              <w:rPr>
                <w:rFonts w:ascii="Arial" w:cs="Arial" w:eastAsia="Arial" w:hAnsi="Arial"/>
                <w:sz w:val="14"/>
                <w:szCs w:val="14"/>
                <w:color w:val="auto"/>
              </w:rPr>
              <w:t>56,000</w:t>
            </w: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61,500</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50,200</w:t>
            </w:r>
          </w:p>
        </w:tc>
      </w:tr>
      <w:tr>
        <w:trPr>
          <w:trHeight w:val="196"/>
        </w:trPr>
        <w:tc>
          <w:tcPr>
            <w:tcW w:w="6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Nonmalignant claims</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1,730</w:t>
            </w:r>
          </w:p>
        </w:tc>
        <w:tc>
          <w:tcPr>
            <w:tcW w:w="3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520</w:t>
            </w:r>
          </w:p>
        </w:tc>
        <w:tc>
          <w:tcPr>
            <w:tcW w:w="4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color w:val="auto"/>
              </w:rPr>
              <w:t>400</w:t>
            </w: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550</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3,900</w:t>
            </w:r>
          </w:p>
        </w:tc>
      </w:tr>
    </w:tbl>
    <w:p>
      <w:pPr>
        <w:spacing w:after="0" w:line="18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Consolidated Financial Statements reflect an estimated liability for resolution of asserted (claims filed as of the financial statement date) and unasserted Bendix-related asbestos claims, which exclude the Company’s ongoing legal fees to defend such asbestos claims which will continue to be expensed as they are incurred.</w:t>
      </w:r>
    </w:p>
    <w:p>
      <w:pPr>
        <w:spacing w:after="0" w:line="7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Company reflects the inclusion of all years of epidemiological disease projection through 2059 when estimating the liability for unasserted Bendix-related asbestos claims. Such liability for unasserted Bendix-related asbestos claims is based on historic and anticipated claims filing experience and dismissal rates, disease classifications, and average resolution values in the tort system over a defined look-back period. The Company historically valued Bendix asserted and unasserted claims using a five-year look-back period. The Company reviews the valuation assumptions and average resolution values used to estimate the cost of Bendix asserted and unasserted claims during the fourth quarter each year.</w:t>
      </w:r>
    </w:p>
    <w:p>
      <w:pPr>
        <w:spacing w:after="0" w:line="8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Company experienced fluctuations in average resolution values year-over-year in each of the past five years with no well-established trends in either direction. In 2023, the Company observed two consecutive years of increasing average resolution values (2023 and 2022), with more volatility in the earlier years of the five-year period (2019 through 2021). Based on these observations, the Company, during its annual review in the fourth quarter of 2023, reevaluated its valuation methodology and elected to give more weight to the two most recent years by shortening the look-back period from five years to two years (2023 and 2022). The Company believes that the average resolution values in the last two consecutive years are likely more representative of expected resolution values in future periods.</w:t>
      </w:r>
    </w:p>
    <w:p>
      <w:pPr>
        <w:spacing w:after="0" w:line="6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It is not possible to predict whether such resolution values will increase, decrease, or stabilize in the future, given recent litigation trends within the tort system and the inherent uncertainty in predicting the outcome of such trends. The Company will continue to monitor Bendix claim resolution values and other trends within the tort system to assess the appropriate look-back period for determining average resolution values going forward.</w:t>
      </w:r>
    </w:p>
    <w:p>
      <w:pPr>
        <w:spacing w:after="0" w:line="5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 2023, the Company recognized a $522 million expense and corresponding adjustment to its estimated liability for Bendix asbestos-related claims. This amount includes $434 million attributable primarily to shortening the look-back period to the two most recent years, and to a lesser extent to increasing expected resolution values for a subset of asserted claims to adjust for higher claim values in that subset than in the modelled two-year data set.</w:t>
      </w:r>
    </w:p>
    <w:p>
      <w:pPr>
        <w:spacing w:after="0" w:line="395" w:lineRule="exact"/>
        <w:rPr>
          <w:sz w:val="20"/>
          <w:szCs w:val="20"/>
          <w:color w:val="auto"/>
        </w:rPr>
      </w:pPr>
    </w:p>
    <w:p>
      <w:pPr>
        <w:ind w:left="400" w:hanging="392"/>
        <w:spacing w:after="0"/>
        <w:tabs>
          <w:tab w:leader="none" w:pos="400" w:val="left"/>
        </w:tabs>
        <w:numPr>
          <w:ilvl w:val="0"/>
          <w:numId w:val="24"/>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Company's insurance receivable corresponding to the liability for settlement of asserted and unasserted Bendix asbestos claims reflects coverage which is provided by a large number of insurance policies written by dozens of insurance companies in both the domestic insurance market and the London excess market. Based on the Company's ongoing analysis of the probable insurance recovery, insurance receivables are recorded in the financial statements simultaneous with the recording of the estimated liability for the underlying asbestos claims. This determination is based on the Company's analysis of the underlying insurance policies, historical experience with insurers, ongoing review of the solvency of insurers, judicial determinations relevant to insurance programs, and consideration of the impacts of any settlements reached with the Company's insurers.</w:t>
      </w:r>
    </w:p>
    <w:p>
      <w:pPr>
        <w:spacing w:after="0" w:line="20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SEC MATTER</w:t>
      </w:r>
    </w:p>
    <w:p>
      <w:pPr>
        <w:spacing w:after="0" w:line="12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Company is cooperating with a formal investigation by the Securities and Exchange Commission which is primarily focused on certain accounting matters with respect to the Company's former Performance Materials and Technologies segment. At this time, the Company does not expect the outcome of this matter to have a material adverse effect on the Company's consolidated results of operations, cash flows, or financial position.</w:t>
      </w:r>
    </w:p>
    <w:p>
      <w:pPr>
        <w:spacing w:after="0" w:line="19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PETROBRAS AND UNAOIL MATTERS</w:t>
      </w:r>
    </w:p>
    <w:p>
      <w:pPr>
        <w:spacing w:after="0" w:line="141"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On December 19, 2022, the Company reached a comprehensive resolution to the investigations by the U.S. Department of Justice (DOJ), the Securities and Exchange Commission (SEC), and certain Brazilian authorities (Brazilian Authorities) relating to the Company's use of third parties who previously worked for the Company's UOP business in Brazil in relation to a project awarded in 2010 for Petróleo Brasileiro S.A. (Petrobras). The investigations focused on the Company’s compliance with the U.S. Foreign Corrupt Practices Act and similar Brazilian laws (UOP Matters). The comprehensive resolution also resolves DOJ and SEC investigations relating to a matter involving a foreign subsidiary’s prior contract with Unaoil S.A.M. in Algeria executed in 2011 (the Unaoil Matter).</w:t>
      </w:r>
    </w:p>
    <w:p>
      <w:pPr>
        <w:spacing w:after="0" w:line="26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connection with the comprehensive resolution, (i) the Company agreed to pay a total equivalent of $202.7 million, which payment occurred in January 2023, to the DOJ, the SEC, and the Brazilian Authorities, collectively, in penalties, disgorgement, and prejudgment interest, (ii) the Company’s subsidiary, UOP, LLC (UOP), entered into a three-year Deferred Prosecution Agreement with the DOJ for charges related to the UOP Matters, (iii) UOP entered into leniency agreements with the Brazilian authorities related to the UOP Matter in Brazil, and (iv) the Company entered into an agreement with the SEC that resolves allegations relating to the UOP Matters and the Unaoil Matter. Pursuant to these agreements, the Company agreed to undertake certain compliance measures and compliance reporting obligations. These agreements entirely resolve the Petrobras and Unaoil investigations.</w:t>
      </w:r>
    </w:p>
    <w:p>
      <w:pPr>
        <w:spacing w:after="0" w:line="20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OTHER MATTERS</w:t>
      </w:r>
    </w:p>
    <w:p>
      <w:pPr>
        <w:spacing w:after="0" w:line="12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Company is subject to a number of other lawsuits, investigations, and disputes (some of which involve substantial amounts claimed) arising out of the conduct of the Company's business, including matters relating to commercial transactions, government contracts, product liability, prior acquisitions and divestitures, employee benefit plans, intellectual property, and environmental, health, and safety matters. The Company recognizes liabilities for any contingency that is probable of occurrence and reasonably estimable. The Company continually assesses the likelihood of adverse judgments or outcomes in such matters, as well as potential ranges of probable losses (taking into consideration any insurance recoveries), based on a careful analysis of each matter with the assistance of outside legal counsel and, if applicable, other experts.</w:t>
      </w:r>
    </w:p>
    <w:p>
      <w:pPr>
        <w:spacing w:after="0" w:line="82"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Given the uncertainty inherent in litigation and investigations, including those discussed in this Note 15, the Company cannot predict when or how these matters will be resolved and does not believe it is possible to develop estimates of reasonably possible loss (or a range of possible loss) in excess of current accruals for commitment and contingency matters. Considering the Company's past experience and existing accruals, the Company does not expect the outcome of such matters, either individually or in the aggregate, to have a material adverse effect on the Company's consolidated financial position. Because most contingencies are resolved over long periods of time, potential liabilities are subject to change due to new developments, changes in settlement strategy or the impact of evidentiary requirements, which could cause the Company to pay damage awards or settlements (or become subject to equitable remedies) that could have a material adverse effect on the Company's consolidated results of operations or operating cash flows in the periods recognized or paid.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00" w:hanging="392"/>
        <w:spacing w:after="0"/>
        <w:tabs>
          <w:tab w:leader="none" w:pos="400" w:val="left"/>
        </w:tabs>
        <w:numPr>
          <w:ilvl w:val="0"/>
          <w:numId w:val="25"/>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9"/>
          <w:szCs w:val="29"/>
          <w:color w:val="D7282F"/>
        </w:rPr>
        <w:t>NOTE 16. PENSION BENEFITS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Net periodic pension benefit (income) cost for the Company's significant pension plans included the following components: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280" w:type="dxa"/>
            <w:vAlign w:val="bottom"/>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1180" w:type="dxa"/>
            <w:vAlign w:val="bottom"/>
            <w:tcBorders>
              <w:bottom w:val="single" w:sz="8" w:color="D7282F"/>
            </w:tcBorders>
            <w:gridSpan w:val="2"/>
          </w:tcPr>
          <w:p>
            <w:pPr>
              <w:jc w:val="center"/>
              <w:ind w:left="348"/>
              <w:spacing w:after="0"/>
              <w:rPr>
                <w:sz w:val="20"/>
                <w:szCs w:val="20"/>
                <w:color w:val="auto"/>
              </w:rPr>
            </w:pPr>
            <w:r>
              <w:rPr>
                <w:rFonts w:ascii="Arial" w:cs="Arial" w:eastAsia="Arial" w:hAnsi="Arial"/>
                <w:sz w:val="14"/>
                <w:szCs w:val="14"/>
                <w:b w:val="1"/>
                <w:bCs w:val="1"/>
                <w:color w:val="auto"/>
              </w:rPr>
              <w:t>U.S. Plans</w:t>
            </w:r>
          </w:p>
        </w:tc>
        <w:tc>
          <w:tcPr>
            <w:tcW w:w="600" w:type="dxa"/>
            <w:vAlign w:val="bottom"/>
            <w:tcBorders>
              <w:bottom w:val="single" w:sz="8" w:color="D7282F"/>
            </w:tcBorders>
          </w:tcPr>
          <w:p>
            <w:pPr>
              <w:spacing w:after="0"/>
              <w:rPr>
                <w:sz w:val="17"/>
                <w:szCs w:val="17"/>
                <w:color w:val="auto"/>
              </w:rPr>
            </w:pPr>
          </w:p>
        </w:tc>
      </w:tr>
      <w:tr>
        <w:trPr>
          <w:trHeight w:val="174"/>
        </w:trPr>
        <w:tc>
          <w:tcPr>
            <w:tcW w:w="9280" w:type="dxa"/>
            <w:vAlign w:val="bottom"/>
          </w:tcPr>
          <w:p>
            <w:pPr>
              <w:spacing w:after="0"/>
              <w:rPr>
                <w:sz w:val="15"/>
                <w:szCs w:val="15"/>
                <w:color w:val="auto"/>
              </w:rPr>
            </w:pPr>
          </w:p>
        </w:tc>
        <w:tc>
          <w:tcPr>
            <w:tcW w:w="1960" w:type="dxa"/>
            <w:vAlign w:val="bottom"/>
            <w:gridSpan w:val="4"/>
          </w:tcPr>
          <w:p>
            <w:pPr>
              <w:ind w:left="40"/>
              <w:spacing w:after="0"/>
              <w:rPr>
                <w:sz w:val="20"/>
                <w:szCs w:val="20"/>
                <w:color w:val="auto"/>
              </w:rPr>
            </w:pPr>
            <w:r>
              <w:rPr>
                <w:rFonts w:ascii="Arial" w:cs="Arial" w:eastAsia="Arial" w:hAnsi="Arial"/>
                <w:sz w:val="14"/>
                <w:szCs w:val="14"/>
                <w:b w:val="1"/>
                <w:bCs w:val="1"/>
                <w:color w:val="auto"/>
              </w:rPr>
              <w:t>Three Months Ended March</w:t>
            </w:r>
          </w:p>
        </w:tc>
      </w:tr>
      <w:tr>
        <w:trPr>
          <w:trHeight w:val="185"/>
        </w:trPr>
        <w:tc>
          <w:tcPr>
            <w:tcW w:w="9280" w:type="dxa"/>
            <w:vAlign w:val="bottom"/>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spacing w:after="0"/>
              <w:rPr>
                <w:sz w:val="16"/>
                <w:szCs w:val="16"/>
                <w:color w:val="auto"/>
              </w:rPr>
            </w:pPr>
          </w:p>
        </w:tc>
        <w:tc>
          <w:tcPr>
            <w:tcW w:w="500" w:type="dxa"/>
            <w:vAlign w:val="bottom"/>
            <w:tcBorders>
              <w:bottom w:val="single" w:sz="8" w:color="D7282F"/>
            </w:tcBorders>
          </w:tcPr>
          <w:p>
            <w:pPr>
              <w:jc w:val="center"/>
              <w:ind w:right="188"/>
              <w:spacing w:after="0"/>
              <w:rPr>
                <w:sz w:val="20"/>
                <w:szCs w:val="20"/>
                <w:color w:val="auto"/>
              </w:rPr>
            </w:pPr>
            <w:r>
              <w:rPr>
                <w:rFonts w:ascii="Arial" w:cs="Arial" w:eastAsia="Arial" w:hAnsi="Arial"/>
                <w:sz w:val="14"/>
                <w:szCs w:val="14"/>
                <w:b w:val="1"/>
                <w:bCs w:val="1"/>
                <w:color w:val="auto"/>
              </w:rPr>
              <w:t>31,</w:t>
            </w:r>
          </w:p>
        </w:tc>
        <w:tc>
          <w:tcPr>
            <w:tcW w:w="600" w:type="dxa"/>
            <w:vAlign w:val="bottom"/>
            <w:tcBorders>
              <w:bottom w:val="single" w:sz="8" w:color="D7282F"/>
            </w:tcBorders>
          </w:tcPr>
          <w:p>
            <w:pPr>
              <w:spacing w:after="0"/>
              <w:rPr>
                <w:sz w:val="16"/>
                <w:szCs w:val="16"/>
                <w:color w:val="auto"/>
              </w:rPr>
            </w:pPr>
          </w:p>
        </w:tc>
      </w:tr>
      <w:tr>
        <w:trPr>
          <w:trHeight w:val="235"/>
        </w:trPr>
        <w:tc>
          <w:tcPr>
            <w:tcW w:w="9280" w:type="dxa"/>
            <w:vAlign w:val="bottom"/>
            <w:tcBorders>
              <w:bottom w:val="single" w:sz="8" w:color="D7282F"/>
            </w:tcBorders>
          </w:tcPr>
          <w:p>
            <w:pPr>
              <w:spacing w:after="0"/>
              <w:rPr>
                <w:sz w:val="20"/>
                <w:szCs w:val="20"/>
                <w:color w:val="auto"/>
              </w:rPr>
            </w:pPr>
          </w:p>
        </w:tc>
        <w:tc>
          <w:tcPr>
            <w:tcW w:w="180" w:type="dxa"/>
            <w:vAlign w:val="bottom"/>
            <w:tcBorders>
              <w:bottom w:val="single" w:sz="8" w:color="D7282F"/>
            </w:tcBorders>
          </w:tcPr>
          <w:p>
            <w:pPr>
              <w:spacing w:after="0"/>
              <w:rPr>
                <w:sz w:val="20"/>
                <w:szCs w:val="20"/>
                <w:color w:val="auto"/>
              </w:rPr>
            </w:pPr>
          </w:p>
        </w:tc>
        <w:tc>
          <w:tcPr>
            <w:tcW w:w="68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b w:val="1"/>
                <w:bCs w:val="1"/>
                <w:color w:val="auto"/>
              </w:rPr>
              <w:t>2024</w:t>
            </w:r>
          </w:p>
        </w:tc>
        <w:tc>
          <w:tcPr>
            <w:tcW w:w="500" w:type="dxa"/>
            <w:vAlign w:val="bottom"/>
            <w:tcBorders>
              <w:bottom w:val="single" w:sz="8" w:color="D7282F"/>
            </w:tcBorders>
          </w:tcPr>
          <w:p>
            <w:pPr>
              <w:spacing w:after="0"/>
              <w:rPr>
                <w:sz w:val="20"/>
                <w:szCs w:val="20"/>
                <w:color w:val="auto"/>
              </w:rPr>
            </w:pPr>
          </w:p>
        </w:tc>
        <w:tc>
          <w:tcPr>
            <w:tcW w:w="60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w w:val="96"/>
              </w:rPr>
              <w:t>2023</w:t>
            </w:r>
          </w:p>
        </w:tc>
      </w:tr>
      <w:tr>
        <w:trPr>
          <w:trHeight w:val="193"/>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Service cost</w:t>
            </w:r>
          </w:p>
        </w:tc>
        <w:tc>
          <w:tcPr>
            <w:tcW w:w="1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w:t>
            </w:r>
          </w:p>
        </w:tc>
        <w:tc>
          <w:tcPr>
            <w:tcW w:w="5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w:t>
            </w:r>
          </w:p>
        </w:tc>
      </w:tr>
      <w:tr>
        <w:trPr>
          <w:trHeight w:val="196"/>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Interest cost</w:t>
            </w:r>
          </w:p>
        </w:tc>
        <w:tc>
          <w:tcPr>
            <w:tcW w:w="18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150</w:t>
            </w:r>
          </w:p>
        </w:tc>
        <w:tc>
          <w:tcPr>
            <w:tcW w:w="50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161</w:t>
            </w:r>
          </w:p>
        </w:tc>
      </w:tr>
      <w:tr>
        <w:trPr>
          <w:trHeight w:val="196"/>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Expected return on plan assets</w:t>
            </w:r>
          </w:p>
        </w:tc>
        <w:tc>
          <w:tcPr>
            <w:tcW w:w="18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(281)</w:t>
            </w:r>
          </w:p>
        </w:tc>
        <w:tc>
          <w:tcPr>
            <w:tcW w:w="50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(278)</w:t>
            </w:r>
          </w:p>
        </w:tc>
      </w:tr>
      <w:tr>
        <w:trPr>
          <w:trHeight w:val="196"/>
        </w:trPr>
        <w:tc>
          <w:tcPr>
            <w:tcW w:w="92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Amortization of prior service (credit) cost</w:t>
            </w:r>
          </w:p>
        </w:tc>
        <w:tc>
          <w:tcPr>
            <w:tcW w:w="18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w:t>
            </w:r>
          </w:p>
        </w:tc>
        <w:tc>
          <w:tcPr>
            <w:tcW w:w="5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(10)</w:t>
            </w:r>
          </w:p>
        </w:tc>
      </w:tr>
      <w:tr>
        <w:trPr>
          <w:trHeight w:val="199"/>
        </w:trPr>
        <w:tc>
          <w:tcPr>
            <w:tcW w:w="92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Net periodic benefit income</w:t>
            </w:r>
          </w:p>
        </w:tc>
        <w:tc>
          <w:tcPr>
            <w:tcW w:w="1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(126)</w:t>
            </w:r>
          </w:p>
        </w:tc>
        <w:tc>
          <w:tcPr>
            <w:tcW w:w="5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(120)</w:t>
            </w:r>
          </w:p>
        </w:tc>
      </w:tr>
      <w:tr>
        <w:trPr>
          <w:trHeight w:val="479"/>
        </w:trPr>
        <w:tc>
          <w:tcPr>
            <w:tcW w:w="9280" w:type="dxa"/>
            <w:vAlign w:val="bottom"/>
          </w:tcPr>
          <w:p>
            <w:pPr>
              <w:spacing w:after="0"/>
              <w:rPr>
                <w:sz w:val="24"/>
                <w:szCs w:val="24"/>
                <w:color w:val="auto"/>
              </w:rPr>
            </w:pPr>
          </w:p>
        </w:tc>
        <w:tc>
          <w:tcPr>
            <w:tcW w:w="180" w:type="dxa"/>
            <w:vAlign w:val="bottom"/>
            <w:tcBorders>
              <w:bottom w:val="single" w:sz="8" w:color="D7282F"/>
            </w:tcBorders>
          </w:tcPr>
          <w:p>
            <w:pPr>
              <w:spacing w:after="0"/>
              <w:rPr>
                <w:sz w:val="24"/>
                <w:szCs w:val="24"/>
                <w:color w:val="auto"/>
              </w:rPr>
            </w:pPr>
          </w:p>
        </w:tc>
        <w:tc>
          <w:tcPr>
            <w:tcW w:w="1780" w:type="dxa"/>
            <w:vAlign w:val="bottom"/>
            <w:tcBorders>
              <w:bottom w:val="single" w:sz="8" w:color="D7282F"/>
            </w:tcBorders>
            <w:gridSpan w:val="3"/>
          </w:tcPr>
          <w:p>
            <w:pPr>
              <w:jc w:val="center"/>
              <w:ind w:right="108"/>
              <w:spacing w:after="0"/>
              <w:rPr>
                <w:sz w:val="20"/>
                <w:szCs w:val="20"/>
                <w:color w:val="auto"/>
              </w:rPr>
            </w:pPr>
            <w:r>
              <w:rPr>
                <w:rFonts w:ascii="Arial" w:cs="Arial" w:eastAsia="Arial" w:hAnsi="Arial"/>
                <w:sz w:val="14"/>
                <w:szCs w:val="14"/>
                <w:b w:val="1"/>
                <w:bCs w:val="1"/>
                <w:color w:val="auto"/>
              </w:rPr>
              <w:t>Non-U.S. Plans</w:t>
            </w:r>
          </w:p>
        </w:tc>
      </w:tr>
      <w:tr>
        <w:trPr>
          <w:trHeight w:val="174"/>
        </w:trPr>
        <w:tc>
          <w:tcPr>
            <w:tcW w:w="9280" w:type="dxa"/>
            <w:vAlign w:val="bottom"/>
          </w:tcPr>
          <w:p>
            <w:pPr>
              <w:spacing w:after="0"/>
              <w:rPr>
                <w:sz w:val="15"/>
                <w:szCs w:val="15"/>
                <w:color w:val="auto"/>
              </w:rPr>
            </w:pPr>
          </w:p>
        </w:tc>
        <w:tc>
          <w:tcPr>
            <w:tcW w:w="1960" w:type="dxa"/>
            <w:vAlign w:val="bottom"/>
            <w:gridSpan w:val="4"/>
          </w:tcPr>
          <w:p>
            <w:pPr>
              <w:ind w:left="40"/>
              <w:spacing w:after="0"/>
              <w:rPr>
                <w:sz w:val="20"/>
                <w:szCs w:val="20"/>
                <w:color w:val="auto"/>
              </w:rPr>
            </w:pPr>
            <w:r>
              <w:rPr>
                <w:rFonts w:ascii="Arial" w:cs="Arial" w:eastAsia="Arial" w:hAnsi="Arial"/>
                <w:sz w:val="14"/>
                <w:szCs w:val="14"/>
                <w:b w:val="1"/>
                <w:bCs w:val="1"/>
                <w:color w:val="auto"/>
              </w:rPr>
              <w:t>Three Months Ended March</w:t>
            </w:r>
          </w:p>
        </w:tc>
      </w:tr>
      <w:tr>
        <w:trPr>
          <w:trHeight w:val="185"/>
        </w:trPr>
        <w:tc>
          <w:tcPr>
            <w:tcW w:w="9280" w:type="dxa"/>
            <w:vAlign w:val="bottom"/>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spacing w:after="0"/>
              <w:rPr>
                <w:sz w:val="16"/>
                <w:szCs w:val="16"/>
                <w:color w:val="auto"/>
              </w:rPr>
            </w:pPr>
          </w:p>
        </w:tc>
        <w:tc>
          <w:tcPr>
            <w:tcW w:w="500" w:type="dxa"/>
            <w:vAlign w:val="bottom"/>
            <w:tcBorders>
              <w:bottom w:val="single" w:sz="8" w:color="D7282F"/>
            </w:tcBorders>
          </w:tcPr>
          <w:p>
            <w:pPr>
              <w:jc w:val="center"/>
              <w:ind w:right="188"/>
              <w:spacing w:after="0"/>
              <w:rPr>
                <w:sz w:val="20"/>
                <w:szCs w:val="20"/>
                <w:color w:val="auto"/>
              </w:rPr>
            </w:pPr>
            <w:r>
              <w:rPr>
                <w:rFonts w:ascii="Arial" w:cs="Arial" w:eastAsia="Arial" w:hAnsi="Arial"/>
                <w:sz w:val="14"/>
                <w:szCs w:val="14"/>
                <w:b w:val="1"/>
                <w:bCs w:val="1"/>
                <w:color w:val="auto"/>
              </w:rPr>
              <w:t>31,</w:t>
            </w:r>
          </w:p>
        </w:tc>
        <w:tc>
          <w:tcPr>
            <w:tcW w:w="600" w:type="dxa"/>
            <w:vAlign w:val="bottom"/>
            <w:tcBorders>
              <w:bottom w:val="single" w:sz="8" w:color="D7282F"/>
            </w:tcBorders>
          </w:tcPr>
          <w:p>
            <w:pPr>
              <w:spacing w:after="0"/>
              <w:rPr>
                <w:sz w:val="16"/>
                <w:szCs w:val="16"/>
                <w:color w:val="auto"/>
              </w:rPr>
            </w:pPr>
          </w:p>
        </w:tc>
      </w:tr>
      <w:tr>
        <w:trPr>
          <w:trHeight w:val="235"/>
        </w:trPr>
        <w:tc>
          <w:tcPr>
            <w:tcW w:w="9280" w:type="dxa"/>
            <w:vAlign w:val="bottom"/>
            <w:tcBorders>
              <w:bottom w:val="single" w:sz="8" w:color="D7282F"/>
            </w:tcBorders>
          </w:tcPr>
          <w:p>
            <w:pPr>
              <w:spacing w:after="0"/>
              <w:rPr>
                <w:sz w:val="20"/>
                <w:szCs w:val="20"/>
                <w:color w:val="auto"/>
              </w:rPr>
            </w:pPr>
          </w:p>
        </w:tc>
        <w:tc>
          <w:tcPr>
            <w:tcW w:w="180" w:type="dxa"/>
            <w:vAlign w:val="bottom"/>
            <w:tcBorders>
              <w:bottom w:val="single" w:sz="8" w:color="D7282F"/>
            </w:tcBorders>
          </w:tcPr>
          <w:p>
            <w:pPr>
              <w:spacing w:after="0"/>
              <w:rPr>
                <w:sz w:val="20"/>
                <w:szCs w:val="20"/>
                <w:color w:val="auto"/>
              </w:rPr>
            </w:pPr>
          </w:p>
        </w:tc>
        <w:tc>
          <w:tcPr>
            <w:tcW w:w="68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b w:val="1"/>
                <w:bCs w:val="1"/>
                <w:color w:val="auto"/>
              </w:rPr>
              <w:t>2024</w:t>
            </w:r>
          </w:p>
        </w:tc>
        <w:tc>
          <w:tcPr>
            <w:tcW w:w="500" w:type="dxa"/>
            <w:vAlign w:val="bottom"/>
            <w:tcBorders>
              <w:bottom w:val="single" w:sz="8" w:color="D7282F"/>
            </w:tcBorders>
          </w:tcPr>
          <w:p>
            <w:pPr>
              <w:spacing w:after="0"/>
              <w:rPr>
                <w:sz w:val="20"/>
                <w:szCs w:val="20"/>
                <w:color w:val="auto"/>
              </w:rPr>
            </w:pPr>
          </w:p>
        </w:tc>
        <w:tc>
          <w:tcPr>
            <w:tcW w:w="60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w w:val="96"/>
              </w:rPr>
              <w:t>2023</w:t>
            </w:r>
          </w:p>
        </w:tc>
      </w:tr>
      <w:tr>
        <w:trPr>
          <w:trHeight w:val="193"/>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Service cost</w:t>
            </w:r>
          </w:p>
        </w:tc>
        <w:tc>
          <w:tcPr>
            <w:tcW w:w="1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w:t>
            </w:r>
          </w:p>
        </w:tc>
        <w:tc>
          <w:tcPr>
            <w:tcW w:w="5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w:t>
            </w:r>
          </w:p>
        </w:tc>
      </w:tr>
      <w:tr>
        <w:trPr>
          <w:trHeight w:val="196"/>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Interest cost</w:t>
            </w:r>
          </w:p>
        </w:tc>
        <w:tc>
          <w:tcPr>
            <w:tcW w:w="18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47</w:t>
            </w:r>
          </w:p>
        </w:tc>
        <w:tc>
          <w:tcPr>
            <w:tcW w:w="50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49</w:t>
            </w:r>
          </w:p>
        </w:tc>
      </w:tr>
      <w:tr>
        <w:trPr>
          <w:trHeight w:val="196"/>
        </w:trPr>
        <w:tc>
          <w:tcPr>
            <w:tcW w:w="9280" w:type="dxa"/>
            <w:vAlign w:val="bottom"/>
            <w:tcBorders>
              <w:bottom w:val="single" w:sz="8" w:color="DC202E"/>
            </w:tcBorders>
          </w:tcPr>
          <w:p>
            <w:pPr>
              <w:ind w:left="20"/>
              <w:spacing w:after="0"/>
              <w:rPr>
                <w:sz w:val="20"/>
                <w:szCs w:val="20"/>
                <w:color w:val="auto"/>
              </w:rPr>
            </w:pPr>
            <w:r>
              <w:rPr>
                <w:rFonts w:ascii="Arial" w:cs="Arial" w:eastAsia="Arial" w:hAnsi="Arial"/>
                <w:sz w:val="14"/>
                <w:szCs w:val="14"/>
                <w:color w:val="auto"/>
              </w:rPr>
              <w:t>Expected return on plan assets</w:t>
            </w:r>
          </w:p>
        </w:tc>
        <w:tc>
          <w:tcPr>
            <w:tcW w:w="180" w:type="dxa"/>
            <w:vAlign w:val="bottom"/>
            <w:tcBorders>
              <w:bottom w:val="single" w:sz="8" w:color="DC202E"/>
            </w:tcBorders>
          </w:tcPr>
          <w:p>
            <w:pPr>
              <w:spacing w:after="0"/>
              <w:rPr>
                <w:sz w:val="17"/>
                <w:szCs w:val="17"/>
                <w:color w:val="auto"/>
              </w:rPr>
            </w:pPr>
          </w:p>
        </w:tc>
        <w:tc>
          <w:tcPr>
            <w:tcW w:w="680" w:type="dxa"/>
            <w:vAlign w:val="bottom"/>
            <w:tcBorders>
              <w:bottom w:val="single" w:sz="8" w:color="DC202E"/>
            </w:tcBorders>
          </w:tcPr>
          <w:p>
            <w:pPr>
              <w:jc w:val="right"/>
              <w:spacing w:after="0"/>
              <w:rPr>
                <w:sz w:val="20"/>
                <w:szCs w:val="20"/>
                <w:color w:val="auto"/>
              </w:rPr>
            </w:pPr>
            <w:r>
              <w:rPr>
                <w:rFonts w:ascii="Arial" w:cs="Arial" w:eastAsia="Arial" w:hAnsi="Arial"/>
                <w:sz w:val="14"/>
                <w:szCs w:val="14"/>
                <w:color w:val="auto"/>
              </w:rPr>
              <w:t>(74)</w:t>
            </w:r>
          </w:p>
        </w:tc>
        <w:tc>
          <w:tcPr>
            <w:tcW w:w="500" w:type="dxa"/>
            <w:vAlign w:val="bottom"/>
            <w:tcBorders>
              <w:bottom w:val="single" w:sz="8" w:color="DC202E"/>
            </w:tcBorders>
          </w:tcPr>
          <w:p>
            <w:pPr>
              <w:spacing w:after="0"/>
              <w:rPr>
                <w:sz w:val="17"/>
                <w:szCs w:val="17"/>
                <w:color w:val="auto"/>
              </w:rPr>
            </w:pPr>
          </w:p>
        </w:tc>
        <w:tc>
          <w:tcPr>
            <w:tcW w:w="600" w:type="dxa"/>
            <w:vAlign w:val="bottom"/>
            <w:tcBorders>
              <w:bottom w:val="single" w:sz="8" w:color="DC202E"/>
            </w:tcBorders>
          </w:tcPr>
          <w:p>
            <w:pPr>
              <w:jc w:val="right"/>
              <w:spacing w:after="0"/>
              <w:rPr>
                <w:sz w:val="20"/>
                <w:szCs w:val="20"/>
                <w:color w:val="auto"/>
              </w:rPr>
            </w:pPr>
            <w:r>
              <w:rPr>
                <w:rFonts w:ascii="Arial" w:cs="Arial" w:eastAsia="Arial" w:hAnsi="Arial"/>
                <w:sz w:val="14"/>
                <w:szCs w:val="14"/>
                <w:color w:val="auto"/>
              </w:rPr>
              <w:t>(67)</w:t>
            </w:r>
          </w:p>
        </w:tc>
      </w:tr>
      <w:tr>
        <w:trPr>
          <w:trHeight w:val="199"/>
        </w:trPr>
        <w:tc>
          <w:tcPr>
            <w:tcW w:w="9280" w:type="dxa"/>
            <w:vAlign w:val="bottom"/>
            <w:tcBorders>
              <w:bottom w:val="single" w:sz="8" w:color="DC202E"/>
            </w:tcBorders>
          </w:tcPr>
          <w:p>
            <w:pPr>
              <w:ind w:left="140"/>
              <w:spacing w:after="0"/>
              <w:rPr>
                <w:sz w:val="20"/>
                <w:szCs w:val="20"/>
                <w:color w:val="auto"/>
              </w:rPr>
            </w:pPr>
            <w:r>
              <w:rPr>
                <w:rFonts w:ascii="Arial" w:cs="Arial" w:eastAsia="Arial" w:hAnsi="Arial"/>
                <w:sz w:val="14"/>
                <w:szCs w:val="14"/>
                <w:b w:val="1"/>
                <w:bCs w:val="1"/>
                <w:color w:val="auto"/>
              </w:rPr>
              <w:t>Net periodic benefit income</w:t>
            </w:r>
          </w:p>
        </w:tc>
        <w:tc>
          <w:tcPr>
            <w:tcW w:w="180" w:type="dxa"/>
            <w:vAlign w:val="bottom"/>
            <w:tcBorders>
              <w:bottom w:val="single" w:sz="8" w:color="DC202E"/>
            </w:tcBorders>
          </w:tcPr>
          <w:p>
            <w:pPr>
              <w:ind w:left="20"/>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(24)</w:t>
            </w:r>
          </w:p>
        </w:tc>
        <w:tc>
          <w:tcPr>
            <w:tcW w:w="500" w:type="dxa"/>
            <w:vAlign w:val="bottom"/>
            <w:tcBorders>
              <w:bottom w:val="single" w:sz="8" w:color="DC202E"/>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(15)</w:t>
            </w:r>
          </w:p>
        </w:tc>
      </w:tr>
    </w:tbl>
    <w:p>
      <w:pPr>
        <w:spacing w:after="0" w:line="346" w:lineRule="exact"/>
        <w:rPr>
          <w:sz w:val="20"/>
          <w:szCs w:val="20"/>
          <w:color w:val="auto"/>
        </w:rPr>
      </w:pPr>
    </w:p>
    <w:p>
      <w:pPr>
        <w:spacing w:after="0"/>
        <w:rPr>
          <w:sz w:val="20"/>
          <w:szCs w:val="20"/>
          <w:color w:val="auto"/>
        </w:rPr>
      </w:pPr>
      <w:r>
        <w:rPr>
          <w:rFonts w:ascii="Arial" w:cs="Arial" w:eastAsia="Arial" w:hAnsi="Arial"/>
          <w:sz w:val="29"/>
          <w:szCs w:val="29"/>
          <w:color w:val="D7282F"/>
        </w:rPr>
        <w:t>NOTE 17. OTHER (INCOME) EXPENSE</w:t>
      </w:r>
    </w:p>
    <w:p>
      <w:pPr>
        <w:spacing w:after="0" w:line="285" w:lineRule="exact"/>
        <w:rPr>
          <w:sz w:val="20"/>
          <w:szCs w:val="20"/>
          <w:color w:val="auto"/>
        </w:rPr>
      </w:pPr>
    </w:p>
    <w:p>
      <w:pPr>
        <w:jc w:val="center"/>
        <w:ind w:left="9260"/>
        <w:spacing w:after="0"/>
        <w:rPr>
          <w:sz w:val="20"/>
          <w:szCs w:val="20"/>
          <w:color w:val="auto"/>
        </w:rPr>
      </w:pPr>
      <w:r>
        <w:rPr>
          <w:rFonts w:ascii="Arial" w:cs="Arial" w:eastAsia="Arial" w:hAnsi="Arial"/>
          <w:sz w:val="14"/>
          <w:szCs w:val="14"/>
          <w:b w:val="1"/>
          <w:bCs w:val="1"/>
          <w:color w:val="auto"/>
        </w:rPr>
        <w:t>Three Months Ended March</w:t>
      </w:r>
    </w:p>
    <w:p>
      <w:pPr>
        <w:jc w:val="center"/>
        <w:ind w:left="9260"/>
        <w:spacing w:after="0"/>
        <w:rPr>
          <w:sz w:val="20"/>
          <w:szCs w:val="20"/>
          <w:color w:val="auto"/>
        </w:rPr>
      </w:pPr>
      <w:r>
        <w:rPr>
          <w:rFonts w:ascii="Arial" w:cs="Arial" w:eastAsia="Arial" w:hAnsi="Arial"/>
          <w:sz w:val="14"/>
          <w:szCs w:val="14"/>
          <w:b w:val="1"/>
          <w:bCs w:val="1"/>
          <w:color w:val="auto"/>
        </w:rPr>
        <w:t>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280" w:type="dxa"/>
            <w:vAlign w:val="bottom"/>
            <w:tcBorders>
              <w:bottom w:val="single" w:sz="8" w:color="D7282F"/>
            </w:tcBorders>
          </w:tcPr>
          <w:p>
            <w:pPr>
              <w:spacing w:after="0"/>
              <w:rPr>
                <w:sz w:val="17"/>
                <w:szCs w:val="17"/>
                <w:color w:val="auto"/>
              </w:rPr>
            </w:pPr>
          </w:p>
        </w:tc>
        <w:tc>
          <w:tcPr>
            <w:tcW w:w="180" w:type="dxa"/>
            <w:vAlign w:val="bottom"/>
            <w:tcBorders>
              <w:top w:val="single" w:sz="8" w:color="D7282F"/>
              <w:bottom w:val="single" w:sz="8" w:color="D7282F"/>
            </w:tcBorders>
          </w:tcPr>
          <w:p>
            <w:pPr>
              <w:spacing w:after="0"/>
              <w:rPr>
                <w:sz w:val="17"/>
                <w:szCs w:val="17"/>
                <w:color w:val="auto"/>
              </w:rPr>
            </w:pPr>
          </w:p>
        </w:tc>
        <w:tc>
          <w:tcPr>
            <w:tcW w:w="800" w:type="dxa"/>
            <w:vAlign w:val="bottom"/>
            <w:tcBorders>
              <w:top w:val="single" w:sz="8" w:color="D7282F"/>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2024</w:t>
            </w:r>
          </w:p>
        </w:tc>
        <w:tc>
          <w:tcPr>
            <w:tcW w:w="300" w:type="dxa"/>
            <w:vAlign w:val="bottom"/>
            <w:tcBorders>
              <w:top w:val="single" w:sz="8" w:color="D7282F"/>
              <w:bottom w:val="single" w:sz="8" w:color="D7282F"/>
            </w:tcBorders>
          </w:tcPr>
          <w:p>
            <w:pPr>
              <w:spacing w:after="0"/>
              <w:rPr>
                <w:sz w:val="17"/>
                <w:szCs w:val="17"/>
                <w:color w:val="auto"/>
              </w:rPr>
            </w:pPr>
          </w:p>
        </w:tc>
        <w:tc>
          <w:tcPr>
            <w:tcW w:w="680" w:type="dxa"/>
            <w:vAlign w:val="bottom"/>
            <w:tcBorders>
              <w:top w:val="single" w:sz="8" w:color="D7282F"/>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2023</w:t>
            </w:r>
          </w:p>
        </w:tc>
      </w:tr>
      <w:tr>
        <w:trPr>
          <w:trHeight w:val="193"/>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Interest income</w:t>
            </w: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(105)</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(76)</w:t>
            </w:r>
          </w:p>
        </w:tc>
      </w:tr>
      <w:tr>
        <w:trPr>
          <w:trHeight w:val="196"/>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Pension ongoing income—non-service</w:t>
            </w: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(161)</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(146)</w:t>
            </w:r>
          </w:p>
        </w:tc>
      </w:tr>
      <w:tr>
        <w:trPr>
          <w:trHeight w:val="196"/>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Other postretirement income—non-service</w:t>
            </w: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(6)</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w:t>
            </w:r>
          </w:p>
        </w:tc>
      </w:tr>
      <w:tr>
        <w:trPr>
          <w:trHeight w:val="196"/>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Equity income of affiliated companies</w:t>
            </w: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(16)</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(35)</w:t>
            </w:r>
          </w:p>
        </w:tc>
      </w:tr>
      <w:tr>
        <w:trPr>
          <w:trHeight w:val="196"/>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Foreign exchange loss</w:t>
            </w: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26</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w:t>
            </w:r>
          </w:p>
        </w:tc>
      </w:tr>
      <w:tr>
        <w:trPr>
          <w:trHeight w:val="196"/>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Expense (benefit) related to Russia-Ukraine Conflict</w:t>
            </w: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17</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w:t>
            </w:r>
          </w:p>
        </w:tc>
      </w:tr>
      <w:tr>
        <w:trPr>
          <w:trHeight w:val="196"/>
        </w:trPr>
        <w:tc>
          <w:tcPr>
            <w:tcW w:w="92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Other, net</w:t>
            </w: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14</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w:t>
            </w:r>
          </w:p>
        </w:tc>
      </w:tr>
      <w:tr>
        <w:trPr>
          <w:trHeight w:val="199"/>
        </w:trPr>
        <w:tc>
          <w:tcPr>
            <w:tcW w:w="92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Other (income) expense</w:t>
            </w: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(231)</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(260)</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See Note 5 Repositioning and Other Charges for further discussion of the expense related to the Russia-Ukraine Conflict.</w:t>
      </w:r>
    </w:p>
    <w:p>
      <w:pPr>
        <w:spacing w:after="0" w:line="200" w:lineRule="exact"/>
        <w:rPr>
          <w:sz w:val="20"/>
          <w:szCs w:val="20"/>
          <w:color w:val="auto"/>
        </w:rPr>
      </w:pPr>
    </w:p>
    <w:p>
      <w:pPr>
        <w:spacing w:after="0" w:line="266" w:lineRule="exact"/>
        <w:rPr>
          <w:sz w:val="20"/>
          <w:szCs w:val="20"/>
          <w:color w:val="auto"/>
        </w:rPr>
      </w:pPr>
    </w:p>
    <w:p>
      <w:pPr>
        <w:ind w:left="400" w:hanging="392"/>
        <w:spacing w:after="0"/>
        <w:tabs>
          <w:tab w:leader="none" w:pos="400" w:val="left"/>
        </w:tabs>
        <w:numPr>
          <w:ilvl w:val="0"/>
          <w:numId w:val="26"/>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9"/>
          <w:szCs w:val="29"/>
          <w:color w:val="D7282F"/>
        </w:rPr>
        <w:t>NOTE 18. SEGMENT FINANCIAL DATA</w:t>
      </w:r>
    </w:p>
    <w:p>
      <w:pPr>
        <w:spacing w:after="0" w:line="252"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Honeywell globally manages its business operations through four reportable business segments. Segment information is consistent with how management reviews the businesses, makes investing and resource allocation decisions, and assesses operating performance.</w:t>
      </w:r>
    </w:p>
    <w:p>
      <w:pPr>
        <w:spacing w:after="0" w:line="6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Honeywell’s senior management evaluates segment performance based on segment profit. Each segment’s profit is measured as segment income (loss) before taxes excluding general corporate unallocated expense, interest and other financial charges, stock compensation expense, pension and other postretirement income (expense), repositioning and other charges, and other items within Other (income) expense.</w:t>
      </w:r>
    </w:p>
    <w:p>
      <w:pPr>
        <w:spacing w:after="0" w:line="7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Effective during the first quarter of 2024, the Company realigned certain of its business units comprising its historical Performance Materials and Technologies and Safety and Productivity Solutions reportable business segments by forming two new reportable business segments: Industrial Automation and Energy and Sustainability Solutions. Industrial Automation includes Sensing and Safety Technologies, Productivity Solutions and Services, and Warehouse and Workflow Solutions, previously included in Safety and Productivity Solutions, in addition to Process Solutions, previously included in Performance Materials and Technologies. Energy and Sustainability Solutions includes UOP and Advanced Materials, previously included in Performance Materials and Technologies. Further, as part of the realignment, the Company renamed its historical Aerospace and Honeywell Building Technologies reportable business segments to Aerospace Technologies and Building Automation, respectively. This realignment had no impact on the Company’s historical consolidated financial position, results of operations, or cash flows. Prior period amounts have been recast to conform to current period segment presentation.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0" w:hanging="392"/>
        <w:spacing w:after="0"/>
        <w:tabs>
          <w:tab w:leader="none" w:pos="400" w:val="left"/>
        </w:tabs>
        <w:numPr>
          <w:ilvl w:val="0"/>
          <w:numId w:val="27"/>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66" w:lineRule="exact"/>
        <w:rPr>
          <w:sz w:val="20"/>
          <w:szCs w:val="20"/>
          <w:color w:val="auto"/>
        </w:rPr>
      </w:pPr>
    </w:p>
    <w:p>
      <w:pPr>
        <w:jc w:val="center"/>
        <w:ind w:left="9260"/>
        <w:spacing w:after="0"/>
        <w:rPr>
          <w:sz w:val="20"/>
          <w:szCs w:val="20"/>
          <w:color w:val="auto"/>
        </w:rPr>
      </w:pPr>
      <w:r>
        <w:rPr>
          <w:rFonts w:ascii="Arial" w:cs="Arial" w:eastAsia="Arial" w:hAnsi="Arial"/>
          <w:sz w:val="14"/>
          <w:szCs w:val="14"/>
          <w:b w:val="1"/>
          <w:bCs w:val="1"/>
          <w:color w:val="auto"/>
        </w:rPr>
        <w:t>Three Months Ended March</w:t>
      </w:r>
    </w:p>
    <w:p>
      <w:pPr>
        <w:spacing w:after="0" w:line="2" w:lineRule="exact"/>
        <w:rPr>
          <w:sz w:val="20"/>
          <w:szCs w:val="20"/>
          <w:color w:val="auto"/>
        </w:rPr>
      </w:pPr>
    </w:p>
    <w:p>
      <w:pPr>
        <w:jc w:val="center"/>
        <w:ind w:left="9260"/>
        <w:spacing w:after="0"/>
        <w:rPr>
          <w:sz w:val="20"/>
          <w:szCs w:val="20"/>
          <w:color w:val="auto"/>
        </w:rPr>
      </w:pPr>
      <w:r>
        <w:rPr>
          <w:rFonts w:ascii="Arial" w:cs="Arial" w:eastAsia="Arial" w:hAnsi="Arial"/>
          <w:sz w:val="14"/>
          <w:szCs w:val="14"/>
          <w:b w:val="1"/>
          <w:bCs w:val="1"/>
          <w:color w:val="auto"/>
        </w:rPr>
        <w:t>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280" w:type="dxa"/>
            <w:vAlign w:val="bottom"/>
            <w:tcBorders>
              <w:bottom w:val="single" w:sz="8" w:color="D7282F"/>
            </w:tcBorders>
          </w:tcPr>
          <w:p>
            <w:pPr>
              <w:spacing w:after="0"/>
              <w:rPr>
                <w:sz w:val="17"/>
                <w:szCs w:val="17"/>
                <w:color w:val="auto"/>
              </w:rPr>
            </w:pPr>
          </w:p>
        </w:tc>
        <w:tc>
          <w:tcPr>
            <w:tcW w:w="180" w:type="dxa"/>
            <w:vAlign w:val="bottom"/>
            <w:tcBorders>
              <w:top w:val="single" w:sz="8" w:color="D7282F"/>
              <w:bottom w:val="single" w:sz="8" w:color="D7282F"/>
            </w:tcBorders>
          </w:tcPr>
          <w:p>
            <w:pPr>
              <w:spacing w:after="0"/>
              <w:rPr>
                <w:sz w:val="17"/>
                <w:szCs w:val="17"/>
                <w:color w:val="auto"/>
              </w:rPr>
            </w:pPr>
          </w:p>
        </w:tc>
        <w:tc>
          <w:tcPr>
            <w:tcW w:w="800" w:type="dxa"/>
            <w:vAlign w:val="bottom"/>
            <w:tcBorders>
              <w:top w:val="single" w:sz="8" w:color="D7282F"/>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2024</w:t>
            </w:r>
          </w:p>
        </w:tc>
        <w:tc>
          <w:tcPr>
            <w:tcW w:w="300" w:type="dxa"/>
            <w:vAlign w:val="bottom"/>
            <w:tcBorders>
              <w:top w:val="single" w:sz="8" w:color="D7282F"/>
              <w:bottom w:val="single" w:sz="8" w:color="D7282F"/>
            </w:tcBorders>
          </w:tcPr>
          <w:p>
            <w:pPr>
              <w:spacing w:after="0"/>
              <w:rPr>
                <w:sz w:val="17"/>
                <w:szCs w:val="17"/>
                <w:color w:val="auto"/>
              </w:rPr>
            </w:pPr>
          </w:p>
        </w:tc>
        <w:tc>
          <w:tcPr>
            <w:tcW w:w="680" w:type="dxa"/>
            <w:vAlign w:val="bottom"/>
            <w:tcBorders>
              <w:top w:val="single" w:sz="8" w:color="D7282F"/>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2023</w:t>
            </w:r>
          </w:p>
        </w:tc>
      </w:tr>
      <w:tr>
        <w:trPr>
          <w:trHeight w:val="195"/>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Net sales</w:t>
            </w:r>
          </w:p>
        </w:tc>
        <w:tc>
          <w:tcPr>
            <w:tcW w:w="18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spacing w:after="0"/>
              <w:rPr>
                <w:sz w:val="16"/>
                <w:szCs w:val="16"/>
                <w:color w:val="auto"/>
              </w:rPr>
            </w:pPr>
          </w:p>
        </w:tc>
        <w:tc>
          <w:tcPr>
            <w:tcW w:w="30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spacing w:after="0"/>
              <w:rPr>
                <w:sz w:val="16"/>
                <w:szCs w:val="16"/>
                <w:color w:val="auto"/>
              </w:rPr>
            </w:pPr>
          </w:p>
        </w:tc>
      </w:tr>
      <w:tr>
        <w:trPr>
          <w:trHeight w:val="196"/>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Aerospace Technologies</w:t>
            </w: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spacing w:after="0"/>
              <w:rPr>
                <w:sz w:val="17"/>
                <w:szCs w:val="17"/>
                <w:color w:val="auto"/>
              </w:rPr>
            </w:pP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r>
      <w:tr>
        <w:trPr>
          <w:trHeight w:val="193"/>
        </w:trPr>
        <w:tc>
          <w:tcPr>
            <w:tcW w:w="92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Products</w:t>
            </w: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2,025</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1,672</w:t>
            </w:r>
          </w:p>
        </w:tc>
      </w:tr>
      <w:tr>
        <w:trPr>
          <w:trHeight w:val="196"/>
        </w:trPr>
        <w:tc>
          <w:tcPr>
            <w:tcW w:w="92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Services</w:t>
            </w: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1,644</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1,439</w:t>
            </w:r>
          </w:p>
        </w:tc>
      </w:tr>
      <w:tr>
        <w:trPr>
          <w:trHeight w:val="199"/>
        </w:trPr>
        <w:tc>
          <w:tcPr>
            <w:tcW w:w="92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Net Aerospace Technologies sales</w:t>
            </w: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3,669</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3,111</w:t>
            </w:r>
          </w:p>
        </w:tc>
      </w:tr>
      <w:tr>
        <w:trPr>
          <w:trHeight w:val="196"/>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Industrial Automation</w:t>
            </w: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spacing w:after="0"/>
              <w:rPr>
                <w:sz w:val="17"/>
                <w:szCs w:val="17"/>
                <w:color w:val="auto"/>
              </w:rPr>
            </w:pP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r>
      <w:tr>
        <w:trPr>
          <w:trHeight w:val="193"/>
        </w:trPr>
        <w:tc>
          <w:tcPr>
            <w:tcW w:w="92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Products</w:t>
            </w:r>
          </w:p>
        </w:tc>
        <w:tc>
          <w:tcPr>
            <w:tcW w:w="18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1,800</w:t>
            </w:r>
          </w:p>
        </w:tc>
        <w:tc>
          <w:tcPr>
            <w:tcW w:w="30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2,159</w:t>
            </w:r>
          </w:p>
        </w:tc>
      </w:tr>
      <w:tr>
        <w:trPr>
          <w:trHeight w:val="196"/>
        </w:trPr>
        <w:tc>
          <w:tcPr>
            <w:tcW w:w="92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Services</w:t>
            </w: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678</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644</w:t>
            </w:r>
          </w:p>
        </w:tc>
      </w:tr>
      <w:tr>
        <w:trPr>
          <w:trHeight w:val="199"/>
        </w:trPr>
        <w:tc>
          <w:tcPr>
            <w:tcW w:w="9280" w:type="dxa"/>
            <w:vAlign w:val="bottom"/>
            <w:tcBorders>
              <w:bottom w:val="single" w:sz="8" w:color="D7282F"/>
            </w:tcBorders>
          </w:tcPr>
          <w:p>
            <w:pPr>
              <w:ind w:left="220"/>
              <w:spacing w:after="0"/>
              <w:rPr>
                <w:sz w:val="20"/>
                <w:szCs w:val="20"/>
                <w:color w:val="auto"/>
              </w:rPr>
            </w:pPr>
            <w:r>
              <w:rPr>
                <w:rFonts w:ascii="Arial" w:cs="Arial" w:eastAsia="Arial" w:hAnsi="Arial"/>
                <w:sz w:val="14"/>
                <w:szCs w:val="14"/>
                <w:b w:val="1"/>
                <w:bCs w:val="1"/>
                <w:color w:val="auto"/>
              </w:rPr>
              <w:t>Net Industrial Automation sales</w:t>
            </w: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2,478</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2,803</w:t>
            </w:r>
          </w:p>
        </w:tc>
      </w:tr>
      <w:tr>
        <w:trPr>
          <w:trHeight w:val="196"/>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Building Automation</w:t>
            </w: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spacing w:after="0"/>
              <w:rPr>
                <w:sz w:val="17"/>
                <w:szCs w:val="17"/>
                <w:color w:val="auto"/>
              </w:rPr>
            </w:pP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r>
      <w:tr>
        <w:trPr>
          <w:trHeight w:val="193"/>
        </w:trPr>
        <w:tc>
          <w:tcPr>
            <w:tcW w:w="92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Products</w:t>
            </w:r>
          </w:p>
        </w:tc>
        <w:tc>
          <w:tcPr>
            <w:tcW w:w="18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1,057</w:t>
            </w:r>
          </w:p>
        </w:tc>
        <w:tc>
          <w:tcPr>
            <w:tcW w:w="30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1,132</w:t>
            </w:r>
          </w:p>
        </w:tc>
      </w:tr>
      <w:tr>
        <w:trPr>
          <w:trHeight w:val="196"/>
        </w:trPr>
        <w:tc>
          <w:tcPr>
            <w:tcW w:w="92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Services</w:t>
            </w: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369</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355</w:t>
            </w:r>
          </w:p>
        </w:tc>
      </w:tr>
      <w:tr>
        <w:trPr>
          <w:trHeight w:val="199"/>
        </w:trPr>
        <w:tc>
          <w:tcPr>
            <w:tcW w:w="9280" w:type="dxa"/>
            <w:vAlign w:val="bottom"/>
            <w:tcBorders>
              <w:bottom w:val="single" w:sz="8" w:color="D7282F"/>
            </w:tcBorders>
          </w:tcPr>
          <w:p>
            <w:pPr>
              <w:ind w:left="220"/>
              <w:spacing w:after="0"/>
              <w:rPr>
                <w:sz w:val="20"/>
                <w:szCs w:val="20"/>
                <w:color w:val="auto"/>
              </w:rPr>
            </w:pPr>
            <w:r>
              <w:rPr>
                <w:rFonts w:ascii="Arial" w:cs="Arial" w:eastAsia="Arial" w:hAnsi="Arial"/>
                <w:sz w:val="14"/>
                <w:szCs w:val="14"/>
                <w:b w:val="1"/>
                <w:bCs w:val="1"/>
                <w:color w:val="auto"/>
              </w:rPr>
              <w:t>Net Building Automation sales</w:t>
            </w: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1,426</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1,487</w:t>
            </w:r>
          </w:p>
        </w:tc>
      </w:tr>
      <w:tr>
        <w:trPr>
          <w:trHeight w:val="196"/>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Energy and Sustainability Solutions</w:t>
            </w: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spacing w:after="0"/>
              <w:rPr>
                <w:sz w:val="17"/>
                <w:szCs w:val="17"/>
                <w:color w:val="auto"/>
              </w:rPr>
            </w:pP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r>
      <w:tr>
        <w:trPr>
          <w:trHeight w:val="193"/>
        </w:trPr>
        <w:tc>
          <w:tcPr>
            <w:tcW w:w="92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Products</w:t>
            </w:r>
          </w:p>
        </w:tc>
        <w:tc>
          <w:tcPr>
            <w:tcW w:w="18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1,381</w:t>
            </w:r>
          </w:p>
        </w:tc>
        <w:tc>
          <w:tcPr>
            <w:tcW w:w="30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1,347</w:t>
            </w:r>
          </w:p>
        </w:tc>
      </w:tr>
      <w:tr>
        <w:trPr>
          <w:trHeight w:val="196"/>
        </w:trPr>
        <w:tc>
          <w:tcPr>
            <w:tcW w:w="92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Services</w:t>
            </w: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144</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114</w:t>
            </w:r>
          </w:p>
        </w:tc>
      </w:tr>
      <w:tr>
        <w:trPr>
          <w:trHeight w:val="199"/>
        </w:trPr>
        <w:tc>
          <w:tcPr>
            <w:tcW w:w="9280" w:type="dxa"/>
            <w:vAlign w:val="bottom"/>
            <w:tcBorders>
              <w:bottom w:val="single" w:sz="8" w:color="D7282F"/>
            </w:tcBorders>
          </w:tcPr>
          <w:p>
            <w:pPr>
              <w:ind w:left="220"/>
              <w:spacing w:after="0"/>
              <w:rPr>
                <w:sz w:val="20"/>
                <w:szCs w:val="20"/>
                <w:color w:val="auto"/>
              </w:rPr>
            </w:pPr>
            <w:r>
              <w:rPr>
                <w:rFonts w:ascii="Arial" w:cs="Arial" w:eastAsia="Arial" w:hAnsi="Arial"/>
                <w:sz w:val="14"/>
                <w:szCs w:val="14"/>
                <w:b w:val="1"/>
                <w:bCs w:val="1"/>
                <w:color w:val="auto"/>
              </w:rPr>
              <w:t>Net Energy and Sustainability Solutions sales</w:t>
            </w: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1,525</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1,461</w:t>
            </w:r>
          </w:p>
        </w:tc>
      </w:tr>
      <w:tr>
        <w:trPr>
          <w:trHeight w:val="196"/>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Corporate and All Other</w:t>
            </w: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spacing w:after="0"/>
              <w:rPr>
                <w:sz w:val="17"/>
                <w:szCs w:val="17"/>
                <w:color w:val="auto"/>
              </w:rPr>
            </w:pP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r>
      <w:tr>
        <w:trPr>
          <w:trHeight w:val="193"/>
        </w:trPr>
        <w:tc>
          <w:tcPr>
            <w:tcW w:w="92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Services</w:t>
            </w:r>
          </w:p>
        </w:tc>
        <w:tc>
          <w:tcPr>
            <w:tcW w:w="180" w:type="dxa"/>
            <w:vAlign w:val="bottom"/>
            <w:tcBorders>
              <w:bottom w:val="single" w:sz="8" w:color="D7282F"/>
            </w:tcBorders>
          </w:tcPr>
          <w:p>
            <w:pPr>
              <w:spacing w:after="0"/>
              <w:rPr>
                <w:sz w:val="16"/>
                <w:szCs w:val="16"/>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7</w:t>
            </w:r>
          </w:p>
        </w:tc>
        <w:tc>
          <w:tcPr>
            <w:tcW w:w="30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w:t>
            </w:r>
          </w:p>
        </w:tc>
      </w:tr>
      <w:tr>
        <w:trPr>
          <w:trHeight w:val="199"/>
        </w:trPr>
        <w:tc>
          <w:tcPr>
            <w:tcW w:w="92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Net Corporate and All Other sales</w:t>
            </w: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7</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w:t>
            </w:r>
          </w:p>
        </w:tc>
      </w:tr>
      <w:tr>
        <w:trPr>
          <w:trHeight w:val="196"/>
        </w:trPr>
        <w:tc>
          <w:tcPr>
            <w:tcW w:w="9280" w:type="dxa"/>
            <w:vAlign w:val="bottom"/>
            <w:tcBorders>
              <w:bottom w:val="single" w:sz="8" w:color="D7282F"/>
            </w:tcBorders>
          </w:tcPr>
          <w:p>
            <w:pPr>
              <w:ind w:left="360"/>
              <w:spacing w:after="0"/>
              <w:rPr>
                <w:sz w:val="20"/>
                <w:szCs w:val="20"/>
                <w:color w:val="auto"/>
              </w:rPr>
            </w:pPr>
            <w:r>
              <w:rPr>
                <w:rFonts w:ascii="Arial" w:cs="Arial" w:eastAsia="Arial" w:hAnsi="Arial"/>
                <w:sz w:val="14"/>
                <w:szCs w:val="14"/>
                <w:b w:val="1"/>
                <w:bCs w:val="1"/>
                <w:color w:val="auto"/>
              </w:rPr>
              <w:t>Net sales</w:t>
            </w: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9,105</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8,864</w:t>
            </w:r>
          </w:p>
        </w:tc>
      </w:tr>
      <w:tr>
        <w:trPr>
          <w:trHeight w:val="196"/>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Segment profit</w:t>
            </w: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spacing w:after="0"/>
              <w:rPr>
                <w:sz w:val="17"/>
                <w:szCs w:val="17"/>
                <w:color w:val="auto"/>
              </w:rPr>
            </w:pP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r>
      <w:tr>
        <w:trPr>
          <w:trHeight w:val="193"/>
        </w:trPr>
        <w:tc>
          <w:tcPr>
            <w:tcW w:w="92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Aerospace Technologies</w:t>
            </w: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1,031</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827</w:t>
            </w:r>
          </w:p>
        </w:tc>
      </w:tr>
      <w:tr>
        <w:trPr>
          <w:trHeight w:val="196"/>
        </w:trPr>
        <w:tc>
          <w:tcPr>
            <w:tcW w:w="92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Industrial Automation</w:t>
            </w: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417</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526</w:t>
            </w:r>
          </w:p>
        </w:tc>
      </w:tr>
      <w:tr>
        <w:trPr>
          <w:trHeight w:val="196"/>
        </w:trPr>
        <w:tc>
          <w:tcPr>
            <w:tcW w:w="92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Building Automation</w:t>
            </w: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342</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375</w:t>
            </w:r>
          </w:p>
        </w:tc>
      </w:tr>
      <w:tr>
        <w:trPr>
          <w:trHeight w:val="196"/>
        </w:trPr>
        <w:tc>
          <w:tcPr>
            <w:tcW w:w="92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Energy and Sustainability Solutions</w:t>
            </w: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302</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300</w:t>
            </w:r>
          </w:p>
        </w:tc>
      </w:tr>
      <w:tr>
        <w:trPr>
          <w:trHeight w:val="196"/>
        </w:trPr>
        <w:tc>
          <w:tcPr>
            <w:tcW w:w="92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Corporate and All Other</w:t>
            </w: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(71)</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(81)</w:t>
            </w:r>
          </w:p>
        </w:tc>
      </w:tr>
      <w:tr>
        <w:trPr>
          <w:trHeight w:val="199"/>
        </w:trPr>
        <w:tc>
          <w:tcPr>
            <w:tcW w:w="9280" w:type="dxa"/>
            <w:vAlign w:val="bottom"/>
            <w:tcBorders>
              <w:bottom w:val="single" w:sz="8" w:color="D7282F"/>
            </w:tcBorders>
          </w:tcPr>
          <w:p>
            <w:pPr>
              <w:ind w:left="260"/>
              <w:spacing w:after="0"/>
              <w:rPr>
                <w:sz w:val="20"/>
                <w:szCs w:val="20"/>
                <w:color w:val="auto"/>
              </w:rPr>
            </w:pPr>
            <w:r>
              <w:rPr>
                <w:rFonts w:ascii="Arial" w:cs="Arial" w:eastAsia="Arial" w:hAnsi="Arial"/>
                <w:sz w:val="14"/>
                <w:szCs w:val="14"/>
                <w:b w:val="1"/>
                <w:bCs w:val="1"/>
                <w:color w:val="auto"/>
              </w:rPr>
              <w:t>Total segment profit</w:t>
            </w: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1,947</w:t>
            </w:r>
          </w:p>
        </w:tc>
      </w:tr>
      <w:tr>
        <w:trPr>
          <w:trHeight w:val="193"/>
        </w:trPr>
        <w:tc>
          <w:tcPr>
            <w:tcW w:w="928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Interest and other financial charges</w:t>
            </w:r>
          </w:p>
        </w:tc>
        <w:tc>
          <w:tcPr>
            <w:tcW w:w="18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(220)</w:t>
            </w:r>
          </w:p>
        </w:tc>
        <w:tc>
          <w:tcPr>
            <w:tcW w:w="30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(170)</w:t>
            </w:r>
          </w:p>
        </w:tc>
      </w:tr>
      <w:tr>
        <w:trPr>
          <w:trHeight w:val="196"/>
        </w:trPr>
        <w:tc>
          <w:tcPr>
            <w:tcW w:w="928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Interest income</w:t>
            </w: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105</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76</w:t>
            </w:r>
          </w:p>
        </w:tc>
      </w:tr>
      <w:tr>
        <w:trPr>
          <w:trHeight w:val="200"/>
        </w:trPr>
        <w:tc>
          <w:tcPr>
            <w:tcW w:w="9280" w:type="dxa"/>
            <w:vAlign w:val="bottom"/>
            <w:tcBorders>
              <w:bottom w:val="single" w:sz="8" w:color="61656A"/>
            </w:tcBorders>
          </w:tcPr>
          <w:p>
            <w:pPr>
              <w:ind w:left="240"/>
              <w:spacing w:after="0" w:line="200" w:lineRule="exact"/>
              <w:rPr>
                <w:sz w:val="20"/>
                <w:szCs w:val="20"/>
                <w:color w:val="auto"/>
              </w:rPr>
            </w:pPr>
            <w:r>
              <w:rPr>
                <w:rFonts w:ascii="Arial" w:cs="Arial" w:eastAsia="Arial" w:hAnsi="Arial"/>
                <w:sz w:val="14"/>
                <w:szCs w:val="14"/>
                <w:color w:val="auto"/>
              </w:rPr>
              <w:t>Stock compensation expense</w:t>
            </w:r>
            <w:r>
              <w:rPr>
                <w:rFonts w:ascii="Arial" w:cs="Arial" w:eastAsia="Arial" w:hAnsi="Arial"/>
                <w:sz w:val="18"/>
                <w:szCs w:val="18"/>
                <w:color w:val="auto"/>
                <w:vertAlign w:val="superscript"/>
              </w:rPr>
              <w:t>1</w:t>
            </w: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(53)</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(59)</w:t>
            </w:r>
          </w:p>
        </w:tc>
      </w:tr>
      <w:tr>
        <w:trPr>
          <w:trHeight w:val="196"/>
        </w:trPr>
        <w:tc>
          <w:tcPr>
            <w:tcW w:w="9280" w:type="dxa"/>
            <w:vAlign w:val="bottom"/>
            <w:tcBorders>
              <w:bottom w:val="single" w:sz="8" w:color="61656A"/>
            </w:tcBorders>
          </w:tcPr>
          <w:p>
            <w:pPr>
              <w:ind w:left="240"/>
              <w:spacing w:after="0" w:line="196" w:lineRule="exact"/>
              <w:rPr>
                <w:sz w:val="20"/>
                <w:szCs w:val="20"/>
                <w:color w:val="auto"/>
              </w:rPr>
            </w:pPr>
            <w:r>
              <w:rPr>
                <w:rFonts w:ascii="Arial" w:cs="Arial" w:eastAsia="Arial" w:hAnsi="Arial"/>
                <w:sz w:val="14"/>
                <w:szCs w:val="14"/>
                <w:color w:val="auto"/>
              </w:rPr>
              <w:t>Pension ongoing income</w:t>
            </w:r>
            <w:r>
              <w:rPr>
                <w:rFonts w:ascii="Arial" w:cs="Arial" w:eastAsia="Arial" w:hAnsi="Arial"/>
                <w:sz w:val="18"/>
                <w:szCs w:val="18"/>
                <w:color w:val="auto"/>
                <w:vertAlign w:val="superscript"/>
              </w:rPr>
              <w:t>2</w:t>
            </w: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145</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130</w:t>
            </w:r>
          </w:p>
        </w:tc>
      </w:tr>
      <w:tr>
        <w:trPr>
          <w:trHeight w:val="196"/>
        </w:trPr>
        <w:tc>
          <w:tcPr>
            <w:tcW w:w="9280" w:type="dxa"/>
            <w:vAlign w:val="bottom"/>
            <w:tcBorders>
              <w:bottom w:val="single" w:sz="8" w:color="61656A"/>
            </w:tcBorders>
          </w:tcPr>
          <w:p>
            <w:pPr>
              <w:ind w:left="240"/>
              <w:spacing w:after="0" w:line="196" w:lineRule="exact"/>
              <w:rPr>
                <w:sz w:val="20"/>
                <w:szCs w:val="20"/>
                <w:color w:val="auto"/>
              </w:rPr>
            </w:pPr>
            <w:r>
              <w:rPr>
                <w:rFonts w:ascii="Arial" w:cs="Arial" w:eastAsia="Arial" w:hAnsi="Arial"/>
                <w:sz w:val="14"/>
                <w:szCs w:val="14"/>
                <w:color w:val="auto"/>
              </w:rPr>
              <w:t>Other postretirement income</w:t>
            </w:r>
            <w:r>
              <w:rPr>
                <w:rFonts w:ascii="Arial" w:cs="Arial" w:eastAsia="Arial" w:hAnsi="Arial"/>
                <w:sz w:val="18"/>
                <w:szCs w:val="18"/>
                <w:color w:val="auto"/>
                <w:vertAlign w:val="superscript"/>
              </w:rPr>
              <w:t>2</w:t>
            </w: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6</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w:t>
            </w:r>
          </w:p>
        </w:tc>
      </w:tr>
      <w:tr>
        <w:trPr>
          <w:trHeight w:val="196"/>
        </w:trPr>
        <w:tc>
          <w:tcPr>
            <w:tcW w:w="9280" w:type="dxa"/>
            <w:vAlign w:val="bottom"/>
            <w:tcBorders>
              <w:bottom w:val="single" w:sz="8" w:color="61656A"/>
            </w:tcBorders>
          </w:tcPr>
          <w:p>
            <w:pPr>
              <w:ind w:left="240"/>
              <w:spacing w:after="0" w:line="196" w:lineRule="exact"/>
              <w:rPr>
                <w:sz w:val="20"/>
                <w:szCs w:val="20"/>
                <w:color w:val="auto"/>
              </w:rPr>
            </w:pPr>
            <w:r>
              <w:rPr>
                <w:rFonts w:ascii="Arial" w:cs="Arial" w:eastAsia="Arial" w:hAnsi="Arial"/>
                <w:sz w:val="14"/>
                <w:szCs w:val="14"/>
                <w:color w:val="auto"/>
              </w:rPr>
              <w:t>Repositioning and other charges</w:t>
            </w:r>
            <w:r>
              <w:rPr>
                <w:rFonts w:ascii="Arial" w:cs="Arial" w:eastAsia="Arial" w:hAnsi="Arial"/>
                <w:sz w:val="18"/>
                <w:szCs w:val="18"/>
                <w:color w:val="auto"/>
                <w:vertAlign w:val="superscript"/>
              </w:rPr>
              <w:t>3</w:t>
            </w: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(93)</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(141)</w:t>
            </w:r>
          </w:p>
        </w:tc>
      </w:tr>
      <w:tr>
        <w:trPr>
          <w:trHeight w:val="196"/>
        </w:trPr>
        <w:tc>
          <w:tcPr>
            <w:tcW w:w="9280" w:type="dxa"/>
            <w:vAlign w:val="bottom"/>
            <w:tcBorders>
              <w:bottom w:val="single" w:sz="8" w:color="D7282F"/>
            </w:tcBorders>
          </w:tcPr>
          <w:p>
            <w:pPr>
              <w:ind w:left="240"/>
              <w:spacing w:after="0" w:line="196" w:lineRule="exact"/>
              <w:rPr>
                <w:sz w:val="20"/>
                <w:szCs w:val="20"/>
                <w:color w:val="auto"/>
              </w:rPr>
            </w:pPr>
            <w:r>
              <w:rPr>
                <w:rFonts w:ascii="Arial" w:cs="Arial" w:eastAsia="Arial" w:hAnsi="Arial"/>
                <w:sz w:val="14"/>
                <w:szCs w:val="14"/>
                <w:color w:val="auto"/>
              </w:rPr>
              <w:t>Other expense</w:t>
            </w:r>
            <w:r>
              <w:rPr>
                <w:rFonts w:ascii="Arial" w:cs="Arial" w:eastAsia="Arial" w:hAnsi="Arial"/>
                <w:sz w:val="18"/>
                <w:szCs w:val="18"/>
                <w:color w:val="auto"/>
                <w:vertAlign w:val="superscript"/>
              </w:rPr>
              <w:t>4</w:t>
            </w: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(40)</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(7)</w:t>
            </w:r>
          </w:p>
        </w:tc>
      </w:tr>
      <w:tr>
        <w:trPr>
          <w:trHeight w:val="195"/>
        </w:trPr>
        <w:tc>
          <w:tcPr>
            <w:tcW w:w="9280" w:type="dxa"/>
            <w:vAlign w:val="bottom"/>
            <w:tcBorders>
              <w:bottom w:val="single" w:sz="8" w:color="D7282F"/>
            </w:tcBorders>
          </w:tcPr>
          <w:p>
            <w:pPr>
              <w:ind w:left="360"/>
              <w:spacing w:after="0"/>
              <w:rPr>
                <w:sz w:val="20"/>
                <w:szCs w:val="20"/>
                <w:color w:val="auto"/>
              </w:rPr>
            </w:pPr>
            <w:r>
              <w:rPr>
                <w:rFonts w:ascii="Arial" w:cs="Arial" w:eastAsia="Arial" w:hAnsi="Arial"/>
                <w:sz w:val="14"/>
                <w:szCs w:val="14"/>
                <w:b w:val="1"/>
                <w:bCs w:val="1"/>
                <w:color w:val="auto"/>
              </w:rPr>
              <w:t>Income before taxes</w:t>
            </w: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1,871</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1,782</w:t>
            </w:r>
          </w:p>
        </w:tc>
      </w:tr>
    </w:tbl>
    <w:p>
      <w:pPr>
        <w:spacing w:after="0" w:line="131" w:lineRule="exact"/>
        <w:rPr>
          <w:sz w:val="20"/>
          <w:szCs w:val="20"/>
          <w:color w:val="auto"/>
        </w:rPr>
      </w:pPr>
    </w:p>
    <w:p>
      <w:pPr>
        <w:ind w:left="480" w:hanging="344"/>
        <w:spacing w:after="0"/>
        <w:tabs>
          <w:tab w:leader="none" w:pos="4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Amounts included in Selling, general and administrative expenses.</w:t>
      </w:r>
    </w:p>
    <w:p>
      <w:pPr>
        <w:spacing w:after="0" w:line="53" w:lineRule="exact"/>
        <w:rPr>
          <w:sz w:val="20"/>
          <w:szCs w:val="20"/>
          <w:color w:val="auto"/>
        </w:rPr>
      </w:pPr>
    </w:p>
    <w:p>
      <w:pPr>
        <w:ind w:left="480" w:right="20" w:hanging="344"/>
        <w:spacing w:after="0" w:line="264" w:lineRule="auto"/>
        <w:tabs>
          <w:tab w:leader="none" w:pos="4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Amounts included in Cost of products and services sold (service cost component), Selling, general and administrative expenses (service cost component), Research and development expenses (service cost component), and Other (income) expense (non-service cost component).</w:t>
      </w:r>
    </w:p>
    <w:p>
      <w:pPr>
        <w:spacing w:after="0" w:line="22" w:lineRule="exact"/>
        <w:rPr>
          <w:sz w:val="20"/>
          <w:szCs w:val="20"/>
          <w:color w:val="auto"/>
        </w:rPr>
      </w:pPr>
    </w:p>
    <w:p>
      <w:pPr>
        <w:ind w:left="480" w:hanging="344"/>
        <w:spacing w:after="0"/>
        <w:tabs>
          <w:tab w:leader="none" w:pos="4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Amounts included in Cost of products and services sold, Selling, general and administrative expenses, and Other (income) expense.</w:t>
      </w:r>
    </w:p>
    <w:p>
      <w:pPr>
        <w:spacing w:after="0" w:line="53" w:lineRule="exact"/>
        <w:rPr>
          <w:sz w:val="20"/>
          <w:szCs w:val="20"/>
          <w:color w:val="auto"/>
        </w:rPr>
      </w:pPr>
    </w:p>
    <w:p>
      <w:pPr>
        <w:ind w:left="480" w:hanging="344"/>
        <w:spacing w:after="0"/>
        <w:tabs>
          <w:tab w:leader="none" w:pos="480" w:val="left"/>
        </w:tabs>
        <w:numPr>
          <w:ilvl w:val="0"/>
          <w:numId w:val="31"/>
        </w:numPr>
        <w:rPr>
          <w:rFonts w:ascii="Arial" w:cs="Arial" w:eastAsia="Arial" w:hAnsi="Arial"/>
          <w:sz w:val="12"/>
          <w:szCs w:val="12"/>
          <w:color w:val="auto"/>
        </w:rPr>
      </w:pPr>
      <w:r>
        <w:rPr>
          <w:rFonts w:ascii="Arial" w:cs="Arial" w:eastAsia="Arial" w:hAnsi="Arial"/>
          <w:sz w:val="12"/>
          <w:szCs w:val="12"/>
          <w:color w:val="auto"/>
        </w:rPr>
        <w:t>Amounts include the other components of Other (income) expense not included within other categories in this reconciliation. Equity income of affiliated companies is included in segment profit.</w:t>
      </w:r>
    </w:p>
    <w:p>
      <w:pPr>
        <w:spacing w:after="0" w:line="200" w:lineRule="exact"/>
        <w:rPr>
          <w:sz w:val="20"/>
          <w:szCs w:val="20"/>
          <w:color w:val="auto"/>
        </w:rPr>
      </w:pPr>
    </w:p>
    <w:p>
      <w:pPr>
        <w:spacing w:after="0" w:line="370" w:lineRule="exact"/>
        <w:rPr>
          <w:sz w:val="20"/>
          <w:szCs w:val="20"/>
          <w:color w:val="auto"/>
        </w:rPr>
      </w:pPr>
    </w:p>
    <w:p>
      <w:pPr>
        <w:ind w:left="400" w:hanging="392"/>
        <w:spacing w:after="0"/>
        <w:tabs>
          <w:tab w:leader="none" w:pos="400" w:val="left"/>
        </w:tabs>
        <w:numPr>
          <w:ilvl w:val="0"/>
          <w:numId w:val="32"/>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1220"/>
        <w:spacing w:after="0" w:line="313" w:lineRule="auto"/>
        <w:rPr>
          <w:sz w:val="20"/>
          <w:szCs w:val="20"/>
          <w:color w:val="auto"/>
        </w:rPr>
      </w:pPr>
      <w:r>
        <w:rPr>
          <w:rFonts w:ascii="Arial" w:cs="Arial" w:eastAsia="Arial" w:hAnsi="Arial"/>
          <w:sz w:val="35"/>
          <w:szCs w:val="35"/>
          <w:b w:val="1"/>
          <w:bCs w:val="1"/>
          <w:color w:val="auto"/>
        </w:rPr>
        <w:t>ITEM 2. MANAGEMENT'S DISCUSSION AND ANALYSIS OF FINANCIAL CONDITION AND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(Dollars in tables and graphs in millions, except per share amounts)</w:t>
      </w:r>
    </w:p>
    <w:p>
      <w:pPr>
        <w:spacing w:after="0" w:line="11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 xml:space="preserve">The following Management's Discussion and Analysis of Financial Condition and Results of Operations is intended to help the reader understand the results of operations and financial condition of Honeywell International Inc. and its consolidated subsidiaries (Honeywell, we, us, our, or the Company) for the three months ended March 31, 2024. The financial information as of March 31, 2024, should be read in conjunction with the Consolidated Financial Statements for the year ended December 31, 2023, contained in our 2023 Annual Report on Form 10-K. See Note 3 Acquisitions and Divestitures of Notes to Consolidated Financial Statements for a discussion of acquisition and divestiture activity during the three months ended March 31, 2024. </w:t>
      </w:r>
      <w:r>
        <w:rPr>
          <w:rFonts w:ascii="Arial" w:cs="Arial" w:eastAsia="Arial" w:hAnsi="Arial"/>
          <w:sz w:val="16"/>
          <w:szCs w:val="16"/>
          <w:color w:val="212529"/>
        </w:rPr>
        <w:t>Certain prior year amounts are</w:t>
      </w:r>
      <w:r>
        <w:rPr>
          <w:rFonts w:ascii="Arial" w:cs="Arial" w:eastAsia="Arial" w:hAnsi="Arial"/>
          <w:sz w:val="16"/>
          <w:szCs w:val="16"/>
          <w:color w:val="auto"/>
        </w:rPr>
        <w:t xml:space="preserve"> </w:t>
      </w:r>
      <w:r>
        <w:rPr>
          <w:rFonts w:ascii="Arial" w:cs="Arial" w:eastAsia="Arial" w:hAnsi="Arial"/>
          <w:sz w:val="16"/>
          <w:szCs w:val="16"/>
          <w:color w:val="212529"/>
        </w:rPr>
        <w:t>reclassified to conform to the current year presentation.</w:t>
      </w:r>
    </w:p>
    <w:p>
      <w:pPr>
        <w:spacing w:after="0" w:line="240" w:lineRule="exact"/>
        <w:rPr>
          <w:sz w:val="20"/>
          <w:szCs w:val="20"/>
          <w:color w:val="auto"/>
        </w:rPr>
      </w:pPr>
    </w:p>
    <w:p>
      <w:pPr>
        <w:spacing w:after="0"/>
        <w:rPr>
          <w:sz w:val="20"/>
          <w:szCs w:val="20"/>
          <w:color w:val="auto"/>
        </w:rPr>
      </w:pPr>
      <w:r>
        <w:rPr>
          <w:rFonts w:ascii="Arial" w:cs="Arial" w:eastAsia="Arial" w:hAnsi="Arial"/>
          <w:sz w:val="29"/>
          <w:szCs w:val="29"/>
          <w:color w:val="D7282F"/>
        </w:rPr>
        <w:t>BUSINESS UPDATE</w:t>
      </w:r>
    </w:p>
    <w:p>
      <w:pPr>
        <w:spacing w:after="0" w:line="26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MACROECONOMIC CONDITIONS</w:t>
      </w:r>
    </w:p>
    <w:p>
      <w:pPr>
        <w:spacing w:after="0" w:line="12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We continue to monitor the impacts of ongoing macroeconomic conditions and geopolitical events. In the first quarter of 2024, material inflation continued to moderate with some preliminary signs of stabilization across most industrial sectors. Slowing global growth relieved pressure on logistics freight and service capacity and provided supply chain redundancy. We continue to leverage short-term and long-term mitigation strategies to reduce the impact of supply chain disruptions, including digital solutions to assist in identifying and managing shortages.</w:t>
      </w:r>
    </w:p>
    <w:p>
      <w:pPr>
        <w:spacing w:after="0" w:line="60"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Our mitigation strategies include pricing actions, longer term planning for constrained materials, new supplier development, material supply tracking tools, and direct engagement with key suppliers to meet customer demand. Our relationships with primary and secondary suppliers allow us to reliably source key components and raw materials. In areas where we cannot procure key components or raw materials, we consider altering existing products and developing new products to satisfy customer needs. Alterations to existing products and the development of new products undergo product quality controls and engineering qualification prior to releasing to our customers. In addition, we assist certain suppliers facing manufacturing challenges by committing our own resources to their sites and facilities. We believe these mitigation strategies enable us to reduce supply risk, accelerate new product innovation, and expand our penetration in the markets we serve. Additionally, due to the strenuous quality controls and product qualification we perform on a new or altered product, we do not expect these mitigation strategies to impact product quality or reliability.</w:t>
      </w:r>
    </w:p>
    <w:p>
      <w:pPr>
        <w:spacing w:after="0" w:line="7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Global conflicts continue to create volatility in global financial and energy markets and contribute to supply chain shortages adding to the inflationary pressures in the global economy. We actively collaborate with our suppliers to minimize impacts of supply shortages on our manufacturing capabilities.</w:t>
      </w:r>
    </w:p>
    <w:p>
      <w:pPr>
        <w:spacing w:after="0" w:line="61"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To date, our strategies have successfully mitigated our exposure to these conditions. However, if we are not successful in sustaining or executing these strategies, these macroeconomic conditions could have a material adverse effect on our consolidated results of operations or operating cash flows.</w:t>
      </w:r>
    </w:p>
    <w:p>
      <w:pPr>
        <w:spacing w:after="0" w:line="400" w:lineRule="exact"/>
        <w:rPr>
          <w:sz w:val="20"/>
          <w:szCs w:val="20"/>
          <w:color w:val="auto"/>
        </w:rPr>
      </w:pPr>
    </w:p>
    <w:p>
      <w:pPr>
        <w:ind w:left="400" w:hanging="392"/>
        <w:spacing w:after="0"/>
        <w:tabs>
          <w:tab w:leader="none" w:pos="400" w:val="left"/>
        </w:tabs>
        <w:numPr>
          <w:ilvl w:val="0"/>
          <w:numId w:val="33"/>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8"/>
          <w:szCs w:val="28"/>
          <w:color w:val="D7282F"/>
        </w:rPr>
        <w:t>RESULTS OF OPERATIONS</w:t>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80645</wp:posOffset>
            </wp:positionV>
            <wp:extent cx="4714875" cy="25717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714875"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Sales by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80645</wp:posOffset>
            </wp:positionV>
            <wp:extent cx="3000375" cy="29146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000375" cy="2914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00" w:hanging="392"/>
        <w:spacing w:after="0"/>
        <w:tabs>
          <w:tab w:leader="none" w:pos="400" w:val="left"/>
        </w:tabs>
        <w:numPr>
          <w:ilvl w:val="0"/>
          <w:numId w:val="34"/>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35" w:name="page36"/>
    <w:bookmarkEnd w:id="35"/>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Segment Profit by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80645</wp:posOffset>
            </wp:positionV>
            <wp:extent cx="3000375" cy="30518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000375" cy="3051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00" w:hanging="392"/>
        <w:spacing w:after="0"/>
        <w:tabs>
          <w:tab w:leader="none" w:pos="400" w:val="left"/>
        </w:tabs>
        <w:numPr>
          <w:ilvl w:val="0"/>
          <w:numId w:val="35"/>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36" w:name="page37"/>
    <w:bookmarkEnd w:id="3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9"/>
          <w:szCs w:val="29"/>
          <w:color w:val="D7282F"/>
        </w:rPr>
        <w:t>CONSOLIDATED OPERATING RESULTS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2182495</wp:posOffset>
            </wp:positionH>
            <wp:positionV relativeFrom="paragraph">
              <wp:posOffset>80645</wp:posOffset>
            </wp:positionV>
            <wp:extent cx="2785745" cy="21431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785745"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color w:val="auto"/>
        </w:rPr>
        <w:t>The change in Net sales was attributable to the following: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980" w:type="dxa"/>
            <w:vAlign w:val="bottom"/>
            <w:tcBorders>
              <w:bottom w:val="single" w:sz="8" w:color="D7282F"/>
            </w:tcBorders>
          </w:tcPr>
          <w:p>
            <w:pPr>
              <w:spacing w:after="0"/>
              <w:rPr>
                <w:sz w:val="17"/>
                <w:szCs w:val="17"/>
                <w:color w:val="auto"/>
              </w:rPr>
            </w:pPr>
          </w:p>
        </w:tc>
        <w:tc>
          <w:tcPr>
            <w:tcW w:w="5060" w:type="dxa"/>
            <w:vAlign w:val="bottom"/>
            <w:tcBorders>
              <w:bottom w:val="single" w:sz="8" w:color="D7282F"/>
            </w:tcBorders>
          </w:tcPr>
          <w:p>
            <w:pPr>
              <w:ind w:left="3440"/>
              <w:spacing w:after="0"/>
              <w:rPr>
                <w:sz w:val="20"/>
                <w:szCs w:val="20"/>
                <w:color w:val="auto"/>
              </w:rPr>
            </w:pPr>
            <w:r>
              <w:rPr>
                <w:rFonts w:ascii="Arial" w:cs="Arial" w:eastAsia="Arial" w:hAnsi="Arial"/>
                <w:sz w:val="14"/>
                <w:szCs w:val="14"/>
                <w:b w:val="1"/>
                <w:bCs w:val="1"/>
                <w:color w:val="auto"/>
              </w:rPr>
              <w:t>Q1 2024 vs. Q1 2023</w:t>
            </w:r>
          </w:p>
        </w:tc>
      </w:tr>
      <w:tr>
        <w:trPr>
          <w:trHeight w:val="193"/>
        </w:trPr>
        <w:tc>
          <w:tcPr>
            <w:tcW w:w="59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Volume</w:t>
            </w:r>
          </w:p>
        </w:tc>
        <w:tc>
          <w:tcPr>
            <w:tcW w:w="5060" w:type="dxa"/>
            <w:vAlign w:val="bottom"/>
            <w:tcBorders>
              <w:bottom w:val="single" w:sz="8" w:color="61656A"/>
            </w:tcBorders>
          </w:tcPr>
          <w:p>
            <w:pPr>
              <w:jc w:val="center"/>
              <w:ind w:left="3128"/>
              <w:spacing w:after="0"/>
              <w:rPr>
                <w:sz w:val="20"/>
                <w:szCs w:val="20"/>
                <w:color w:val="auto"/>
              </w:rPr>
            </w:pPr>
            <w:r>
              <w:rPr>
                <w:rFonts w:ascii="Arial" w:cs="Arial" w:eastAsia="Arial" w:hAnsi="Arial"/>
                <w:sz w:val="14"/>
                <w:szCs w:val="14"/>
                <w:color w:val="auto"/>
                <w:w w:val="98"/>
              </w:rPr>
              <w:t>—%</w:t>
            </w:r>
          </w:p>
        </w:tc>
      </w:tr>
      <w:tr>
        <w:trPr>
          <w:trHeight w:val="196"/>
        </w:trPr>
        <w:tc>
          <w:tcPr>
            <w:tcW w:w="59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Price</w:t>
            </w:r>
          </w:p>
        </w:tc>
        <w:tc>
          <w:tcPr>
            <w:tcW w:w="5060" w:type="dxa"/>
            <w:vAlign w:val="bottom"/>
            <w:tcBorders>
              <w:bottom w:val="single" w:sz="8" w:color="61656A"/>
            </w:tcBorders>
          </w:tcPr>
          <w:p>
            <w:pPr>
              <w:jc w:val="center"/>
              <w:ind w:left="3128"/>
              <w:spacing w:after="0"/>
              <w:rPr>
                <w:sz w:val="20"/>
                <w:szCs w:val="20"/>
                <w:color w:val="auto"/>
              </w:rPr>
            </w:pPr>
            <w:r>
              <w:rPr>
                <w:rFonts w:ascii="Arial" w:cs="Arial" w:eastAsia="Arial" w:hAnsi="Arial"/>
                <w:sz w:val="14"/>
                <w:szCs w:val="14"/>
                <w:color w:val="auto"/>
              </w:rPr>
              <w:t>3%</w:t>
            </w:r>
          </w:p>
        </w:tc>
      </w:tr>
      <w:tr>
        <w:trPr>
          <w:trHeight w:val="196"/>
        </w:trPr>
        <w:tc>
          <w:tcPr>
            <w:tcW w:w="59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Foreign currency translation</w:t>
            </w:r>
          </w:p>
        </w:tc>
        <w:tc>
          <w:tcPr>
            <w:tcW w:w="5060" w:type="dxa"/>
            <w:vAlign w:val="bottom"/>
            <w:tcBorders>
              <w:bottom w:val="single" w:sz="8" w:color="61656A"/>
            </w:tcBorders>
          </w:tcPr>
          <w:p>
            <w:pPr>
              <w:jc w:val="center"/>
              <w:ind w:left="3128"/>
              <w:spacing w:after="0"/>
              <w:rPr>
                <w:sz w:val="20"/>
                <w:szCs w:val="20"/>
                <w:color w:val="auto"/>
              </w:rPr>
            </w:pPr>
            <w:r>
              <w:rPr>
                <w:rFonts w:ascii="Arial" w:cs="Arial" w:eastAsia="Arial" w:hAnsi="Arial"/>
                <w:sz w:val="14"/>
                <w:szCs w:val="14"/>
                <w:color w:val="auto"/>
                <w:w w:val="98"/>
              </w:rPr>
              <w:t>—%</w:t>
            </w:r>
          </w:p>
        </w:tc>
      </w:tr>
      <w:tr>
        <w:trPr>
          <w:trHeight w:val="196"/>
        </w:trPr>
        <w:tc>
          <w:tcPr>
            <w:tcW w:w="59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Acquisitions, divestitures, and other, net</w:t>
            </w:r>
          </w:p>
        </w:tc>
        <w:tc>
          <w:tcPr>
            <w:tcW w:w="5060" w:type="dxa"/>
            <w:vAlign w:val="bottom"/>
            <w:tcBorders>
              <w:bottom w:val="single" w:sz="8" w:color="D7282F"/>
            </w:tcBorders>
          </w:tcPr>
          <w:p>
            <w:pPr>
              <w:jc w:val="center"/>
              <w:ind w:left="3128"/>
              <w:spacing w:after="0"/>
              <w:rPr>
                <w:sz w:val="20"/>
                <w:szCs w:val="20"/>
                <w:color w:val="auto"/>
              </w:rPr>
            </w:pPr>
            <w:r>
              <w:rPr>
                <w:rFonts w:ascii="Arial" w:cs="Arial" w:eastAsia="Arial" w:hAnsi="Arial"/>
                <w:sz w:val="14"/>
                <w:szCs w:val="14"/>
                <w:color w:val="auto"/>
                <w:w w:val="98"/>
              </w:rPr>
              <w:t>—%</w:t>
            </w:r>
          </w:p>
        </w:tc>
      </w:tr>
      <w:tr>
        <w:trPr>
          <w:trHeight w:val="199"/>
        </w:trPr>
        <w:tc>
          <w:tcPr>
            <w:tcW w:w="5980" w:type="dxa"/>
            <w:vAlign w:val="bottom"/>
            <w:tcBorders>
              <w:bottom w:val="single" w:sz="8" w:color="D7282F"/>
            </w:tcBorders>
          </w:tcPr>
          <w:p>
            <w:pPr>
              <w:ind w:left="60"/>
              <w:spacing w:after="0"/>
              <w:rPr>
                <w:sz w:val="20"/>
                <w:szCs w:val="20"/>
                <w:color w:val="auto"/>
              </w:rPr>
            </w:pPr>
            <w:r>
              <w:rPr>
                <w:rFonts w:ascii="Arial" w:cs="Arial" w:eastAsia="Arial" w:hAnsi="Arial"/>
                <w:sz w:val="14"/>
                <w:szCs w:val="14"/>
                <w:b w:val="1"/>
                <w:bCs w:val="1"/>
                <w:color w:val="auto"/>
              </w:rPr>
              <w:t>Total % change in Net sales</w:t>
            </w:r>
          </w:p>
        </w:tc>
        <w:tc>
          <w:tcPr>
            <w:tcW w:w="5060" w:type="dxa"/>
            <w:vAlign w:val="bottom"/>
            <w:tcBorders>
              <w:bottom w:val="single" w:sz="8" w:color="D7282F"/>
            </w:tcBorders>
          </w:tcPr>
          <w:p>
            <w:pPr>
              <w:jc w:val="center"/>
              <w:ind w:left="3128"/>
              <w:spacing w:after="0"/>
              <w:rPr>
                <w:sz w:val="20"/>
                <w:szCs w:val="20"/>
                <w:color w:val="auto"/>
              </w:rPr>
            </w:pPr>
            <w:r>
              <w:rPr>
                <w:rFonts w:ascii="Arial" w:cs="Arial" w:eastAsia="Arial" w:hAnsi="Arial"/>
                <w:sz w:val="14"/>
                <w:szCs w:val="14"/>
                <w:b w:val="1"/>
                <w:bCs w:val="1"/>
                <w:color w:val="auto"/>
              </w:rPr>
              <w:t>3%</w:t>
            </w:r>
          </w:p>
        </w:tc>
      </w:tr>
    </w:tbl>
    <w:p>
      <w:pPr>
        <w:spacing w:after="0" w:line="18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 discussion of Net sales by reportable business segment can be found in the Review of Business Segments section of this Management's Discussion and Analysis.</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Q1 2024 compared with Q1 2023</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Net sales increased due to increased pricing and price adjustments to offset inflation.</w:t>
      </w:r>
    </w:p>
    <w:p>
      <w:pPr>
        <w:spacing w:after="0" w:line="200" w:lineRule="exact"/>
        <w:rPr>
          <w:sz w:val="20"/>
          <w:szCs w:val="20"/>
          <w:color w:val="auto"/>
        </w:rPr>
      </w:pPr>
    </w:p>
    <w:p>
      <w:pPr>
        <w:spacing w:after="0" w:line="250" w:lineRule="exact"/>
        <w:rPr>
          <w:sz w:val="20"/>
          <w:szCs w:val="20"/>
          <w:color w:val="auto"/>
        </w:rPr>
      </w:pPr>
    </w:p>
    <w:p>
      <w:pPr>
        <w:ind w:left="400" w:hanging="392"/>
        <w:spacing w:after="0"/>
        <w:tabs>
          <w:tab w:leader="none" w:pos="400" w:val="left"/>
        </w:tabs>
        <w:numPr>
          <w:ilvl w:val="0"/>
          <w:numId w:val="36"/>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Cost of Products and Services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2182495</wp:posOffset>
            </wp:positionH>
            <wp:positionV relativeFrom="paragraph">
              <wp:posOffset>80645</wp:posOffset>
            </wp:positionV>
            <wp:extent cx="2785745" cy="21431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785745"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Q1 2024 compared with Q1 2023</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Cost of products and services sold increased due to the following:</w:t>
      </w:r>
    </w:p>
    <w:p>
      <w:pPr>
        <w:spacing w:after="0" w:line="111" w:lineRule="exact"/>
        <w:rPr>
          <w:sz w:val="20"/>
          <w:szCs w:val="20"/>
          <w:color w:val="auto"/>
        </w:rPr>
      </w:pPr>
    </w:p>
    <w:p>
      <w:pPr>
        <w:ind w:left="640" w:hanging="308"/>
        <w:spacing w:after="0"/>
        <w:tabs>
          <w:tab w:leader="none" w:pos="640" w:val="left"/>
        </w:tabs>
        <w:numPr>
          <w:ilvl w:val="0"/>
          <w:numId w:val="37"/>
        </w:numPr>
        <w:rPr>
          <w:rFonts w:ascii="Arial" w:cs="Arial" w:eastAsia="Arial" w:hAnsi="Arial"/>
          <w:sz w:val="16"/>
          <w:szCs w:val="16"/>
          <w:color w:val="D7282F"/>
        </w:rPr>
      </w:pPr>
      <w:r>
        <w:rPr>
          <w:rFonts w:ascii="Arial" w:cs="Arial" w:eastAsia="Arial" w:hAnsi="Arial"/>
          <w:sz w:val="16"/>
          <w:szCs w:val="16"/>
          <w:color w:val="auto"/>
        </w:rPr>
        <w:t>Higher direct and indirect material costs and higher labor costs of approximately $0.2 billion or 4%,</w:t>
      </w:r>
    </w:p>
    <w:p>
      <w:pPr>
        <w:spacing w:after="0" w:line="86" w:lineRule="exact"/>
        <w:rPr>
          <w:rFonts w:ascii="Arial" w:cs="Arial" w:eastAsia="Arial" w:hAnsi="Arial"/>
          <w:sz w:val="16"/>
          <w:szCs w:val="16"/>
          <w:color w:val="D7282F"/>
        </w:rPr>
      </w:pPr>
    </w:p>
    <w:p>
      <w:pPr>
        <w:ind w:left="640" w:hanging="308"/>
        <w:spacing w:after="0"/>
        <w:tabs>
          <w:tab w:leader="none" w:pos="640" w:val="left"/>
        </w:tabs>
        <w:numPr>
          <w:ilvl w:val="0"/>
          <w:numId w:val="37"/>
        </w:numPr>
        <w:rPr>
          <w:rFonts w:ascii="Arial" w:cs="Arial" w:eastAsia="Arial" w:hAnsi="Arial"/>
          <w:sz w:val="16"/>
          <w:szCs w:val="16"/>
          <w:color w:val="D7282F"/>
        </w:rPr>
      </w:pPr>
      <w:r>
        <w:rPr>
          <w:rFonts w:ascii="Arial" w:cs="Arial" w:eastAsia="Arial" w:hAnsi="Arial"/>
          <w:sz w:val="16"/>
          <w:szCs w:val="16"/>
          <w:color w:val="auto"/>
        </w:rPr>
        <w:t>Partially offset by higher productivity of approximately $0.1 billion or 2%.</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Gross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2182495</wp:posOffset>
            </wp:positionH>
            <wp:positionV relativeFrom="paragraph">
              <wp:posOffset>80645</wp:posOffset>
            </wp:positionV>
            <wp:extent cx="2785745" cy="21431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785745"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Q1 2024 compared with Q1 2023</w:t>
      </w:r>
    </w:p>
    <w:p>
      <w:pPr>
        <w:spacing w:after="0" w:line="21"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Gross margin increased by approximately $0.2 billion and gross margin percentage increased 70 basis points to 38.7% compared to 38.0% for the same period of 2023.</w:t>
      </w:r>
    </w:p>
    <w:p>
      <w:pPr>
        <w:spacing w:after="0" w:line="389" w:lineRule="exact"/>
        <w:rPr>
          <w:sz w:val="20"/>
          <w:szCs w:val="20"/>
          <w:color w:val="auto"/>
        </w:rPr>
      </w:pPr>
    </w:p>
    <w:p>
      <w:pPr>
        <w:ind w:left="400" w:hanging="392"/>
        <w:spacing w:after="0"/>
        <w:tabs>
          <w:tab w:leader="none" w:pos="400" w:val="left"/>
        </w:tabs>
        <w:numPr>
          <w:ilvl w:val="0"/>
          <w:numId w:val="38"/>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Research and Development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2182495</wp:posOffset>
            </wp:positionH>
            <wp:positionV relativeFrom="paragraph">
              <wp:posOffset>80645</wp:posOffset>
            </wp:positionV>
            <wp:extent cx="2785745" cy="21431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785745"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Q1 2024 compared with Q1 2023</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Research and development expenses were largely unchanged.</w:t>
      </w:r>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Selling, 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2182495</wp:posOffset>
            </wp:positionH>
            <wp:positionV relativeFrom="paragraph">
              <wp:posOffset>80645</wp:posOffset>
            </wp:positionV>
            <wp:extent cx="2785745" cy="21431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785745"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Q1 2024 compared with Q1 2023</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Selling, general and administrative expenses were largely unchanged.</w:t>
      </w:r>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(Income) Expense</w:t>
      </w:r>
    </w:p>
    <w:p>
      <w:pPr>
        <w:spacing w:after="0" w:line="158" w:lineRule="exact"/>
        <w:rPr>
          <w:sz w:val="20"/>
          <w:szCs w:val="20"/>
          <w:color w:val="auto"/>
        </w:rPr>
      </w:pPr>
    </w:p>
    <w:p>
      <w:pPr>
        <w:jc w:val="center"/>
        <w:ind w:left="9060"/>
        <w:spacing w:after="0"/>
        <w:rPr>
          <w:sz w:val="20"/>
          <w:szCs w:val="20"/>
          <w:color w:val="auto"/>
        </w:rPr>
      </w:pPr>
      <w:r>
        <w:rPr>
          <w:rFonts w:ascii="Arial" w:cs="Arial" w:eastAsia="Arial" w:hAnsi="Arial"/>
          <w:sz w:val="14"/>
          <w:szCs w:val="14"/>
          <w:b w:val="1"/>
          <w:bCs w:val="1"/>
          <w:color w:val="auto"/>
        </w:rPr>
        <w:t>Three Months Ended</w:t>
      </w:r>
    </w:p>
    <w:p>
      <w:pPr>
        <w:spacing w:after="0" w:line="2" w:lineRule="exact"/>
        <w:rPr>
          <w:sz w:val="20"/>
          <w:szCs w:val="20"/>
          <w:color w:val="auto"/>
        </w:rPr>
      </w:pPr>
    </w:p>
    <w:p>
      <w:pPr>
        <w:jc w:val="center"/>
        <w:ind w:left="90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6350</wp:posOffset>
            </wp:positionV>
            <wp:extent cx="11226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8" w:lineRule="exact"/>
        <w:rPr>
          <w:sz w:val="20"/>
          <w:szCs w:val="20"/>
          <w:color w:val="auto"/>
        </w:rPr>
      </w:pPr>
    </w:p>
    <w:p>
      <w:pPr>
        <w:ind w:left="9500"/>
        <w:spacing w:after="0"/>
        <w:tabs>
          <w:tab w:leader="none" w:pos="10480" w:val="left"/>
        </w:tabs>
        <w:rPr>
          <w:sz w:val="20"/>
          <w:szCs w:val="20"/>
          <w:color w:val="auto"/>
        </w:rPr>
      </w:pPr>
      <w:r>
        <w:rPr>
          <w:rFonts w:ascii="Arial" w:cs="Arial" w:eastAsia="Arial" w:hAnsi="Arial"/>
          <w:sz w:val="14"/>
          <w:szCs w:val="14"/>
          <w:b w:val="1"/>
          <w:bCs w:val="1"/>
          <w:color w:val="auto"/>
        </w:rPr>
        <w:t>2024</w:t>
      </w:r>
      <w:r>
        <w:rPr>
          <w:sz w:val="20"/>
          <w:szCs w:val="20"/>
          <w:color w:val="auto"/>
        </w:rPr>
        <w:tab/>
      </w:r>
      <w:r>
        <w:rPr>
          <w:rFonts w:ascii="Arial" w:cs="Arial" w:eastAsia="Arial" w:hAnsi="Arial"/>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00341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35" w:lineRule="exact"/>
        <w:rPr>
          <w:sz w:val="20"/>
          <w:szCs w:val="20"/>
          <w:color w:val="auto"/>
        </w:rPr>
      </w:pPr>
    </w:p>
    <w:p>
      <w:pPr>
        <w:ind w:left="20"/>
        <w:spacing w:after="0"/>
        <w:tabs>
          <w:tab w:leader="none" w:pos="9260" w:val="left"/>
          <w:tab w:leader="none" w:pos="9660" w:val="left"/>
          <w:tab w:leader="none" w:pos="10260" w:val="left"/>
          <w:tab w:leader="none" w:pos="10660" w:val="left"/>
        </w:tabs>
        <w:rPr>
          <w:sz w:val="20"/>
          <w:szCs w:val="20"/>
          <w:color w:val="auto"/>
        </w:rPr>
      </w:pPr>
      <w:r>
        <w:rPr>
          <w:rFonts w:ascii="Arial" w:cs="Arial" w:eastAsia="Arial" w:hAnsi="Arial"/>
          <w:sz w:val="14"/>
          <w:szCs w:val="14"/>
          <w:color w:val="auto"/>
        </w:rPr>
        <w:t>Other (income) expense</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(231)</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(260)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00341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0341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Q1 2024 compared with Q1 2023</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Other income declined slightly.</w:t>
      </w:r>
    </w:p>
    <w:p>
      <w:pPr>
        <w:spacing w:after="0" w:line="200" w:lineRule="exact"/>
        <w:rPr>
          <w:sz w:val="20"/>
          <w:szCs w:val="20"/>
          <w:color w:val="auto"/>
        </w:rPr>
      </w:pPr>
    </w:p>
    <w:p>
      <w:pPr>
        <w:spacing w:after="0" w:line="236" w:lineRule="exact"/>
        <w:rPr>
          <w:sz w:val="20"/>
          <w:szCs w:val="20"/>
          <w:color w:val="auto"/>
        </w:rPr>
      </w:pPr>
    </w:p>
    <w:p>
      <w:pPr>
        <w:ind w:left="400" w:hanging="392"/>
        <w:spacing w:after="0"/>
        <w:tabs>
          <w:tab w:leader="none" w:pos="400" w:val="left"/>
        </w:tabs>
        <w:numPr>
          <w:ilvl w:val="0"/>
          <w:numId w:val="39"/>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2" w:right="559" w:bottom="1440" w:gutter="0" w:footer="0" w:header="0"/>
        </w:sectPr>
      </w:pPr>
    </w:p>
    <w:bookmarkStart w:id="39" w:name="page40"/>
    <w:bookmarkEnd w:id="3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2182495</wp:posOffset>
            </wp:positionH>
            <wp:positionV relativeFrom="paragraph">
              <wp:posOffset>80645</wp:posOffset>
            </wp:positionV>
            <wp:extent cx="2785745" cy="21431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785745"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Q1 2024 compared with Q1 2023</w:t>
      </w:r>
    </w:p>
    <w:p>
      <w:pPr>
        <w:spacing w:after="0" w:line="21"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The effective tax rate increased as a result of incremental tax expense from reduced tax reserve activity, partially offset by increased tax benefits from employee-share based compensation and other accrued taxes, representing a 20 basis-point increase.</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Income Attributable to Honeywell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2182495</wp:posOffset>
            </wp:positionH>
            <wp:positionV relativeFrom="paragraph">
              <wp:posOffset>89535</wp:posOffset>
            </wp:positionV>
            <wp:extent cx="2785745" cy="21431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785745"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Q1 2024 compared to Q1 2023</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Earnings per share of common stock–assuming dilution increased due to the following:</w:t>
      </w:r>
    </w:p>
    <w:p>
      <w:pPr>
        <w:spacing w:after="0" w:line="97" w:lineRule="exact"/>
        <w:rPr>
          <w:sz w:val="20"/>
          <w:szCs w:val="20"/>
          <w:color w:val="auto"/>
        </w:rPr>
      </w:pPr>
    </w:p>
    <w:p>
      <w:pPr>
        <w:ind w:left="200" w:hanging="192"/>
        <w:spacing w:after="0"/>
        <w:tabs>
          <w:tab w:leader="none" w:pos="200" w:val="left"/>
        </w:tabs>
        <w:numPr>
          <w:ilvl w:val="0"/>
          <w:numId w:val="40"/>
        </w:numPr>
        <w:rPr>
          <w:rFonts w:ascii="Arial" w:cs="Arial" w:eastAsia="Arial" w:hAnsi="Arial"/>
          <w:sz w:val="16"/>
          <w:szCs w:val="16"/>
          <w:color w:val="DC202E"/>
        </w:rPr>
      </w:pPr>
      <w:r>
        <w:rPr>
          <w:rFonts w:ascii="Arial" w:cs="Arial" w:eastAsia="Arial" w:hAnsi="Arial"/>
          <w:sz w:val="16"/>
          <w:szCs w:val="16"/>
          <w:color w:val="auto"/>
        </w:rPr>
        <w:t>Higher segment profit ($0.09 after tax),</w:t>
      </w:r>
    </w:p>
    <w:p>
      <w:pPr>
        <w:spacing w:after="0" w:line="86" w:lineRule="exact"/>
        <w:rPr>
          <w:rFonts w:ascii="Arial" w:cs="Arial" w:eastAsia="Arial" w:hAnsi="Arial"/>
          <w:sz w:val="16"/>
          <w:szCs w:val="16"/>
          <w:color w:val="DC202E"/>
        </w:rPr>
      </w:pPr>
    </w:p>
    <w:p>
      <w:pPr>
        <w:ind w:left="200" w:hanging="192"/>
        <w:spacing w:after="0"/>
        <w:tabs>
          <w:tab w:leader="none" w:pos="200" w:val="left"/>
        </w:tabs>
        <w:numPr>
          <w:ilvl w:val="0"/>
          <w:numId w:val="40"/>
        </w:numPr>
        <w:rPr>
          <w:rFonts w:ascii="Arial" w:cs="Arial" w:eastAsia="Arial" w:hAnsi="Arial"/>
          <w:sz w:val="16"/>
          <w:szCs w:val="16"/>
          <w:color w:val="D7282F"/>
        </w:rPr>
      </w:pPr>
      <w:r>
        <w:rPr>
          <w:rFonts w:ascii="Arial" w:cs="Arial" w:eastAsia="Arial" w:hAnsi="Arial"/>
          <w:sz w:val="16"/>
          <w:szCs w:val="16"/>
          <w:color w:val="auto"/>
        </w:rPr>
        <w:t>Lower repositioning and other charges ($0.06 after tax),</w:t>
      </w:r>
    </w:p>
    <w:p>
      <w:pPr>
        <w:spacing w:after="0" w:line="72" w:lineRule="exact"/>
        <w:rPr>
          <w:rFonts w:ascii="Arial" w:cs="Arial" w:eastAsia="Arial" w:hAnsi="Arial"/>
          <w:sz w:val="16"/>
          <w:szCs w:val="16"/>
          <w:color w:val="D7282F"/>
        </w:rPr>
      </w:pPr>
    </w:p>
    <w:p>
      <w:pPr>
        <w:ind w:left="200" w:hanging="192"/>
        <w:spacing w:after="0"/>
        <w:tabs>
          <w:tab w:leader="none" w:pos="200" w:val="left"/>
        </w:tabs>
        <w:numPr>
          <w:ilvl w:val="0"/>
          <w:numId w:val="40"/>
        </w:numPr>
        <w:rPr>
          <w:rFonts w:ascii="Arial" w:cs="Arial" w:eastAsia="Arial" w:hAnsi="Arial"/>
          <w:sz w:val="16"/>
          <w:szCs w:val="16"/>
          <w:color w:val="DC202E"/>
        </w:rPr>
      </w:pPr>
      <w:r>
        <w:rPr>
          <w:rFonts w:ascii="Arial" w:cs="Arial" w:eastAsia="Arial" w:hAnsi="Arial"/>
          <w:sz w:val="16"/>
          <w:szCs w:val="16"/>
          <w:color w:val="auto"/>
        </w:rPr>
        <w:t>Higher interest income ($0.03 after tax), and</w:t>
      </w:r>
    </w:p>
    <w:p>
      <w:pPr>
        <w:spacing w:after="0" w:line="86" w:lineRule="exact"/>
        <w:rPr>
          <w:rFonts w:ascii="Arial" w:cs="Arial" w:eastAsia="Arial" w:hAnsi="Arial"/>
          <w:sz w:val="16"/>
          <w:szCs w:val="16"/>
          <w:color w:val="DC202E"/>
        </w:rPr>
      </w:pPr>
    </w:p>
    <w:p>
      <w:pPr>
        <w:ind w:left="200" w:hanging="192"/>
        <w:spacing w:after="0"/>
        <w:tabs>
          <w:tab w:leader="none" w:pos="200" w:val="left"/>
        </w:tabs>
        <w:numPr>
          <w:ilvl w:val="0"/>
          <w:numId w:val="40"/>
        </w:numPr>
        <w:rPr>
          <w:rFonts w:ascii="Arial" w:cs="Arial" w:eastAsia="Arial" w:hAnsi="Arial"/>
          <w:sz w:val="16"/>
          <w:szCs w:val="16"/>
          <w:color w:val="DC202E"/>
        </w:rPr>
      </w:pPr>
      <w:r>
        <w:rPr>
          <w:rFonts w:ascii="Arial" w:cs="Arial" w:eastAsia="Arial" w:hAnsi="Arial"/>
          <w:sz w:val="16"/>
          <w:szCs w:val="16"/>
          <w:color w:val="auto"/>
        </w:rPr>
        <w:t>Lower share count ($0.05 after tax),</w:t>
      </w:r>
    </w:p>
    <w:p>
      <w:pPr>
        <w:spacing w:after="0" w:line="86" w:lineRule="exact"/>
        <w:rPr>
          <w:rFonts w:ascii="Arial" w:cs="Arial" w:eastAsia="Arial" w:hAnsi="Arial"/>
          <w:sz w:val="16"/>
          <w:szCs w:val="16"/>
          <w:color w:val="DC202E"/>
        </w:rPr>
      </w:pPr>
    </w:p>
    <w:p>
      <w:pPr>
        <w:ind w:left="200" w:hanging="192"/>
        <w:spacing w:after="0"/>
        <w:tabs>
          <w:tab w:leader="none" w:pos="200" w:val="left"/>
        </w:tabs>
        <w:numPr>
          <w:ilvl w:val="0"/>
          <w:numId w:val="40"/>
        </w:numPr>
        <w:rPr>
          <w:rFonts w:ascii="Arial" w:cs="Arial" w:eastAsia="Arial" w:hAnsi="Arial"/>
          <w:sz w:val="16"/>
          <w:szCs w:val="16"/>
          <w:color w:val="DC202E"/>
        </w:rPr>
      </w:pPr>
      <w:r>
        <w:rPr>
          <w:rFonts w:ascii="Arial" w:cs="Arial" w:eastAsia="Arial" w:hAnsi="Arial"/>
          <w:sz w:val="16"/>
          <w:szCs w:val="16"/>
          <w:color w:val="auto"/>
        </w:rPr>
        <w:t>Partially offset by higher interest expense (loss of $0.06 after tax).</w:t>
      </w:r>
    </w:p>
    <w:p>
      <w:pPr>
        <w:spacing w:after="0" w:line="200" w:lineRule="exact"/>
        <w:rPr>
          <w:sz w:val="20"/>
          <w:szCs w:val="20"/>
          <w:color w:val="auto"/>
        </w:rPr>
      </w:pPr>
    </w:p>
    <w:p>
      <w:pPr>
        <w:spacing w:after="0" w:line="225" w:lineRule="exact"/>
        <w:rPr>
          <w:sz w:val="20"/>
          <w:szCs w:val="20"/>
          <w:color w:val="auto"/>
        </w:rPr>
      </w:pPr>
    </w:p>
    <w:p>
      <w:pPr>
        <w:ind w:left="400" w:hanging="392"/>
        <w:spacing w:after="0"/>
        <w:tabs>
          <w:tab w:leader="none" w:pos="400" w:val="left"/>
        </w:tabs>
        <w:numPr>
          <w:ilvl w:val="0"/>
          <w:numId w:val="41"/>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REVIEW OF BUSINESS SEGMENTS</w:t>
      </w:r>
    </w:p>
    <w:p>
      <w:pPr>
        <w:spacing w:after="0" w:line="39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212529"/>
        </w:rPr>
        <w:t xml:space="preserve">During the first quarter of 2024, the Company realigned certain of its business units as reflected in Note 18 Segment Financial Data, which impacts the composition of its reportable segments. The Company recast historical periods to reflect this change in segment presentation. See Note 18 Segment Financial Data to </w:t>
      </w:r>
      <w:r>
        <w:rPr>
          <w:rFonts w:ascii="Arial" w:cs="Arial" w:eastAsia="Arial" w:hAnsi="Arial"/>
          <w:sz w:val="16"/>
          <w:szCs w:val="16"/>
          <w:color w:val="000000"/>
        </w:rPr>
        <w:t>Notes to Consolidated Financial Statements for further discussion.</w:t>
      </w:r>
    </w:p>
    <w:p>
      <w:pPr>
        <w:spacing w:after="0" w:line="7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globally manage our business operations through four reportable business segments: Aerospace Technologies, Industrial Automation, Building Automation, and Energy and Sustainability Solutions.</w:t>
      </w:r>
    </w:p>
    <w:p>
      <w:pPr>
        <w:spacing w:after="0" w:line="219" w:lineRule="exact"/>
        <w:rPr>
          <w:sz w:val="20"/>
          <w:szCs w:val="20"/>
          <w:color w:val="auto"/>
        </w:rPr>
      </w:pPr>
    </w:p>
    <w:p>
      <w:pPr>
        <w:spacing w:after="0"/>
        <w:rPr>
          <w:sz w:val="20"/>
          <w:szCs w:val="20"/>
          <w:color w:val="auto"/>
        </w:rPr>
      </w:pPr>
      <w:r>
        <w:rPr>
          <w:rFonts w:ascii="Arial" w:cs="Arial" w:eastAsia="Arial" w:hAnsi="Arial"/>
          <w:sz w:val="29"/>
          <w:szCs w:val="29"/>
          <w:color w:val="D7282F"/>
        </w:rPr>
        <w:t>AEROSPACE TECHNOLOGIES</w:t>
      </w: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80645</wp:posOffset>
            </wp:positionV>
            <wp:extent cx="3000375" cy="25717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000375"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80" w:type="dxa"/>
            <w:vAlign w:val="bottom"/>
            <w:gridSpan w:val="3"/>
          </w:tcPr>
          <w:p>
            <w:pPr>
              <w:jc w:val="right"/>
              <w:ind w:right="668"/>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9"/>
        </w:trPr>
        <w:tc>
          <w:tcPr>
            <w:tcW w:w="8360" w:type="dxa"/>
            <w:vAlign w:val="bottom"/>
          </w:tcPr>
          <w:p>
            <w:pPr>
              <w:spacing w:after="0"/>
              <w:rPr>
                <w:sz w:val="16"/>
                <w:szCs w:val="16"/>
                <w:color w:val="auto"/>
              </w:rPr>
            </w:pPr>
          </w:p>
        </w:tc>
        <w:tc>
          <w:tcPr>
            <w:tcW w:w="160" w:type="dxa"/>
            <w:vAlign w:val="bottom"/>
            <w:tcBorders>
              <w:bottom w:val="single" w:sz="8" w:color="D7282F"/>
            </w:tcBorders>
          </w:tcPr>
          <w:p>
            <w:pPr>
              <w:spacing w:after="0"/>
              <w:rPr>
                <w:sz w:val="16"/>
                <w:szCs w:val="16"/>
                <w:color w:val="auto"/>
              </w:rPr>
            </w:pPr>
          </w:p>
        </w:tc>
        <w:tc>
          <w:tcPr>
            <w:tcW w:w="520" w:type="dxa"/>
            <w:vAlign w:val="bottom"/>
            <w:tcBorders>
              <w:bottom w:val="single" w:sz="8" w:color="D7282F"/>
            </w:tcBorders>
          </w:tcPr>
          <w:p>
            <w:pPr>
              <w:spacing w:after="0"/>
              <w:rPr>
                <w:sz w:val="16"/>
                <w:szCs w:val="16"/>
                <w:color w:val="auto"/>
              </w:rPr>
            </w:pPr>
          </w:p>
        </w:tc>
        <w:tc>
          <w:tcPr>
            <w:tcW w:w="20" w:type="dxa"/>
            <w:vAlign w:val="bottom"/>
            <w:tcBorders>
              <w:bottom w:val="single" w:sz="8" w:color="D7282F"/>
            </w:tcBorders>
          </w:tcPr>
          <w:p>
            <w:pPr>
              <w:spacing w:after="0"/>
              <w:rPr>
                <w:sz w:val="16"/>
                <w:szCs w:val="16"/>
                <w:color w:val="auto"/>
              </w:rPr>
            </w:pPr>
          </w:p>
        </w:tc>
        <w:tc>
          <w:tcPr>
            <w:tcW w:w="400" w:type="dxa"/>
            <w:vAlign w:val="bottom"/>
            <w:tcBorders>
              <w:bottom w:val="single" w:sz="8" w:color="D7282F"/>
            </w:tcBorders>
          </w:tcPr>
          <w:p>
            <w:pPr>
              <w:spacing w:after="0"/>
              <w:rPr>
                <w:sz w:val="16"/>
                <w:szCs w:val="16"/>
                <w:color w:val="auto"/>
              </w:rPr>
            </w:pPr>
          </w:p>
        </w:tc>
        <w:tc>
          <w:tcPr>
            <w:tcW w:w="8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w w:val="99"/>
              </w:rPr>
              <w:t>March 31,</w:t>
            </w:r>
          </w:p>
        </w:tc>
        <w:tc>
          <w:tcPr>
            <w:tcW w:w="960" w:type="dxa"/>
            <w:vAlign w:val="bottom"/>
            <w:tcBorders>
              <w:bottom w:val="single" w:sz="8" w:color="D7282F"/>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8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2024</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2023</w:t>
            </w:r>
          </w:p>
        </w:tc>
        <w:tc>
          <w:tcPr>
            <w:tcW w:w="960" w:type="dxa"/>
            <w:vAlign w:val="bottom"/>
          </w:tcPr>
          <w:p>
            <w:pPr>
              <w:jc w:val="right"/>
              <w:ind w:right="308"/>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8360" w:type="dxa"/>
            <w:vAlign w:val="bottom"/>
            <w:tcBorders>
              <w:bottom w:val="single" w:sz="8" w:color="D7282F"/>
            </w:tcBorders>
          </w:tcPr>
          <w:p>
            <w:pPr>
              <w:spacing w:after="0"/>
              <w:rPr>
                <w:sz w:val="16"/>
                <w:szCs w:val="16"/>
                <w:color w:val="auto"/>
              </w:rPr>
            </w:pPr>
          </w:p>
        </w:tc>
        <w:tc>
          <w:tcPr>
            <w:tcW w:w="160" w:type="dxa"/>
            <w:vAlign w:val="bottom"/>
            <w:tcBorders>
              <w:bottom w:val="single" w:sz="8" w:color="D7282F"/>
            </w:tcBorders>
          </w:tcPr>
          <w:p>
            <w:pPr>
              <w:spacing w:after="0"/>
              <w:rPr>
                <w:sz w:val="16"/>
                <w:szCs w:val="16"/>
                <w:color w:val="auto"/>
              </w:rPr>
            </w:pPr>
          </w:p>
        </w:tc>
        <w:tc>
          <w:tcPr>
            <w:tcW w:w="520" w:type="dxa"/>
            <w:vAlign w:val="bottom"/>
            <w:tcBorders>
              <w:bottom w:val="single" w:sz="8" w:color="D7282F"/>
            </w:tcBorders>
            <w:vMerge w:val="continue"/>
          </w:tcPr>
          <w:p>
            <w:pPr>
              <w:spacing w:after="0"/>
              <w:rPr>
                <w:sz w:val="16"/>
                <w:szCs w:val="16"/>
                <w:color w:val="auto"/>
              </w:rPr>
            </w:pPr>
          </w:p>
        </w:tc>
        <w:tc>
          <w:tcPr>
            <w:tcW w:w="20" w:type="dxa"/>
            <w:vAlign w:val="bottom"/>
            <w:tcBorders>
              <w:bottom w:val="single" w:sz="8" w:color="D7282F"/>
            </w:tcBorders>
          </w:tcPr>
          <w:p>
            <w:pPr>
              <w:spacing w:after="0"/>
              <w:rPr>
                <w:sz w:val="16"/>
                <w:szCs w:val="16"/>
                <w:color w:val="auto"/>
              </w:rPr>
            </w:pPr>
          </w:p>
        </w:tc>
        <w:tc>
          <w:tcPr>
            <w:tcW w:w="400" w:type="dxa"/>
            <w:vAlign w:val="bottom"/>
            <w:tcBorders>
              <w:bottom w:val="single" w:sz="8" w:color="D7282F"/>
            </w:tcBorders>
          </w:tcPr>
          <w:p>
            <w:pPr>
              <w:spacing w:after="0"/>
              <w:rPr>
                <w:sz w:val="16"/>
                <w:szCs w:val="16"/>
                <w:color w:val="auto"/>
              </w:rPr>
            </w:pPr>
          </w:p>
        </w:tc>
        <w:tc>
          <w:tcPr>
            <w:tcW w:w="820" w:type="dxa"/>
            <w:vAlign w:val="bottom"/>
            <w:tcBorders>
              <w:bottom w:val="single" w:sz="8" w:color="D7282F"/>
            </w:tcBorders>
            <w:vMerge w:val="continue"/>
          </w:tcPr>
          <w:p>
            <w:pPr>
              <w:spacing w:after="0"/>
              <w:rPr>
                <w:sz w:val="16"/>
                <w:szCs w:val="16"/>
                <w:color w:val="auto"/>
              </w:rPr>
            </w:pPr>
          </w:p>
        </w:tc>
        <w:tc>
          <w:tcPr>
            <w:tcW w:w="9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2"/>
        </w:trPr>
        <w:tc>
          <w:tcPr>
            <w:tcW w:w="83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Net sales</w:t>
            </w:r>
          </w:p>
        </w:tc>
        <w:tc>
          <w:tcPr>
            <w:tcW w:w="16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61656A"/>
            </w:tcBorders>
            <w:gridSpan w:val="2"/>
          </w:tcPr>
          <w:p>
            <w:pPr>
              <w:jc w:val="right"/>
              <w:spacing w:after="0"/>
              <w:rPr>
                <w:sz w:val="20"/>
                <w:szCs w:val="20"/>
                <w:color w:val="auto"/>
              </w:rPr>
            </w:pPr>
            <w:r>
              <w:rPr>
                <w:rFonts w:ascii="Arial" w:cs="Arial" w:eastAsia="Arial" w:hAnsi="Arial"/>
                <w:sz w:val="14"/>
                <w:szCs w:val="14"/>
                <w:color w:val="auto"/>
              </w:rPr>
              <w:t>3,669</w:t>
            </w:r>
          </w:p>
        </w:tc>
        <w:tc>
          <w:tcPr>
            <w:tcW w:w="4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61656A"/>
            </w:tcBorders>
          </w:tcPr>
          <w:p>
            <w:pPr>
              <w:jc w:val="right"/>
              <w:ind w:right="148"/>
              <w:spacing w:after="0"/>
              <w:rPr>
                <w:sz w:val="20"/>
                <w:szCs w:val="20"/>
                <w:color w:val="auto"/>
              </w:rPr>
            </w:pPr>
            <w:r>
              <w:rPr>
                <w:rFonts w:ascii="Arial" w:cs="Arial" w:eastAsia="Arial" w:hAnsi="Arial"/>
                <w:sz w:val="14"/>
                <w:szCs w:val="14"/>
                <w:color w:val="auto"/>
              </w:rPr>
              <w:t>3,111</w:t>
            </w:r>
          </w:p>
        </w:tc>
        <w:tc>
          <w:tcPr>
            <w:tcW w:w="9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18 %</w:t>
            </w:r>
          </w:p>
        </w:tc>
        <w:tc>
          <w:tcPr>
            <w:tcW w:w="0" w:type="dxa"/>
            <w:vAlign w:val="bottom"/>
          </w:tcPr>
          <w:p>
            <w:pPr>
              <w:spacing w:after="0"/>
              <w:rPr>
                <w:sz w:val="1"/>
                <w:szCs w:val="1"/>
                <w:color w:val="auto"/>
              </w:rPr>
            </w:pPr>
          </w:p>
        </w:tc>
      </w:tr>
      <w:tr>
        <w:trPr>
          <w:trHeight w:val="196"/>
        </w:trPr>
        <w:tc>
          <w:tcPr>
            <w:tcW w:w="83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Cost of products and services sold</w:t>
            </w:r>
          </w:p>
        </w:tc>
        <w:tc>
          <w:tcPr>
            <w:tcW w:w="160" w:type="dxa"/>
            <w:vAlign w:val="bottom"/>
            <w:tcBorders>
              <w:bottom w:val="single" w:sz="8" w:color="61656A"/>
            </w:tcBorders>
          </w:tcPr>
          <w:p>
            <w:pPr>
              <w:spacing w:after="0"/>
              <w:rPr>
                <w:sz w:val="17"/>
                <w:szCs w:val="17"/>
                <w:color w:val="auto"/>
              </w:rPr>
            </w:pPr>
          </w:p>
        </w:tc>
        <w:tc>
          <w:tcPr>
            <w:tcW w:w="540" w:type="dxa"/>
            <w:vAlign w:val="bottom"/>
            <w:tcBorders>
              <w:bottom w:val="single" w:sz="8" w:color="61656A"/>
            </w:tcBorders>
            <w:gridSpan w:val="2"/>
          </w:tcPr>
          <w:p>
            <w:pPr>
              <w:jc w:val="right"/>
              <w:spacing w:after="0"/>
              <w:rPr>
                <w:sz w:val="20"/>
                <w:szCs w:val="20"/>
                <w:color w:val="auto"/>
              </w:rPr>
            </w:pPr>
            <w:r>
              <w:rPr>
                <w:rFonts w:ascii="Arial" w:cs="Arial" w:eastAsia="Arial" w:hAnsi="Arial"/>
                <w:sz w:val="14"/>
                <w:szCs w:val="14"/>
                <w:color w:val="auto"/>
              </w:rPr>
              <w:t>2,221</w:t>
            </w:r>
          </w:p>
        </w:tc>
        <w:tc>
          <w:tcPr>
            <w:tcW w:w="40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jc w:val="right"/>
              <w:ind w:right="148"/>
              <w:spacing w:after="0"/>
              <w:rPr>
                <w:sz w:val="20"/>
                <w:szCs w:val="20"/>
                <w:color w:val="auto"/>
              </w:rPr>
            </w:pPr>
            <w:r>
              <w:rPr>
                <w:rFonts w:ascii="Arial" w:cs="Arial" w:eastAsia="Arial" w:hAnsi="Arial"/>
                <w:sz w:val="14"/>
                <w:szCs w:val="14"/>
                <w:color w:val="auto"/>
              </w:rPr>
              <w:t>1,936</w:t>
            </w:r>
          </w:p>
        </w:tc>
        <w:tc>
          <w:tcPr>
            <w:tcW w:w="96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3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Selling, general and administrative and other expenses</w:t>
            </w:r>
          </w:p>
        </w:tc>
        <w:tc>
          <w:tcPr>
            <w:tcW w:w="160" w:type="dxa"/>
            <w:vAlign w:val="bottom"/>
            <w:tcBorders>
              <w:bottom w:val="single" w:sz="8" w:color="D7282F"/>
            </w:tcBorders>
          </w:tcPr>
          <w:p>
            <w:pPr>
              <w:spacing w:after="0"/>
              <w:rPr>
                <w:sz w:val="17"/>
                <w:szCs w:val="17"/>
                <w:color w:val="auto"/>
              </w:rPr>
            </w:pPr>
          </w:p>
        </w:tc>
        <w:tc>
          <w:tcPr>
            <w:tcW w:w="540" w:type="dxa"/>
            <w:vAlign w:val="bottom"/>
            <w:tcBorders>
              <w:bottom w:val="single" w:sz="8" w:color="D7282F"/>
            </w:tcBorders>
            <w:gridSpan w:val="2"/>
          </w:tcPr>
          <w:p>
            <w:pPr>
              <w:jc w:val="right"/>
              <w:spacing w:after="0"/>
              <w:rPr>
                <w:sz w:val="20"/>
                <w:szCs w:val="20"/>
                <w:color w:val="auto"/>
              </w:rPr>
            </w:pPr>
            <w:r>
              <w:rPr>
                <w:rFonts w:ascii="Arial" w:cs="Arial" w:eastAsia="Arial" w:hAnsi="Arial"/>
                <w:sz w:val="14"/>
                <w:szCs w:val="14"/>
                <w:color w:val="auto"/>
              </w:rPr>
              <w:t>417</w:t>
            </w:r>
          </w:p>
        </w:tc>
        <w:tc>
          <w:tcPr>
            <w:tcW w:w="400" w:type="dxa"/>
            <w:vAlign w:val="bottom"/>
            <w:tcBorders>
              <w:bottom w:val="single" w:sz="8" w:color="D7282F"/>
            </w:tcBorders>
          </w:tcPr>
          <w:p>
            <w:pPr>
              <w:spacing w:after="0"/>
              <w:rPr>
                <w:sz w:val="17"/>
                <w:szCs w:val="17"/>
                <w:color w:val="auto"/>
              </w:rPr>
            </w:pPr>
          </w:p>
        </w:tc>
        <w:tc>
          <w:tcPr>
            <w:tcW w:w="82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color w:val="auto"/>
              </w:rPr>
              <w:t>348</w:t>
            </w:r>
          </w:p>
        </w:tc>
        <w:tc>
          <w:tcPr>
            <w:tcW w:w="96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36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Segment profit</w:t>
            </w:r>
          </w:p>
        </w:tc>
        <w:tc>
          <w:tcPr>
            <w:tcW w:w="1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540" w:type="dxa"/>
            <w:vAlign w:val="bottom"/>
            <w:tcBorders>
              <w:bottom w:val="single" w:sz="8" w:color="D7282F"/>
            </w:tcBorders>
            <w:gridSpan w:val="2"/>
          </w:tcPr>
          <w:p>
            <w:pPr>
              <w:jc w:val="right"/>
              <w:spacing w:after="0"/>
              <w:rPr>
                <w:sz w:val="20"/>
                <w:szCs w:val="20"/>
                <w:color w:val="auto"/>
              </w:rPr>
            </w:pPr>
            <w:r>
              <w:rPr>
                <w:rFonts w:ascii="Arial" w:cs="Arial" w:eastAsia="Arial" w:hAnsi="Arial"/>
                <w:sz w:val="14"/>
                <w:szCs w:val="14"/>
                <w:b w:val="1"/>
                <w:bCs w:val="1"/>
                <w:color w:val="auto"/>
              </w:rPr>
              <w:t>1,031</w:t>
            </w:r>
          </w:p>
        </w:tc>
        <w:tc>
          <w:tcPr>
            <w:tcW w:w="4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827</w:t>
            </w:r>
          </w:p>
        </w:tc>
        <w:tc>
          <w:tcPr>
            <w:tcW w:w="9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25 %</w:t>
            </w:r>
          </w:p>
        </w:tc>
        <w:tc>
          <w:tcPr>
            <w:tcW w:w="0" w:type="dxa"/>
            <w:vAlign w:val="bottom"/>
          </w:tcPr>
          <w:p>
            <w:pPr>
              <w:spacing w:after="0"/>
              <w:rPr>
                <w:sz w:val="1"/>
                <w:szCs w:val="1"/>
                <w:color w:val="auto"/>
              </w:rPr>
            </w:pPr>
          </w:p>
        </w:tc>
      </w:tr>
      <w:tr>
        <w:trPr>
          <w:trHeight w:val="412"/>
        </w:trPr>
        <w:tc>
          <w:tcPr>
            <w:tcW w:w="8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Borders>
              <w:bottom w:val="single" w:sz="8" w:color="D7282F"/>
            </w:tcBorders>
          </w:tcPr>
          <w:p>
            <w:pPr>
              <w:spacing w:after="0"/>
              <w:rPr>
                <w:sz w:val="24"/>
                <w:szCs w:val="24"/>
                <w:color w:val="auto"/>
              </w:rPr>
            </w:pPr>
          </w:p>
        </w:tc>
        <w:tc>
          <w:tcPr>
            <w:tcW w:w="400" w:type="dxa"/>
            <w:vAlign w:val="bottom"/>
            <w:tcBorders>
              <w:bottom w:val="single" w:sz="8" w:color="D7282F"/>
            </w:tcBorders>
          </w:tcPr>
          <w:p>
            <w:pPr>
              <w:spacing w:after="0"/>
              <w:rPr>
                <w:sz w:val="24"/>
                <w:szCs w:val="24"/>
                <w:color w:val="auto"/>
              </w:rPr>
            </w:pPr>
          </w:p>
        </w:tc>
        <w:tc>
          <w:tcPr>
            <w:tcW w:w="1780" w:type="dxa"/>
            <w:vAlign w:val="bottom"/>
            <w:tcBorders>
              <w:bottom w:val="single" w:sz="8" w:color="D7282F"/>
            </w:tcBorders>
            <w:gridSpan w:val="2"/>
          </w:tcPr>
          <w:p>
            <w:pPr>
              <w:jc w:val="center"/>
              <w:ind w:right="348"/>
              <w:spacing w:after="0"/>
              <w:rPr>
                <w:sz w:val="20"/>
                <w:szCs w:val="20"/>
                <w:color w:val="auto"/>
              </w:rPr>
            </w:pPr>
            <w:r>
              <w:rPr>
                <w:rFonts w:ascii="Arial" w:cs="Arial" w:eastAsia="Arial" w:hAnsi="Arial"/>
                <w:sz w:val="14"/>
                <w:szCs w:val="14"/>
                <w:b w:val="1"/>
                <w:bCs w:val="1"/>
                <w:color w:val="auto"/>
              </w:rPr>
              <w:t>2024 vs. 2023</w:t>
            </w:r>
          </w:p>
        </w:tc>
        <w:tc>
          <w:tcPr>
            <w:tcW w:w="0" w:type="dxa"/>
            <w:vAlign w:val="bottom"/>
          </w:tcPr>
          <w:p>
            <w:pPr>
              <w:spacing w:after="0"/>
              <w:rPr>
                <w:sz w:val="1"/>
                <w:szCs w:val="1"/>
                <w:color w:val="auto"/>
              </w:rPr>
            </w:pPr>
          </w:p>
        </w:tc>
      </w:tr>
      <w:tr>
        <w:trPr>
          <w:trHeight w:val="147"/>
        </w:trPr>
        <w:tc>
          <w:tcPr>
            <w:tcW w:w="8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80" w:type="dxa"/>
            <w:vAlign w:val="bottom"/>
            <w:gridSpan w:val="3"/>
          </w:tcPr>
          <w:p>
            <w:pPr>
              <w:jc w:val="center"/>
              <w:spacing w:after="0" w:line="147" w:lineRule="exact"/>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5"/>
        </w:trPr>
        <w:tc>
          <w:tcPr>
            <w:tcW w:w="8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Borders>
              <w:bottom w:val="single" w:sz="8" w:color="D7282F"/>
            </w:tcBorders>
          </w:tcPr>
          <w:p>
            <w:pPr>
              <w:spacing w:after="0"/>
              <w:rPr>
                <w:sz w:val="16"/>
                <w:szCs w:val="16"/>
                <w:color w:val="auto"/>
              </w:rPr>
            </w:pPr>
          </w:p>
        </w:tc>
        <w:tc>
          <w:tcPr>
            <w:tcW w:w="400" w:type="dxa"/>
            <w:vAlign w:val="bottom"/>
            <w:tcBorders>
              <w:bottom w:val="single" w:sz="8" w:color="D7282F"/>
            </w:tcBorders>
          </w:tcPr>
          <w:p>
            <w:pPr>
              <w:spacing w:after="0"/>
              <w:rPr>
                <w:sz w:val="16"/>
                <w:szCs w:val="16"/>
                <w:color w:val="auto"/>
              </w:rPr>
            </w:pPr>
          </w:p>
        </w:tc>
        <w:tc>
          <w:tcPr>
            <w:tcW w:w="1780" w:type="dxa"/>
            <w:vAlign w:val="bottom"/>
            <w:tcBorders>
              <w:bottom w:val="single" w:sz="8" w:color="D7282F"/>
            </w:tcBorders>
            <w:gridSpan w:val="2"/>
          </w:tcPr>
          <w:p>
            <w:pPr>
              <w:jc w:val="center"/>
              <w:ind w:right="348"/>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6"/>
        </w:trPr>
        <w:tc>
          <w:tcPr>
            <w:tcW w:w="83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Factors Contributing to Year-Over-Year Change</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2"/>
          </w:tcPr>
          <w:p>
            <w:pPr>
              <w:jc w:val="right"/>
              <w:ind w:right="568"/>
              <w:spacing w:after="0" w:line="147" w:lineRule="exact"/>
              <w:rPr>
                <w:sz w:val="20"/>
                <w:szCs w:val="20"/>
                <w:color w:val="auto"/>
              </w:rPr>
            </w:pPr>
            <w:r>
              <w:rPr>
                <w:rFonts w:ascii="Arial" w:cs="Arial" w:eastAsia="Arial" w:hAnsi="Arial"/>
                <w:sz w:val="14"/>
                <w:szCs w:val="14"/>
                <w:b w:val="1"/>
                <w:bCs w:val="1"/>
                <w:color w:val="auto"/>
              </w:rPr>
              <w:t>Net</w:t>
            </w:r>
          </w:p>
        </w:tc>
        <w:tc>
          <w:tcPr>
            <w:tcW w:w="960" w:type="dxa"/>
            <w:vAlign w:val="bottom"/>
          </w:tcPr>
          <w:p>
            <w:pPr>
              <w:jc w:val="right"/>
              <w:ind w:right="108"/>
              <w:spacing w:after="0" w:line="147" w:lineRule="exact"/>
              <w:rPr>
                <w:sz w:val="20"/>
                <w:szCs w:val="20"/>
                <w:color w:val="auto"/>
              </w:rPr>
            </w:pPr>
            <w:r>
              <w:rPr>
                <w:rFonts w:ascii="Arial" w:cs="Arial" w:eastAsia="Arial" w:hAnsi="Arial"/>
                <w:sz w:val="14"/>
                <w:szCs w:val="14"/>
                <w:b w:val="1"/>
                <w:bCs w:val="1"/>
                <w:color w:val="auto"/>
              </w:rPr>
              <w:t>Segment</w:t>
            </w:r>
          </w:p>
        </w:tc>
        <w:tc>
          <w:tcPr>
            <w:tcW w:w="0" w:type="dxa"/>
            <w:vAlign w:val="bottom"/>
          </w:tcPr>
          <w:p>
            <w:pPr>
              <w:spacing w:after="0"/>
              <w:rPr>
                <w:sz w:val="1"/>
                <w:szCs w:val="1"/>
                <w:color w:val="auto"/>
              </w:rPr>
            </w:pPr>
          </w:p>
        </w:tc>
      </w:tr>
      <w:tr>
        <w:trPr>
          <w:trHeight w:val="185"/>
        </w:trPr>
        <w:tc>
          <w:tcPr>
            <w:tcW w:w="8360" w:type="dxa"/>
            <w:vAlign w:val="bottom"/>
            <w:tcBorders>
              <w:bottom w:val="single" w:sz="8" w:color="D7282F"/>
            </w:tcBorders>
            <w:vMerge w:val="continue"/>
          </w:tcPr>
          <w:p>
            <w:pPr>
              <w:spacing w:after="0"/>
              <w:rPr>
                <w:sz w:val="16"/>
                <w:szCs w:val="16"/>
                <w:color w:val="auto"/>
              </w:rPr>
            </w:pPr>
          </w:p>
        </w:tc>
        <w:tc>
          <w:tcPr>
            <w:tcW w:w="160" w:type="dxa"/>
            <w:vAlign w:val="bottom"/>
            <w:tcBorders>
              <w:bottom w:val="single" w:sz="8" w:color="D7282F"/>
            </w:tcBorders>
          </w:tcPr>
          <w:p>
            <w:pPr>
              <w:spacing w:after="0"/>
              <w:rPr>
                <w:sz w:val="16"/>
                <w:szCs w:val="16"/>
                <w:color w:val="auto"/>
              </w:rPr>
            </w:pPr>
          </w:p>
        </w:tc>
        <w:tc>
          <w:tcPr>
            <w:tcW w:w="520" w:type="dxa"/>
            <w:vAlign w:val="bottom"/>
            <w:tcBorders>
              <w:bottom w:val="single" w:sz="8" w:color="D7282F"/>
            </w:tcBorders>
          </w:tcPr>
          <w:p>
            <w:pPr>
              <w:spacing w:after="0"/>
              <w:rPr>
                <w:sz w:val="16"/>
                <w:szCs w:val="16"/>
                <w:color w:val="auto"/>
              </w:rPr>
            </w:pPr>
          </w:p>
        </w:tc>
        <w:tc>
          <w:tcPr>
            <w:tcW w:w="20" w:type="dxa"/>
            <w:vAlign w:val="bottom"/>
            <w:tcBorders>
              <w:bottom w:val="single" w:sz="8" w:color="D7282F"/>
            </w:tcBorders>
          </w:tcPr>
          <w:p>
            <w:pPr>
              <w:spacing w:after="0"/>
              <w:rPr>
                <w:sz w:val="16"/>
                <w:szCs w:val="16"/>
                <w:color w:val="auto"/>
              </w:rPr>
            </w:pPr>
          </w:p>
        </w:tc>
        <w:tc>
          <w:tcPr>
            <w:tcW w:w="1220" w:type="dxa"/>
            <w:vAlign w:val="bottom"/>
            <w:tcBorders>
              <w:bottom w:val="single" w:sz="8" w:color="D7282F"/>
            </w:tcBorders>
            <w:gridSpan w:val="2"/>
          </w:tcPr>
          <w:p>
            <w:pPr>
              <w:jc w:val="right"/>
              <w:ind w:right="488"/>
              <w:spacing w:after="0"/>
              <w:rPr>
                <w:sz w:val="20"/>
                <w:szCs w:val="20"/>
                <w:color w:val="auto"/>
              </w:rPr>
            </w:pPr>
            <w:r>
              <w:rPr>
                <w:rFonts w:ascii="Arial" w:cs="Arial" w:eastAsia="Arial" w:hAnsi="Arial"/>
                <w:sz w:val="14"/>
                <w:szCs w:val="14"/>
                <w:b w:val="1"/>
                <w:bCs w:val="1"/>
                <w:color w:val="auto"/>
              </w:rPr>
              <w:t>Sales</w:t>
            </w:r>
          </w:p>
        </w:tc>
        <w:tc>
          <w:tcPr>
            <w:tcW w:w="960" w:type="dxa"/>
            <w:vAlign w:val="bottom"/>
            <w:tcBorders>
              <w:bottom w:val="single" w:sz="8" w:color="D7282F"/>
            </w:tcBorders>
          </w:tcPr>
          <w:p>
            <w:pPr>
              <w:jc w:val="right"/>
              <w:ind w:right="228"/>
              <w:spacing w:after="0"/>
              <w:rPr>
                <w:sz w:val="20"/>
                <w:szCs w:val="20"/>
                <w:color w:val="auto"/>
              </w:rPr>
            </w:pPr>
            <w:r>
              <w:rPr>
                <w:rFonts w:ascii="Arial" w:cs="Arial" w:eastAsia="Arial" w:hAnsi="Arial"/>
                <w:sz w:val="14"/>
                <w:szCs w:val="14"/>
                <w:b w:val="1"/>
                <w:bCs w:val="1"/>
                <w:color w:val="auto"/>
              </w:rPr>
              <w:t>Profit</w:t>
            </w:r>
          </w:p>
        </w:tc>
        <w:tc>
          <w:tcPr>
            <w:tcW w:w="0" w:type="dxa"/>
            <w:vAlign w:val="bottom"/>
          </w:tcPr>
          <w:p>
            <w:pPr>
              <w:spacing w:after="0"/>
              <w:rPr>
                <w:sz w:val="1"/>
                <w:szCs w:val="1"/>
                <w:color w:val="auto"/>
              </w:rPr>
            </w:pPr>
          </w:p>
        </w:tc>
      </w:tr>
      <w:tr>
        <w:trPr>
          <w:trHeight w:val="192"/>
        </w:trPr>
        <w:tc>
          <w:tcPr>
            <w:tcW w:w="83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Organic</w:t>
            </w:r>
            <w:r>
              <w:rPr>
                <w:rFonts w:ascii="Arial" w:cs="Arial" w:eastAsia="Arial" w:hAnsi="Arial"/>
                <w:sz w:val="9"/>
                <w:szCs w:val="9"/>
                <w:color w:val="auto"/>
              </w:rPr>
              <w:t>1</w:t>
            </w:r>
          </w:p>
        </w:tc>
        <w:tc>
          <w:tcPr>
            <w:tcW w:w="160" w:type="dxa"/>
            <w:vAlign w:val="bottom"/>
            <w:tcBorders>
              <w:bottom w:val="single" w:sz="8" w:color="61656A"/>
            </w:tcBorders>
          </w:tcPr>
          <w:p>
            <w:pPr>
              <w:spacing w:after="0"/>
              <w:rPr>
                <w:sz w:val="16"/>
                <w:szCs w:val="16"/>
                <w:color w:val="auto"/>
              </w:rPr>
            </w:pPr>
          </w:p>
        </w:tc>
        <w:tc>
          <w:tcPr>
            <w:tcW w:w="520" w:type="dxa"/>
            <w:vAlign w:val="bottom"/>
            <w:tcBorders>
              <w:bottom w:val="single" w:sz="8" w:color="61656A"/>
            </w:tcBorders>
          </w:tcPr>
          <w:p>
            <w:pPr>
              <w:spacing w:after="0"/>
              <w:rPr>
                <w:sz w:val="16"/>
                <w:szCs w:val="16"/>
                <w:color w:val="auto"/>
              </w:rPr>
            </w:pPr>
          </w:p>
        </w:tc>
        <w:tc>
          <w:tcPr>
            <w:tcW w:w="20" w:type="dxa"/>
            <w:vAlign w:val="bottom"/>
            <w:tcBorders>
              <w:bottom w:val="single" w:sz="8" w:color="61656A"/>
            </w:tcBorders>
          </w:tcPr>
          <w:p>
            <w:pPr>
              <w:spacing w:after="0"/>
              <w:rPr>
                <w:sz w:val="16"/>
                <w:szCs w:val="16"/>
                <w:color w:val="auto"/>
              </w:rPr>
            </w:pPr>
          </w:p>
        </w:tc>
        <w:tc>
          <w:tcPr>
            <w:tcW w:w="400" w:type="dxa"/>
            <w:vAlign w:val="bottom"/>
            <w:tcBorders>
              <w:bottom w:val="single" w:sz="8" w:color="61656A"/>
            </w:tcBorders>
          </w:tcPr>
          <w:p>
            <w:pPr>
              <w:spacing w:after="0"/>
              <w:rPr>
                <w:sz w:val="16"/>
                <w:szCs w:val="16"/>
                <w:color w:val="auto"/>
              </w:rPr>
            </w:pPr>
          </w:p>
        </w:tc>
        <w:tc>
          <w:tcPr>
            <w:tcW w:w="820" w:type="dxa"/>
            <w:vAlign w:val="bottom"/>
            <w:tcBorders>
              <w:bottom w:val="single" w:sz="8" w:color="61656A"/>
            </w:tcBorders>
          </w:tcPr>
          <w:p>
            <w:pPr>
              <w:jc w:val="right"/>
              <w:ind w:right="208"/>
              <w:spacing w:after="0"/>
              <w:rPr>
                <w:sz w:val="20"/>
                <w:szCs w:val="20"/>
                <w:color w:val="auto"/>
              </w:rPr>
            </w:pPr>
            <w:r>
              <w:rPr>
                <w:rFonts w:ascii="Arial" w:cs="Arial" w:eastAsia="Arial" w:hAnsi="Arial"/>
                <w:sz w:val="14"/>
                <w:szCs w:val="14"/>
                <w:color w:val="auto"/>
              </w:rPr>
              <w:t>18 %</w:t>
            </w:r>
          </w:p>
        </w:tc>
        <w:tc>
          <w:tcPr>
            <w:tcW w:w="9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25 %</w:t>
            </w:r>
          </w:p>
        </w:tc>
        <w:tc>
          <w:tcPr>
            <w:tcW w:w="0" w:type="dxa"/>
            <w:vAlign w:val="bottom"/>
          </w:tcPr>
          <w:p>
            <w:pPr>
              <w:spacing w:after="0"/>
              <w:rPr>
                <w:sz w:val="1"/>
                <w:szCs w:val="1"/>
                <w:color w:val="auto"/>
              </w:rPr>
            </w:pPr>
          </w:p>
        </w:tc>
      </w:tr>
      <w:tr>
        <w:trPr>
          <w:trHeight w:val="196"/>
        </w:trPr>
        <w:tc>
          <w:tcPr>
            <w:tcW w:w="83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Foreign currency translation</w:t>
            </w:r>
          </w:p>
        </w:tc>
        <w:tc>
          <w:tcPr>
            <w:tcW w:w="160" w:type="dxa"/>
            <w:vAlign w:val="bottom"/>
            <w:tcBorders>
              <w:bottom w:val="single" w:sz="8" w:color="61656A"/>
            </w:tcBorders>
          </w:tcPr>
          <w:p>
            <w:pPr>
              <w:spacing w:after="0"/>
              <w:rPr>
                <w:sz w:val="17"/>
                <w:szCs w:val="17"/>
                <w:color w:val="auto"/>
              </w:rPr>
            </w:pPr>
          </w:p>
        </w:tc>
        <w:tc>
          <w:tcPr>
            <w:tcW w:w="520" w:type="dxa"/>
            <w:vAlign w:val="bottom"/>
            <w:tcBorders>
              <w:bottom w:val="single" w:sz="8" w:color="61656A"/>
            </w:tcBorders>
          </w:tcPr>
          <w:p>
            <w:pPr>
              <w:spacing w:after="0"/>
              <w:rPr>
                <w:sz w:val="17"/>
                <w:szCs w:val="17"/>
                <w:color w:val="auto"/>
              </w:rPr>
            </w:pPr>
          </w:p>
        </w:tc>
        <w:tc>
          <w:tcPr>
            <w:tcW w:w="20" w:type="dxa"/>
            <w:vAlign w:val="bottom"/>
            <w:tcBorders>
              <w:bottom w:val="single" w:sz="8" w:color="61656A"/>
            </w:tcBorders>
          </w:tcPr>
          <w:p>
            <w:pPr>
              <w:spacing w:after="0"/>
              <w:rPr>
                <w:sz w:val="17"/>
                <w:szCs w:val="17"/>
                <w:color w:val="auto"/>
              </w:rPr>
            </w:pPr>
          </w:p>
        </w:tc>
        <w:tc>
          <w:tcPr>
            <w:tcW w:w="40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jc w:val="right"/>
              <w:ind w:right="208"/>
              <w:spacing w:after="0"/>
              <w:rPr>
                <w:sz w:val="20"/>
                <w:szCs w:val="20"/>
                <w:color w:val="auto"/>
              </w:rPr>
            </w:pPr>
            <w:r>
              <w:rPr>
                <w:rFonts w:ascii="Arial" w:cs="Arial" w:eastAsia="Arial" w:hAnsi="Arial"/>
                <w:sz w:val="14"/>
                <w:szCs w:val="14"/>
                <w:color w:val="auto"/>
              </w:rPr>
              <w:t>— %</w:t>
            </w:r>
          </w:p>
        </w:tc>
        <w:tc>
          <w:tcPr>
            <w:tcW w:w="9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6"/>
        </w:trPr>
        <w:tc>
          <w:tcPr>
            <w:tcW w:w="83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Acquisitions, divestitures, and other, net</w:t>
            </w:r>
          </w:p>
        </w:tc>
        <w:tc>
          <w:tcPr>
            <w:tcW w:w="160" w:type="dxa"/>
            <w:vAlign w:val="bottom"/>
            <w:tcBorders>
              <w:bottom w:val="single" w:sz="8" w:color="D7282F"/>
            </w:tcBorders>
          </w:tcPr>
          <w:p>
            <w:pPr>
              <w:spacing w:after="0"/>
              <w:rPr>
                <w:sz w:val="17"/>
                <w:szCs w:val="17"/>
                <w:color w:val="auto"/>
              </w:rPr>
            </w:pPr>
          </w:p>
        </w:tc>
        <w:tc>
          <w:tcPr>
            <w:tcW w:w="520" w:type="dxa"/>
            <w:vAlign w:val="bottom"/>
            <w:tcBorders>
              <w:bottom w:val="single" w:sz="8" w:color="D7282F"/>
            </w:tcBorders>
          </w:tcPr>
          <w:p>
            <w:pPr>
              <w:spacing w:after="0"/>
              <w:rPr>
                <w:sz w:val="17"/>
                <w:szCs w:val="17"/>
                <w:color w:val="auto"/>
              </w:rPr>
            </w:pPr>
          </w:p>
        </w:tc>
        <w:tc>
          <w:tcPr>
            <w:tcW w:w="20" w:type="dxa"/>
            <w:vAlign w:val="bottom"/>
            <w:tcBorders>
              <w:bottom w:val="single" w:sz="8" w:color="D7282F"/>
            </w:tcBorders>
          </w:tcPr>
          <w:p>
            <w:pPr>
              <w:spacing w:after="0"/>
              <w:rPr>
                <w:sz w:val="17"/>
                <w:szCs w:val="17"/>
                <w:color w:val="auto"/>
              </w:rPr>
            </w:pPr>
          </w:p>
        </w:tc>
        <w:tc>
          <w:tcPr>
            <w:tcW w:w="400" w:type="dxa"/>
            <w:vAlign w:val="bottom"/>
            <w:tcBorders>
              <w:bottom w:val="single" w:sz="8" w:color="D7282F"/>
            </w:tcBorders>
          </w:tcPr>
          <w:p>
            <w:pPr>
              <w:spacing w:after="0"/>
              <w:rPr>
                <w:sz w:val="17"/>
                <w:szCs w:val="17"/>
                <w:color w:val="auto"/>
              </w:rPr>
            </w:pPr>
          </w:p>
        </w:tc>
        <w:tc>
          <w:tcPr>
            <w:tcW w:w="82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color w:val="auto"/>
              </w:rPr>
              <w:t>— %</w:t>
            </w:r>
          </w:p>
        </w:tc>
        <w:tc>
          <w:tcPr>
            <w:tcW w:w="9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9"/>
        </w:trPr>
        <w:tc>
          <w:tcPr>
            <w:tcW w:w="836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 change</w:t>
            </w:r>
          </w:p>
        </w:tc>
        <w:tc>
          <w:tcPr>
            <w:tcW w:w="160" w:type="dxa"/>
            <w:vAlign w:val="bottom"/>
            <w:tcBorders>
              <w:bottom w:val="single" w:sz="8" w:color="D7282F"/>
            </w:tcBorders>
          </w:tcPr>
          <w:p>
            <w:pPr>
              <w:spacing w:after="0"/>
              <w:rPr>
                <w:sz w:val="17"/>
                <w:szCs w:val="17"/>
                <w:color w:val="auto"/>
              </w:rPr>
            </w:pPr>
          </w:p>
        </w:tc>
        <w:tc>
          <w:tcPr>
            <w:tcW w:w="520" w:type="dxa"/>
            <w:vAlign w:val="bottom"/>
            <w:tcBorders>
              <w:bottom w:val="single" w:sz="8" w:color="D7282F"/>
            </w:tcBorders>
          </w:tcPr>
          <w:p>
            <w:pPr>
              <w:spacing w:after="0"/>
              <w:rPr>
                <w:sz w:val="17"/>
                <w:szCs w:val="17"/>
                <w:color w:val="auto"/>
              </w:rPr>
            </w:pPr>
          </w:p>
        </w:tc>
        <w:tc>
          <w:tcPr>
            <w:tcW w:w="20" w:type="dxa"/>
            <w:vAlign w:val="bottom"/>
            <w:tcBorders>
              <w:bottom w:val="single" w:sz="8" w:color="D7282F"/>
            </w:tcBorders>
          </w:tcPr>
          <w:p>
            <w:pPr>
              <w:spacing w:after="0"/>
              <w:rPr>
                <w:sz w:val="17"/>
                <w:szCs w:val="17"/>
                <w:color w:val="auto"/>
              </w:rPr>
            </w:pPr>
          </w:p>
        </w:tc>
        <w:tc>
          <w:tcPr>
            <w:tcW w:w="400" w:type="dxa"/>
            <w:vAlign w:val="bottom"/>
            <w:tcBorders>
              <w:bottom w:val="single" w:sz="8" w:color="D7282F"/>
            </w:tcBorders>
          </w:tcPr>
          <w:p>
            <w:pPr>
              <w:spacing w:after="0"/>
              <w:rPr>
                <w:sz w:val="17"/>
                <w:szCs w:val="17"/>
                <w:color w:val="auto"/>
              </w:rPr>
            </w:pPr>
          </w:p>
        </w:tc>
        <w:tc>
          <w:tcPr>
            <w:tcW w:w="82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18 %</w:t>
            </w:r>
          </w:p>
        </w:tc>
        <w:tc>
          <w:tcPr>
            <w:tcW w:w="9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25 %</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480" w:right="40" w:hanging="344"/>
        <w:spacing w:after="0" w:line="194" w:lineRule="auto"/>
        <w:tabs>
          <w:tab w:leader="none" w:pos="480" w:val="left"/>
        </w:tabs>
        <w:numPr>
          <w:ilvl w:val="0"/>
          <w:numId w:val="42"/>
        </w:numPr>
        <w:rPr>
          <w:rFonts w:ascii="Arial" w:cs="Arial" w:eastAsia="Arial" w:hAnsi="Arial"/>
          <w:sz w:val="25"/>
          <w:szCs w:val="25"/>
          <w:color w:val="auto"/>
          <w:vertAlign w:val="superscript"/>
        </w:rPr>
      </w:pPr>
      <w:r>
        <w:rPr>
          <w:rFonts w:ascii="Arial" w:cs="Arial" w:eastAsia="Arial" w:hAnsi="Arial"/>
          <w:sz w:val="13"/>
          <w:szCs w:val="13"/>
          <w:color w:val="auto"/>
        </w:rPr>
        <w:t>Organic sales % change, presented for all of our reportable business segments, is defined as the change in Net sales, excluding the impact on sales from foreign currency translation and acquisitions, net of divestitures, for the first 12 months following the transaction date. We believe this non-GAAP measure is useful to investors and management in understanding the ongoing operations and analysis of ongoing operating trends.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00" w:hanging="392"/>
        <w:spacing w:after="0"/>
        <w:tabs>
          <w:tab w:leader="none" w:pos="400" w:val="left"/>
        </w:tabs>
        <w:numPr>
          <w:ilvl w:val="0"/>
          <w:numId w:val="43"/>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Q1 2024 compared to Q1 2023</w:t>
      </w:r>
    </w:p>
    <w:p>
      <w:pPr>
        <w:spacing w:after="0" w:line="21"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Sales increased $558 million due to higher organic sales of $237 million in Commercial Aviation Aftermarket driven by higher sales volumes in air transport due to an increase in flight hours, higher organic sales of $187 million in Defense and Space driven by higher sales volumes due to increased shipments, and higher organic sales of $132 million in Commercial Aviation Original Equipment driven by higher sales volumes due to increased shipments.</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Segment profit increased $204 million and segment margin percentage increased 150 basis points to 28.1% compared to 26.6% for the same period of 2023.</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9"/>
          <w:szCs w:val="29"/>
          <w:color w:val="D7282F"/>
        </w:rPr>
        <w:t>INDUSTRIAL AUTOMATION</w:t>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80645</wp:posOffset>
            </wp:positionV>
            <wp:extent cx="3000375" cy="25717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000375"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180" w:type="dxa"/>
            <w:vAlign w:val="bottom"/>
            <w:gridSpan w:val="3"/>
          </w:tcPr>
          <w:p>
            <w:pPr>
              <w:jc w:val="right"/>
              <w:ind w:right="668"/>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9"/>
        </w:trPr>
        <w:tc>
          <w:tcPr>
            <w:tcW w:w="8360" w:type="dxa"/>
            <w:vAlign w:val="bottom"/>
          </w:tcPr>
          <w:p>
            <w:pPr>
              <w:spacing w:after="0"/>
              <w:rPr>
                <w:sz w:val="16"/>
                <w:szCs w:val="16"/>
                <w:color w:val="auto"/>
              </w:rPr>
            </w:pPr>
          </w:p>
        </w:tc>
        <w:tc>
          <w:tcPr>
            <w:tcW w:w="160" w:type="dxa"/>
            <w:vAlign w:val="bottom"/>
            <w:tcBorders>
              <w:bottom w:val="single" w:sz="8" w:color="D7282F"/>
            </w:tcBorders>
          </w:tcPr>
          <w:p>
            <w:pPr>
              <w:spacing w:after="0"/>
              <w:rPr>
                <w:sz w:val="16"/>
                <w:szCs w:val="16"/>
                <w:color w:val="auto"/>
              </w:rPr>
            </w:pPr>
          </w:p>
        </w:tc>
        <w:tc>
          <w:tcPr>
            <w:tcW w:w="540" w:type="dxa"/>
            <w:vAlign w:val="bottom"/>
            <w:tcBorders>
              <w:bottom w:val="single" w:sz="8" w:color="D7282F"/>
            </w:tcBorders>
          </w:tcPr>
          <w:p>
            <w:pPr>
              <w:spacing w:after="0"/>
              <w:rPr>
                <w:sz w:val="16"/>
                <w:szCs w:val="16"/>
                <w:color w:val="auto"/>
              </w:rPr>
            </w:pPr>
          </w:p>
        </w:tc>
        <w:tc>
          <w:tcPr>
            <w:tcW w:w="400" w:type="dxa"/>
            <w:vAlign w:val="bottom"/>
            <w:tcBorders>
              <w:bottom w:val="single" w:sz="8" w:color="D7282F"/>
            </w:tcBorders>
          </w:tcPr>
          <w:p>
            <w:pPr>
              <w:spacing w:after="0"/>
              <w:rPr>
                <w:sz w:val="16"/>
                <w:szCs w:val="16"/>
                <w:color w:val="auto"/>
              </w:rPr>
            </w:pPr>
          </w:p>
        </w:tc>
        <w:tc>
          <w:tcPr>
            <w:tcW w:w="8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w w:val="99"/>
              </w:rPr>
              <w:t>March 31,</w:t>
            </w:r>
          </w:p>
        </w:tc>
        <w:tc>
          <w:tcPr>
            <w:tcW w:w="960" w:type="dxa"/>
            <w:vAlign w:val="bottom"/>
            <w:tcBorders>
              <w:bottom w:val="single" w:sz="8" w:color="D7282F"/>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8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2024</w:t>
            </w:r>
          </w:p>
        </w:tc>
        <w:tc>
          <w:tcPr>
            <w:tcW w:w="400" w:type="dxa"/>
            <w:vAlign w:val="bottom"/>
          </w:tcPr>
          <w:p>
            <w:pPr>
              <w:spacing w:after="0"/>
              <w:rPr>
                <w:sz w:val="12"/>
                <w:szCs w:val="12"/>
                <w:color w:val="auto"/>
              </w:rPr>
            </w:pPr>
          </w:p>
        </w:tc>
        <w:tc>
          <w:tcPr>
            <w:tcW w:w="82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2023</w:t>
            </w:r>
          </w:p>
        </w:tc>
        <w:tc>
          <w:tcPr>
            <w:tcW w:w="960" w:type="dxa"/>
            <w:vAlign w:val="bottom"/>
          </w:tcPr>
          <w:p>
            <w:pPr>
              <w:jc w:val="right"/>
              <w:ind w:right="308"/>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8360" w:type="dxa"/>
            <w:vAlign w:val="bottom"/>
            <w:tcBorders>
              <w:bottom w:val="single" w:sz="8" w:color="D7282F"/>
            </w:tcBorders>
          </w:tcPr>
          <w:p>
            <w:pPr>
              <w:spacing w:after="0"/>
              <w:rPr>
                <w:sz w:val="16"/>
                <w:szCs w:val="16"/>
                <w:color w:val="auto"/>
              </w:rPr>
            </w:pPr>
          </w:p>
        </w:tc>
        <w:tc>
          <w:tcPr>
            <w:tcW w:w="160" w:type="dxa"/>
            <w:vAlign w:val="bottom"/>
            <w:tcBorders>
              <w:bottom w:val="single" w:sz="8" w:color="D7282F"/>
            </w:tcBorders>
          </w:tcPr>
          <w:p>
            <w:pPr>
              <w:spacing w:after="0"/>
              <w:rPr>
                <w:sz w:val="16"/>
                <w:szCs w:val="16"/>
                <w:color w:val="auto"/>
              </w:rPr>
            </w:pPr>
          </w:p>
        </w:tc>
        <w:tc>
          <w:tcPr>
            <w:tcW w:w="540" w:type="dxa"/>
            <w:vAlign w:val="bottom"/>
            <w:tcBorders>
              <w:bottom w:val="single" w:sz="8" w:color="D7282F"/>
            </w:tcBorders>
            <w:vMerge w:val="continue"/>
          </w:tcPr>
          <w:p>
            <w:pPr>
              <w:spacing w:after="0"/>
              <w:rPr>
                <w:sz w:val="16"/>
                <w:szCs w:val="16"/>
                <w:color w:val="auto"/>
              </w:rPr>
            </w:pPr>
          </w:p>
        </w:tc>
        <w:tc>
          <w:tcPr>
            <w:tcW w:w="400" w:type="dxa"/>
            <w:vAlign w:val="bottom"/>
            <w:tcBorders>
              <w:bottom w:val="single" w:sz="8" w:color="D7282F"/>
            </w:tcBorders>
          </w:tcPr>
          <w:p>
            <w:pPr>
              <w:spacing w:after="0"/>
              <w:rPr>
                <w:sz w:val="16"/>
                <w:szCs w:val="16"/>
                <w:color w:val="auto"/>
              </w:rPr>
            </w:pPr>
          </w:p>
        </w:tc>
        <w:tc>
          <w:tcPr>
            <w:tcW w:w="820" w:type="dxa"/>
            <w:vAlign w:val="bottom"/>
            <w:tcBorders>
              <w:bottom w:val="single" w:sz="8" w:color="D7282F"/>
            </w:tcBorders>
            <w:vMerge w:val="continue"/>
          </w:tcPr>
          <w:p>
            <w:pPr>
              <w:spacing w:after="0"/>
              <w:rPr>
                <w:sz w:val="16"/>
                <w:szCs w:val="16"/>
                <w:color w:val="auto"/>
              </w:rPr>
            </w:pPr>
          </w:p>
        </w:tc>
        <w:tc>
          <w:tcPr>
            <w:tcW w:w="9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2"/>
        </w:trPr>
        <w:tc>
          <w:tcPr>
            <w:tcW w:w="83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Net sales</w:t>
            </w:r>
          </w:p>
        </w:tc>
        <w:tc>
          <w:tcPr>
            <w:tcW w:w="16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2,478</w:t>
            </w:r>
          </w:p>
        </w:tc>
        <w:tc>
          <w:tcPr>
            <w:tcW w:w="400" w:type="dxa"/>
            <w:vAlign w:val="bottom"/>
            <w:tcBorders>
              <w:bottom w:val="single" w:sz="8" w:color="61656A"/>
            </w:tcBorders>
          </w:tcPr>
          <w:p>
            <w:pPr>
              <w:ind w:left="30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61656A"/>
            </w:tcBorders>
          </w:tcPr>
          <w:p>
            <w:pPr>
              <w:jc w:val="right"/>
              <w:ind w:right="148"/>
              <w:spacing w:after="0"/>
              <w:rPr>
                <w:sz w:val="20"/>
                <w:szCs w:val="20"/>
                <w:color w:val="auto"/>
              </w:rPr>
            </w:pPr>
            <w:r>
              <w:rPr>
                <w:rFonts w:ascii="Arial" w:cs="Arial" w:eastAsia="Arial" w:hAnsi="Arial"/>
                <w:sz w:val="14"/>
                <w:szCs w:val="14"/>
                <w:color w:val="auto"/>
              </w:rPr>
              <w:t>2,803</w:t>
            </w:r>
          </w:p>
        </w:tc>
        <w:tc>
          <w:tcPr>
            <w:tcW w:w="9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96"/>
        </w:trPr>
        <w:tc>
          <w:tcPr>
            <w:tcW w:w="83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Cost of products and services sold</w:t>
            </w:r>
          </w:p>
        </w:tc>
        <w:tc>
          <w:tcPr>
            <w:tcW w:w="160" w:type="dxa"/>
            <w:vAlign w:val="bottom"/>
            <w:tcBorders>
              <w:bottom w:val="single" w:sz="8" w:color="61656A"/>
            </w:tcBorders>
          </w:tcPr>
          <w:p>
            <w:pPr>
              <w:spacing w:after="0"/>
              <w:rPr>
                <w:sz w:val="17"/>
                <w:szCs w:val="17"/>
                <w:color w:val="auto"/>
              </w:rPr>
            </w:pPr>
          </w:p>
        </w:tc>
        <w:tc>
          <w:tcPr>
            <w:tcW w:w="5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1,503</w:t>
            </w:r>
          </w:p>
        </w:tc>
        <w:tc>
          <w:tcPr>
            <w:tcW w:w="40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jc w:val="right"/>
              <w:ind w:right="148"/>
              <w:spacing w:after="0"/>
              <w:rPr>
                <w:sz w:val="20"/>
                <w:szCs w:val="20"/>
                <w:color w:val="auto"/>
              </w:rPr>
            </w:pPr>
            <w:r>
              <w:rPr>
                <w:rFonts w:ascii="Arial" w:cs="Arial" w:eastAsia="Arial" w:hAnsi="Arial"/>
                <w:sz w:val="14"/>
                <w:szCs w:val="14"/>
                <w:color w:val="auto"/>
              </w:rPr>
              <w:t>1,724</w:t>
            </w:r>
          </w:p>
        </w:tc>
        <w:tc>
          <w:tcPr>
            <w:tcW w:w="96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3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Selling, general and administrative and other expenses</w:t>
            </w:r>
          </w:p>
        </w:tc>
        <w:tc>
          <w:tcPr>
            <w:tcW w:w="160" w:type="dxa"/>
            <w:vAlign w:val="bottom"/>
            <w:tcBorders>
              <w:bottom w:val="single" w:sz="8" w:color="D7282F"/>
            </w:tcBorders>
          </w:tcPr>
          <w:p>
            <w:pPr>
              <w:spacing w:after="0"/>
              <w:rPr>
                <w:sz w:val="17"/>
                <w:szCs w:val="17"/>
                <w:color w:val="auto"/>
              </w:rPr>
            </w:pPr>
          </w:p>
        </w:tc>
        <w:tc>
          <w:tcPr>
            <w:tcW w:w="5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558</w:t>
            </w:r>
          </w:p>
        </w:tc>
        <w:tc>
          <w:tcPr>
            <w:tcW w:w="400" w:type="dxa"/>
            <w:vAlign w:val="bottom"/>
            <w:tcBorders>
              <w:bottom w:val="single" w:sz="8" w:color="D7282F"/>
            </w:tcBorders>
          </w:tcPr>
          <w:p>
            <w:pPr>
              <w:spacing w:after="0"/>
              <w:rPr>
                <w:sz w:val="17"/>
                <w:szCs w:val="17"/>
                <w:color w:val="auto"/>
              </w:rPr>
            </w:pPr>
          </w:p>
        </w:tc>
        <w:tc>
          <w:tcPr>
            <w:tcW w:w="82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color w:val="auto"/>
              </w:rPr>
              <w:t>553</w:t>
            </w:r>
          </w:p>
        </w:tc>
        <w:tc>
          <w:tcPr>
            <w:tcW w:w="96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36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Segment profit</w:t>
            </w:r>
          </w:p>
        </w:tc>
        <w:tc>
          <w:tcPr>
            <w:tcW w:w="1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5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417</w:t>
            </w:r>
          </w:p>
        </w:tc>
        <w:tc>
          <w:tcPr>
            <w:tcW w:w="400" w:type="dxa"/>
            <w:vAlign w:val="bottom"/>
            <w:tcBorders>
              <w:bottom w:val="single" w:sz="8" w:color="D7282F"/>
            </w:tcBorders>
          </w:tcPr>
          <w:p>
            <w:pPr>
              <w:ind w:left="300"/>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526</w:t>
            </w:r>
          </w:p>
        </w:tc>
        <w:tc>
          <w:tcPr>
            <w:tcW w:w="9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(21)%</w:t>
            </w:r>
          </w:p>
        </w:tc>
        <w:tc>
          <w:tcPr>
            <w:tcW w:w="0" w:type="dxa"/>
            <w:vAlign w:val="bottom"/>
          </w:tcPr>
          <w:p>
            <w:pPr>
              <w:spacing w:after="0"/>
              <w:rPr>
                <w:sz w:val="1"/>
                <w:szCs w:val="1"/>
                <w:color w:val="auto"/>
              </w:rPr>
            </w:pPr>
          </w:p>
        </w:tc>
      </w:tr>
      <w:tr>
        <w:trPr>
          <w:trHeight w:val="412"/>
        </w:trPr>
        <w:tc>
          <w:tcPr>
            <w:tcW w:w="8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Borders>
              <w:bottom w:val="single" w:sz="8" w:color="D7282F"/>
            </w:tcBorders>
          </w:tcPr>
          <w:p>
            <w:pPr>
              <w:spacing w:after="0"/>
              <w:rPr>
                <w:sz w:val="24"/>
                <w:szCs w:val="24"/>
                <w:color w:val="auto"/>
              </w:rPr>
            </w:pPr>
          </w:p>
        </w:tc>
        <w:tc>
          <w:tcPr>
            <w:tcW w:w="1780" w:type="dxa"/>
            <w:vAlign w:val="bottom"/>
            <w:tcBorders>
              <w:bottom w:val="single" w:sz="8" w:color="D7282F"/>
            </w:tcBorders>
            <w:gridSpan w:val="2"/>
          </w:tcPr>
          <w:p>
            <w:pPr>
              <w:jc w:val="center"/>
              <w:ind w:right="348"/>
              <w:spacing w:after="0"/>
              <w:rPr>
                <w:sz w:val="20"/>
                <w:szCs w:val="20"/>
                <w:color w:val="auto"/>
              </w:rPr>
            </w:pPr>
            <w:r>
              <w:rPr>
                <w:rFonts w:ascii="Arial" w:cs="Arial" w:eastAsia="Arial" w:hAnsi="Arial"/>
                <w:sz w:val="14"/>
                <w:szCs w:val="14"/>
                <w:b w:val="1"/>
                <w:bCs w:val="1"/>
                <w:color w:val="auto"/>
              </w:rPr>
              <w:t>2024 vs. 2023</w:t>
            </w:r>
          </w:p>
        </w:tc>
        <w:tc>
          <w:tcPr>
            <w:tcW w:w="0" w:type="dxa"/>
            <w:vAlign w:val="bottom"/>
          </w:tcPr>
          <w:p>
            <w:pPr>
              <w:spacing w:after="0"/>
              <w:rPr>
                <w:sz w:val="1"/>
                <w:szCs w:val="1"/>
                <w:color w:val="auto"/>
              </w:rPr>
            </w:pPr>
          </w:p>
        </w:tc>
      </w:tr>
      <w:tr>
        <w:trPr>
          <w:trHeight w:val="147"/>
        </w:trPr>
        <w:tc>
          <w:tcPr>
            <w:tcW w:w="8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180" w:type="dxa"/>
            <w:vAlign w:val="bottom"/>
            <w:gridSpan w:val="3"/>
          </w:tcPr>
          <w:p>
            <w:pPr>
              <w:jc w:val="center"/>
              <w:spacing w:after="0" w:line="147" w:lineRule="exact"/>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5"/>
        </w:trPr>
        <w:tc>
          <w:tcPr>
            <w:tcW w:w="8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0" w:type="dxa"/>
            <w:vAlign w:val="bottom"/>
            <w:tcBorders>
              <w:bottom w:val="single" w:sz="8" w:color="D7282F"/>
            </w:tcBorders>
          </w:tcPr>
          <w:p>
            <w:pPr>
              <w:spacing w:after="0"/>
              <w:rPr>
                <w:sz w:val="16"/>
                <w:szCs w:val="16"/>
                <w:color w:val="auto"/>
              </w:rPr>
            </w:pPr>
          </w:p>
        </w:tc>
        <w:tc>
          <w:tcPr>
            <w:tcW w:w="1780" w:type="dxa"/>
            <w:vAlign w:val="bottom"/>
            <w:tcBorders>
              <w:bottom w:val="single" w:sz="8" w:color="D7282F"/>
            </w:tcBorders>
            <w:gridSpan w:val="2"/>
          </w:tcPr>
          <w:p>
            <w:pPr>
              <w:jc w:val="center"/>
              <w:ind w:right="328"/>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6"/>
        </w:trPr>
        <w:tc>
          <w:tcPr>
            <w:tcW w:w="83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Factors Contributing to Year-Over-Year Change</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20" w:type="dxa"/>
            <w:vAlign w:val="bottom"/>
            <w:gridSpan w:val="2"/>
          </w:tcPr>
          <w:p>
            <w:pPr>
              <w:jc w:val="right"/>
              <w:ind w:right="548"/>
              <w:spacing w:after="0" w:line="147" w:lineRule="exact"/>
              <w:rPr>
                <w:sz w:val="20"/>
                <w:szCs w:val="20"/>
                <w:color w:val="auto"/>
              </w:rPr>
            </w:pPr>
            <w:r>
              <w:rPr>
                <w:rFonts w:ascii="Arial" w:cs="Arial" w:eastAsia="Arial" w:hAnsi="Arial"/>
                <w:sz w:val="14"/>
                <w:szCs w:val="14"/>
                <w:b w:val="1"/>
                <w:bCs w:val="1"/>
                <w:color w:val="auto"/>
              </w:rPr>
              <w:t>Net</w:t>
            </w:r>
          </w:p>
        </w:tc>
        <w:tc>
          <w:tcPr>
            <w:tcW w:w="960" w:type="dxa"/>
            <w:vAlign w:val="bottom"/>
          </w:tcPr>
          <w:p>
            <w:pPr>
              <w:jc w:val="right"/>
              <w:ind w:right="108"/>
              <w:spacing w:after="0" w:line="147" w:lineRule="exact"/>
              <w:rPr>
                <w:sz w:val="20"/>
                <w:szCs w:val="20"/>
                <w:color w:val="auto"/>
              </w:rPr>
            </w:pPr>
            <w:r>
              <w:rPr>
                <w:rFonts w:ascii="Arial" w:cs="Arial" w:eastAsia="Arial" w:hAnsi="Arial"/>
                <w:sz w:val="14"/>
                <w:szCs w:val="14"/>
                <w:b w:val="1"/>
                <w:bCs w:val="1"/>
                <w:color w:val="auto"/>
              </w:rPr>
              <w:t>Segment</w:t>
            </w:r>
          </w:p>
        </w:tc>
        <w:tc>
          <w:tcPr>
            <w:tcW w:w="0" w:type="dxa"/>
            <w:vAlign w:val="bottom"/>
          </w:tcPr>
          <w:p>
            <w:pPr>
              <w:spacing w:after="0"/>
              <w:rPr>
                <w:sz w:val="1"/>
                <w:szCs w:val="1"/>
                <w:color w:val="auto"/>
              </w:rPr>
            </w:pPr>
          </w:p>
        </w:tc>
      </w:tr>
      <w:tr>
        <w:trPr>
          <w:trHeight w:val="185"/>
        </w:trPr>
        <w:tc>
          <w:tcPr>
            <w:tcW w:w="8360" w:type="dxa"/>
            <w:vAlign w:val="bottom"/>
            <w:tcBorders>
              <w:bottom w:val="single" w:sz="8" w:color="D7282F"/>
            </w:tcBorders>
            <w:vMerge w:val="continue"/>
          </w:tcPr>
          <w:p>
            <w:pPr>
              <w:spacing w:after="0"/>
              <w:rPr>
                <w:sz w:val="16"/>
                <w:szCs w:val="16"/>
                <w:color w:val="auto"/>
              </w:rPr>
            </w:pPr>
          </w:p>
        </w:tc>
        <w:tc>
          <w:tcPr>
            <w:tcW w:w="160" w:type="dxa"/>
            <w:vAlign w:val="bottom"/>
            <w:tcBorders>
              <w:bottom w:val="single" w:sz="8" w:color="D7282F"/>
            </w:tcBorders>
          </w:tcPr>
          <w:p>
            <w:pPr>
              <w:spacing w:after="0"/>
              <w:rPr>
                <w:sz w:val="16"/>
                <w:szCs w:val="16"/>
                <w:color w:val="auto"/>
              </w:rPr>
            </w:pPr>
          </w:p>
        </w:tc>
        <w:tc>
          <w:tcPr>
            <w:tcW w:w="540" w:type="dxa"/>
            <w:vAlign w:val="bottom"/>
            <w:tcBorders>
              <w:bottom w:val="single" w:sz="8" w:color="D7282F"/>
            </w:tcBorders>
          </w:tcPr>
          <w:p>
            <w:pPr>
              <w:spacing w:after="0"/>
              <w:rPr>
                <w:sz w:val="16"/>
                <w:szCs w:val="16"/>
                <w:color w:val="auto"/>
              </w:rPr>
            </w:pPr>
          </w:p>
        </w:tc>
        <w:tc>
          <w:tcPr>
            <w:tcW w:w="1220" w:type="dxa"/>
            <w:vAlign w:val="bottom"/>
            <w:tcBorders>
              <w:bottom w:val="single" w:sz="8" w:color="D7282F"/>
            </w:tcBorders>
            <w:gridSpan w:val="2"/>
          </w:tcPr>
          <w:p>
            <w:pPr>
              <w:ind w:left="300"/>
              <w:spacing w:after="0"/>
              <w:rPr>
                <w:sz w:val="20"/>
                <w:szCs w:val="20"/>
                <w:color w:val="auto"/>
              </w:rPr>
            </w:pPr>
            <w:r>
              <w:rPr>
                <w:rFonts w:ascii="Arial" w:cs="Arial" w:eastAsia="Arial" w:hAnsi="Arial"/>
                <w:sz w:val="14"/>
                <w:szCs w:val="14"/>
                <w:b w:val="1"/>
                <w:bCs w:val="1"/>
                <w:color w:val="auto"/>
              </w:rPr>
              <w:t>Sales</w:t>
            </w:r>
          </w:p>
        </w:tc>
        <w:tc>
          <w:tcPr>
            <w:tcW w:w="960" w:type="dxa"/>
            <w:vAlign w:val="bottom"/>
            <w:tcBorders>
              <w:bottom w:val="single" w:sz="8" w:color="D7282F"/>
            </w:tcBorders>
          </w:tcPr>
          <w:p>
            <w:pPr>
              <w:jc w:val="right"/>
              <w:ind w:right="228"/>
              <w:spacing w:after="0"/>
              <w:rPr>
                <w:sz w:val="20"/>
                <w:szCs w:val="20"/>
                <w:color w:val="auto"/>
              </w:rPr>
            </w:pPr>
            <w:r>
              <w:rPr>
                <w:rFonts w:ascii="Arial" w:cs="Arial" w:eastAsia="Arial" w:hAnsi="Arial"/>
                <w:sz w:val="14"/>
                <w:szCs w:val="14"/>
                <w:b w:val="1"/>
                <w:bCs w:val="1"/>
                <w:color w:val="auto"/>
              </w:rPr>
              <w:t>Profit</w:t>
            </w:r>
          </w:p>
        </w:tc>
        <w:tc>
          <w:tcPr>
            <w:tcW w:w="0" w:type="dxa"/>
            <w:vAlign w:val="bottom"/>
          </w:tcPr>
          <w:p>
            <w:pPr>
              <w:spacing w:after="0"/>
              <w:rPr>
                <w:sz w:val="1"/>
                <w:szCs w:val="1"/>
                <w:color w:val="auto"/>
              </w:rPr>
            </w:pPr>
          </w:p>
        </w:tc>
      </w:tr>
      <w:tr>
        <w:trPr>
          <w:trHeight w:val="192"/>
        </w:trPr>
        <w:tc>
          <w:tcPr>
            <w:tcW w:w="83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Organic</w:t>
            </w:r>
          </w:p>
        </w:tc>
        <w:tc>
          <w:tcPr>
            <w:tcW w:w="160" w:type="dxa"/>
            <w:vAlign w:val="bottom"/>
            <w:tcBorders>
              <w:bottom w:val="single" w:sz="8" w:color="61656A"/>
            </w:tcBorders>
          </w:tcPr>
          <w:p>
            <w:pPr>
              <w:spacing w:after="0"/>
              <w:rPr>
                <w:sz w:val="16"/>
                <w:szCs w:val="16"/>
                <w:color w:val="auto"/>
              </w:rPr>
            </w:pPr>
          </w:p>
        </w:tc>
        <w:tc>
          <w:tcPr>
            <w:tcW w:w="540" w:type="dxa"/>
            <w:vAlign w:val="bottom"/>
            <w:tcBorders>
              <w:bottom w:val="single" w:sz="8" w:color="61656A"/>
            </w:tcBorders>
          </w:tcPr>
          <w:p>
            <w:pPr>
              <w:spacing w:after="0"/>
              <w:rPr>
                <w:sz w:val="16"/>
                <w:szCs w:val="16"/>
                <w:color w:val="auto"/>
              </w:rPr>
            </w:pPr>
          </w:p>
        </w:tc>
        <w:tc>
          <w:tcPr>
            <w:tcW w:w="400" w:type="dxa"/>
            <w:vAlign w:val="bottom"/>
            <w:tcBorders>
              <w:bottom w:val="single" w:sz="8" w:color="61656A"/>
            </w:tcBorders>
          </w:tcPr>
          <w:p>
            <w:pPr>
              <w:spacing w:after="0"/>
              <w:rPr>
                <w:sz w:val="16"/>
                <w:szCs w:val="16"/>
                <w:color w:val="auto"/>
              </w:rPr>
            </w:pPr>
          </w:p>
        </w:tc>
        <w:tc>
          <w:tcPr>
            <w:tcW w:w="820" w:type="dxa"/>
            <w:vAlign w:val="bottom"/>
            <w:tcBorders>
              <w:bottom w:val="single" w:sz="8" w:color="61656A"/>
            </w:tcBorders>
          </w:tcPr>
          <w:p>
            <w:pPr>
              <w:jc w:val="right"/>
              <w:ind w:right="208"/>
              <w:spacing w:after="0"/>
              <w:rPr>
                <w:sz w:val="20"/>
                <w:szCs w:val="20"/>
                <w:color w:val="auto"/>
              </w:rPr>
            </w:pPr>
            <w:r>
              <w:rPr>
                <w:rFonts w:ascii="Arial" w:cs="Arial" w:eastAsia="Arial" w:hAnsi="Arial"/>
                <w:sz w:val="14"/>
                <w:szCs w:val="14"/>
                <w:color w:val="auto"/>
              </w:rPr>
              <w:t>(13)%</w:t>
            </w:r>
          </w:p>
        </w:tc>
        <w:tc>
          <w:tcPr>
            <w:tcW w:w="9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96"/>
        </w:trPr>
        <w:tc>
          <w:tcPr>
            <w:tcW w:w="83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Foreign currency translation</w:t>
            </w:r>
          </w:p>
        </w:tc>
        <w:tc>
          <w:tcPr>
            <w:tcW w:w="160" w:type="dxa"/>
            <w:vAlign w:val="bottom"/>
            <w:tcBorders>
              <w:bottom w:val="single" w:sz="8" w:color="61656A"/>
            </w:tcBorders>
          </w:tcPr>
          <w:p>
            <w:pPr>
              <w:spacing w:after="0"/>
              <w:rPr>
                <w:sz w:val="17"/>
                <w:szCs w:val="17"/>
                <w:color w:val="auto"/>
              </w:rPr>
            </w:pPr>
          </w:p>
        </w:tc>
        <w:tc>
          <w:tcPr>
            <w:tcW w:w="540" w:type="dxa"/>
            <w:vAlign w:val="bottom"/>
            <w:tcBorders>
              <w:bottom w:val="single" w:sz="8" w:color="61656A"/>
            </w:tcBorders>
          </w:tcPr>
          <w:p>
            <w:pPr>
              <w:spacing w:after="0"/>
              <w:rPr>
                <w:sz w:val="17"/>
                <w:szCs w:val="17"/>
                <w:color w:val="auto"/>
              </w:rPr>
            </w:pPr>
          </w:p>
        </w:tc>
        <w:tc>
          <w:tcPr>
            <w:tcW w:w="40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jc w:val="right"/>
              <w:ind w:right="208"/>
              <w:spacing w:after="0"/>
              <w:rPr>
                <w:sz w:val="20"/>
                <w:szCs w:val="20"/>
                <w:color w:val="auto"/>
              </w:rPr>
            </w:pPr>
            <w:r>
              <w:rPr>
                <w:rFonts w:ascii="Arial" w:cs="Arial" w:eastAsia="Arial" w:hAnsi="Arial"/>
                <w:sz w:val="14"/>
                <w:szCs w:val="14"/>
                <w:color w:val="auto"/>
              </w:rPr>
              <w:t>— %</w:t>
            </w:r>
          </w:p>
        </w:tc>
        <w:tc>
          <w:tcPr>
            <w:tcW w:w="9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6"/>
        </w:trPr>
        <w:tc>
          <w:tcPr>
            <w:tcW w:w="83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Acquisitions, divestitures, and other, net</w:t>
            </w:r>
          </w:p>
        </w:tc>
        <w:tc>
          <w:tcPr>
            <w:tcW w:w="160" w:type="dxa"/>
            <w:vAlign w:val="bottom"/>
            <w:tcBorders>
              <w:bottom w:val="single" w:sz="8" w:color="D7282F"/>
            </w:tcBorders>
          </w:tcPr>
          <w:p>
            <w:pPr>
              <w:spacing w:after="0"/>
              <w:rPr>
                <w:sz w:val="17"/>
                <w:szCs w:val="17"/>
                <w:color w:val="auto"/>
              </w:rPr>
            </w:pPr>
          </w:p>
        </w:tc>
        <w:tc>
          <w:tcPr>
            <w:tcW w:w="540" w:type="dxa"/>
            <w:vAlign w:val="bottom"/>
            <w:tcBorders>
              <w:bottom w:val="single" w:sz="8" w:color="D7282F"/>
            </w:tcBorders>
          </w:tcPr>
          <w:p>
            <w:pPr>
              <w:spacing w:after="0"/>
              <w:rPr>
                <w:sz w:val="17"/>
                <w:szCs w:val="17"/>
                <w:color w:val="auto"/>
              </w:rPr>
            </w:pPr>
          </w:p>
        </w:tc>
        <w:tc>
          <w:tcPr>
            <w:tcW w:w="400" w:type="dxa"/>
            <w:vAlign w:val="bottom"/>
            <w:tcBorders>
              <w:bottom w:val="single" w:sz="8" w:color="D7282F"/>
            </w:tcBorders>
          </w:tcPr>
          <w:p>
            <w:pPr>
              <w:spacing w:after="0"/>
              <w:rPr>
                <w:sz w:val="17"/>
                <w:szCs w:val="17"/>
                <w:color w:val="auto"/>
              </w:rPr>
            </w:pPr>
          </w:p>
        </w:tc>
        <w:tc>
          <w:tcPr>
            <w:tcW w:w="82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color w:val="auto"/>
              </w:rPr>
              <w:t>1 %</w:t>
            </w:r>
          </w:p>
        </w:tc>
        <w:tc>
          <w:tcPr>
            <w:tcW w:w="9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9"/>
        </w:trPr>
        <w:tc>
          <w:tcPr>
            <w:tcW w:w="836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 change</w:t>
            </w:r>
          </w:p>
        </w:tc>
        <w:tc>
          <w:tcPr>
            <w:tcW w:w="160" w:type="dxa"/>
            <w:vAlign w:val="bottom"/>
            <w:tcBorders>
              <w:bottom w:val="single" w:sz="8" w:color="D7282F"/>
            </w:tcBorders>
          </w:tcPr>
          <w:p>
            <w:pPr>
              <w:spacing w:after="0"/>
              <w:rPr>
                <w:sz w:val="17"/>
                <w:szCs w:val="17"/>
                <w:color w:val="auto"/>
              </w:rPr>
            </w:pPr>
          </w:p>
        </w:tc>
        <w:tc>
          <w:tcPr>
            <w:tcW w:w="540" w:type="dxa"/>
            <w:vAlign w:val="bottom"/>
            <w:tcBorders>
              <w:bottom w:val="single" w:sz="8" w:color="D7282F"/>
            </w:tcBorders>
          </w:tcPr>
          <w:p>
            <w:pPr>
              <w:spacing w:after="0"/>
              <w:rPr>
                <w:sz w:val="17"/>
                <w:szCs w:val="17"/>
                <w:color w:val="auto"/>
              </w:rPr>
            </w:pPr>
          </w:p>
        </w:tc>
        <w:tc>
          <w:tcPr>
            <w:tcW w:w="400" w:type="dxa"/>
            <w:vAlign w:val="bottom"/>
            <w:tcBorders>
              <w:bottom w:val="single" w:sz="8" w:color="D7282F"/>
            </w:tcBorders>
          </w:tcPr>
          <w:p>
            <w:pPr>
              <w:spacing w:after="0"/>
              <w:rPr>
                <w:sz w:val="17"/>
                <w:szCs w:val="17"/>
                <w:color w:val="auto"/>
              </w:rPr>
            </w:pPr>
          </w:p>
        </w:tc>
        <w:tc>
          <w:tcPr>
            <w:tcW w:w="82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(12)%</w:t>
            </w:r>
          </w:p>
        </w:tc>
        <w:tc>
          <w:tcPr>
            <w:tcW w:w="9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(21)%</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Q1 2024 compared to Q1 2023</w:t>
      </w:r>
    </w:p>
    <w:p>
      <w:pPr>
        <w:spacing w:after="0" w:line="21"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Sales decreased $325 million due to lower organic sales of $254 million in Warehouse and Workflow Solutions driven by lower demand for projects and lower organic sales of $55 million in Sensing and Safety Technologies driven by lower demand for sensing products.</w:t>
      </w:r>
    </w:p>
    <w:p>
      <w:pPr>
        <w:spacing w:after="0" w:line="50"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Segment profit decreased $109 million and segment margin percentage decreased 200 basis points to 16.8% compared to 18.8% for the same period in 2023.</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0" w:hanging="392"/>
        <w:spacing w:after="0"/>
        <w:tabs>
          <w:tab w:leader="none" w:pos="400" w:val="left"/>
        </w:tabs>
        <w:numPr>
          <w:ilvl w:val="0"/>
          <w:numId w:val="44"/>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9"/>
          <w:szCs w:val="29"/>
          <w:color w:val="D7282F"/>
        </w:rPr>
        <w:t>BUILDING AUTOMATION</w:t>
      </w: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80645</wp:posOffset>
            </wp:positionV>
            <wp:extent cx="3000375" cy="25717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000375"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80" w:type="dxa"/>
            <w:vAlign w:val="bottom"/>
            <w:gridSpan w:val="3"/>
          </w:tcPr>
          <w:p>
            <w:pPr>
              <w:jc w:val="right"/>
              <w:ind w:right="668"/>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5"/>
        </w:trPr>
        <w:tc>
          <w:tcPr>
            <w:tcW w:w="8360" w:type="dxa"/>
            <w:vAlign w:val="bottom"/>
          </w:tcPr>
          <w:p>
            <w:pPr>
              <w:spacing w:after="0"/>
              <w:rPr>
                <w:sz w:val="16"/>
                <w:szCs w:val="16"/>
                <w:color w:val="auto"/>
              </w:rPr>
            </w:pPr>
          </w:p>
        </w:tc>
        <w:tc>
          <w:tcPr>
            <w:tcW w:w="160" w:type="dxa"/>
            <w:vAlign w:val="bottom"/>
            <w:tcBorders>
              <w:bottom w:val="single" w:sz="8" w:color="D7282F"/>
            </w:tcBorders>
          </w:tcPr>
          <w:p>
            <w:pPr>
              <w:spacing w:after="0"/>
              <w:rPr>
                <w:sz w:val="16"/>
                <w:szCs w:val="16"/>
                <w:color w:val="auto"/>
              </w:rPr>
            </w:pPr>
          </w:p>
        </w:tc>
        <w:tc>
          <w:tcPr>
            <w:tcW w:w="520" w:type="dxa"/>
            <w:vAlign w:val="bottom"/>
            <w:tcBorders>
              <w:bottom w:val="single" w:sz="8" w:color="D7282F"/>
            </w:tcBorders>
          </w:tcPr>
          <w:p>
            <w:pPr>
              <w:spacing w:after="0"/>
              <w:rPr>
                <w:sz w:val="16"/>
                <w:szCs w:val="16"/>
                <w:color w:val="auto"/>
              </w:rPr>
            </w:pPr>
          </w:p>
        </w:tc>
        <w:tc>
          <w:tcPr>
            <w:tcW w:w="20" w:type="dxa"/>
            <w:vAlign w:val="bottom"/>
            <w:tcBorders>
              <w:bottom w:val="single" w:sz="8" w:color="D7282F"/>
            </w:tcBorders>
          </w:tcPr>
          <w:p>
            <w:pPr>
              <w:spacing w:after="0"/>
              <w:rPr>
                <w:sz w:val="16"/>
                <w:szCs w:val="16"/>
                <w:color w:val="auto"/>
              </w:rPr>
            </w:pPr>
          </w:p>
        </w:tc>
        <w:tc>
          <w:tcPr>
            <w:tcW w:w="400" w:type="dxa"/>
            <w:vAlign w:val="bottom"/>
            <w:tcBorders>
              <w:bottom w:val="single" w:sz="8" w:color="D7282F"/>
            </w:tcBorders>
          </w:tcPr>
          <w:p>
            <w:pPr>
              <w:spacing w:after="0"/>
              <w:rPr>
                <w:sz w:val="16"/>
                <w:szCs w:val="16"/>
                <w:color w:val="auto"/>
              </w:rPr>
            </w:pPr>
          </w:p>
        </w:tc>
        <w:tc>
          <w:tcPr>
            <w:tcW w:w="8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w w:val="99"/>
              </w:rPr>
              <w:t>March 31,</w:t>
            </w:r>
          </w:p>
        </w:tc>
        <w:tc>
          <w:tcPr>
            <w:tcW w:w="960" w:type="dxa"/>
            <w:vAlign w:val="bottom"/>
            <w:tcBorders>
              <w:bottom w:val="single" w:sz="8" w:color="D7282F"/>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8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2024</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2023</w:t>
            </w:r>
          </w:p>
        </w:tc>
        <w:tc>
          <w:tcPr>
            <w:tcW w:w="960" w:type="dxa"/>
            <w:vAlign w:val="bottom"/>
          </w:tcPr>
          <w:p>
            <w:pPr>
              <w:jc w:val="right"/>
              <w:ind w:right="308"/>
              <w:spacing w:after="0" w:line="147"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5"/>
        </w:trPr>
        <w:tc>
          <w:tcPr>
            <w:tcW w:w="8360" w:type="dxa"/>
            <w:vAlign w:val="bottom"/>
            <w:tcBorders>
              <w:bottom w:val="single" w:sz="8" w:color="D7282F"/>
            </w:tcBorders>
          </w:tcPr>
          <w:p>
            <w:pPr>
              <w:spacing w:after="0"/>
              <w:rPr>
                <w:sz w:val="16"/>
                <w:szCs w:val="16"/>
                <w:color w:val="auto"/>
              </w:rPr>
            </w:pPr>
          </w:p>
        </w:tc>
        <w:tc>
          <w:tcPr>
            <w:tcW w:w="160" w:type="dxa"/>
            <w:vAlign w:val="bottom"/>
            <w:tcBorders>
              <w:bottom w:val="single" w:sz="8" w:color="D7282F"/>
            </w:tcBorders>
          </w:tcPr>
          <w:p>
            <w:pPr>
              <w:spacing w:after="0"/>
              <w:rPr>
                <w:sz w:val="16"/>
                <w:szCs w:val="16"/>
                <w:color w:val="auto"/>
              </w:rPr>
            </w:pPr>
          </w:p>
        </w:tc>
        <w:tc>
          <w:tcPr>
            <w:tcW w:w="520" w:type="dxa"/>
            <w:vAlign w:val="bottom"/>
            <w:tcBorders>
              <w:bottom w:val="single" w:sz="8" w:color="D7282F"/>
            </w:tcBorders>
            <w:vMerge w:val="continue"/>
          </w:tcPr>
          <w:p>
            <w:pPr>
              <w:spacing w:after="0"/>
              <w:rPr>
                <w:sz w:val="16"/>
                <w:szCs w:val="16"/>
                <w:color w:val="auto"/>
              </w:rPr>
            </w:pPr>
          </w:p>
        </w:tc>
        <w:tc>
          <w:tcPr>
            <w:tcW w:w="20" w:type="dxa"/>
            <w:vAlign w:val="bottom"/>
            <w:tcBorders>
              <w:bottom w:val="single" w:sz="8" w:color="D7282F"/>
            </w:tcBorders>
          </w:tcPr>
          <w:p>
            <w:pPr>
              <w:spacing w:after="0"/>
              <w:rPr>
                <w:sz w:val="16"/>
                <w:szCs w:val="16"/>
                <w:color w:val="auto"/>
              </w:rPr>
            </w:pPr>
          </w:p>
        </w:tc>
        <w:tc>
          <w:tcPr>
            <w:tcW w:w="400" w:type="dxa"/>
            <w:vAlign w:val="bottom"/>
            <w:tcBorders>
              <w:bottom w:val="single" w:sz="8" w:color="D7282F"/>
            </w:tcBorders>
          </w:tcPr>
          <w:p>
            <w:pPr>
              <w:spacing w:after="0"/>
              <w:rPr>
                <w:sz w:val="16"/>
                <w:szCs w:val="16"/>
                <w:color w:val="auto"/>
              </w:rPr>
            </w:pPr>
          </w:p>
        </w:tc>
        <w:tc>
          <w:tcPr>
            <w:tcW w:w="820" w:type="dxa"/>
            <w:vAlign w:val="bottom"/>
            <w:tcBorders>
              <w:bottom w:val="single" w:sz="8" w:color="D7282F"/>
            </w:tcBorders>
            <w:vMerge w:val="continue"/>
          </w:tcPr>
          <w:p>
            <w:pPr>
              <w:spacing w:after="0"/>
              <w:rPr>
                <w:sz w:val="16"/>
                <w:szCs w:val="16"/>
                <w:color w:val="auto"/>
              </w:rPr>
            </w:pPr>
          </w:p>
        </w:tc>
        <w:tc>
          <w:tcPr>
            <w:tcW w:w="9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2"/>
        </w:trPr>
        <w:tc>
          <w:tcPr>
            <w:tcW w:w="83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Net sales</w:t>
            </w:r>
          </w:p>
        </w:tc>
        <w:tc>
          <w:tcPr>
            <w:tcW w:w="16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61656A"/>
            </w:tcBorders>
            <w:gridSpan w:val="2"/>
          </w:tcPr>
          <w:p>
            <w:pPr>
              <w:jc w:val="right"/>
              <w:spacing w:after="0"/>
              <w:rPr>
                <w:sz w:val="20"/>
                <w:szCs w:val="20"/>
                <w:color w:val="auto"/>
              </w:rPr>
            </w:pPr>
            <w:r>
              <w:rPr>
                <w:rFonts w:ascii="Arial" w:cs="Arial" w:eastAsia="Arial" w:hAnsi="Arial"/>
                <w:sz w:val="14"/>
                <w:szCs w:val="14"/>
                <w:color w:val="auto"/>
              </w:rPr>
              <w:t>1,426</w:t>
            </w:r>
          </w:p>
        </w:tc>
        <w:tc>
          <w:tcPr>
            <w:tcW w:w="4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61656A"/>
            </w:tcBorders>
          </w:tcPr>
          <w:p>
            <w:pPr>
              <w:jc w:val="right"/>
              <w:ind w:right="148"/>
              <w:spacing w:after="0"/>
              <w:rPr>
                <w:sz w:val="20"/>
                <w:szCs w:val="20"/>
                <w:color w:val="auto"/>
              </w:rPr>
            </w:pPr>
            <w:r>
              <w:rPr>
                <w:rFonts w:ascii="Arial" w:cs="Arial" w:eastAsia="Arial" w:hAnsi="Arial"/>
                <w:sz w:val="14"/>
                <w:szCs w:val="14"/>
                <w:color w:val="auto"/>
              </w:rPr>
              <w:t>1,487</w:t>
            </w:r>
          </w:p>
        </w:tc>
        <w:tc>
          <w:tcPr>
            <w:tcW w:w="9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96"/>
        </w:trPr>
        <w:tc>
          <w:tcPr>
            <w:tcW w:w="83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Cost of products and services sold</w:t>
            </w:r>
          </w:p>
        </w:tc>
        <w:tc>
          <w:tcPr>
            <w:tcW w:w="160" w:type="dxa"/>
            <w:vAlign w:val="bottom"/>
            <w:tcBorders>
              <w:bottom w:val="single" w:sz="8" w:color="61656A"/>
            </w:tcBorders>
          </w:tcPr>
          <w:p>
            <w:pPr>
              <w:spacing w:after="0"/>
              <w:rPr>
                <w:sz w:val="17"/>
                <w:szCs w:val="17"/>
                <w:color w:val="auto"/>
              </w:rPr>
            </w:pPr>
          </w:p>
        </w:tc>
        <w:tc>
          <w:tcPr>
            <w:tcW w:w="540" w:type="dxa"/>
            <w:vAlign w:val="bottom"/>
            <w:tcBorders>
              <w:bottom w:val="single" w:sz="8" w:color="61656A"/>
            </w:tcBorders>
            <w:gridSpan w:val="2"/>
          </w:tcPr>
          <w:p>
            <w:pPr>
              <w:jc w:val="right"/>
              <w:spacing w:after="0"/>
              <w:rPr>
                <w:sz w:val="20"/>
                <w:szCs w:val="20"/>
                <w:color w:val="auto"/>
              </w:rPr>
            </w:pPr>
            <w:r>
              <w:rPr>
                <w:rFonts w:ascii="Arial" w:cs="Arial" w:eastAsia="Arial" w:hAnsi="Arial"/>
                <w:sz w:val="14"/>
                <w:szCs w:val="14"/>
                <w:color w:val="auto"/>
              </w:rPr>
              <w:t>769</w:t>
            </w:r>
          </w:p>
        </w:tc>
        <w:tc>
          <w:tcPr>
            <w:tcW w:w="40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jc w:val="right"/>
              <w:ind w:right="148"/>
              <w:spacing w:after="0"/>
              <w:rPr>
                <w:sz w:val="20"/>
                <w:szCs w:val="20"/>
                <w:color w:val="auto"/>
              </w:rPr>
            </w:pPr>
            <w:r>
              <w:rPr>
                <w:rFonts w:ascii="Arial" w:cs="Arial" w:eastAsia="Arial" w:hAnsi="Arial"/>
                <w:sz w:val="14"/>
                <w:szCs w:val="14"/>
                <w:color w:val="auto"/>
              </w:rPr>
              <w:t>792</w:t>
            </w:r>
          </w:p>
        </w:tc>
        <w:tc>
          <w:tcPr>
            <w:tcW w:w="96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3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Selling, general and administrative and other expenses</w:t>
            </w:r>
          </w:p>
        </w:tc>
        <w:tc>
          <w:tcPr>
            <w:tcW w:w="160" w:type="dxa"/>
            <w:vAlign w:val="bottom"/>
            <w:tcBorders>
              <w:bottom w:val="single" w:sz="8" w:color="D7282F"/>
            </w:tcBorders>
          </w:tcPr>
          <w:p>
            <w:pPr>
              <w:spacing w:after="0"/>
              <w:rPr>
                <w:sz w:val="17"/>
                <w:szCs w:val="17"/>
                <w:color w:val="auto"/>
              </w:rPr>
            </w:pPr>
          </w:p>
        </w:tc>
        <w:tc>
          <w:tcPr>
            <w:tcW w:w="540" w:type="dxa"/>
            <w:vAlign w:val="bottom"/>
            <w:tcBorders>
              <w:bottom w:val="single" w:sz="8" w:color="D7282F"/>
            </w:tcBorders>
            <w:gridSpan w:val="2"/>
          </w:tcPr>
          <w:p>
            <w:pPr>
              <w:jc w:val="right"/>
              <w:spacing w:after="0"/>
              <w:rPr>
                <w:sz w:val="20"/>
                <w:szCs w:val="20"/>
                <w:color w:val="auto"/>
              </w:rPr>
            </w:pPr>
            <w:r>
              <w:rPr>
                <w:rFonts w:ascii="Arial" w:cs="Arial" w:eastAsia="Arial" w:hAnsi="Arial"/>
                <w:sz w:val="14"/>
                <w:szCs w:val="14"/>
                <w:color w:val="auto"/>
              </w:rPr>
              <w:t>315</w:t>
            </w:r>
          </w:p>
        </w:tc>
        <w:tc>
          <w:tcPr>
            <w:tcW w:w="400" w:type="dxa"/>
            <w:vAlign w:val="bottom"/>
            <w:tcBorders>
              <w:bottom w:val="single" w:sz="8" w:color="D7282F"/>
            </w:tcBorders>
          </w:tcPr>
          <w:p>
            <w:pPr>
              <w:spacing w:after="0"/>
              <w:rPr>
                <w:sz w:val="17"/>
                <w:szCs w:val="17"/>
                <w:color w:val="auto"/>
              </w:rPr>
            </w:pPr>
          </w:p>
        </w:tc>
        <w:tc>
          <w:tcPr>
            <w:tcW w:w="82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color w:val="auto"/>
              </w:rPr>
              <w:t>320</w:t>
            </w:r>
          </w:p>
        </w:tc>
        <w:tc>
          <w:tcPr>
            <w:tcW w:w="96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36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Segment profit</w:t>
            </w:r>
          </w:p>
        </w:tc>
        <w:tc>
          <w:tcPr>
            <w:tcW w:w="1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540" w:type="dxa"/>
            <w:vAlign w:val="bottom"/>
            <w:tcBorders>
              <w:bottom w:val="single" w:sz="8" w:color="D7282F"/>
            </w:tcBorders>
            <w:gridSpan w:val="2"/>
          </w:tcPr>
          <w:p>
            <w:pPr>
              <w:jc w:val="right"/>
              <w:spacing w:after="0"/>
              <w:rPr>
                <w:sz w:val="20"/>
                <w:szCs w:val="20"/>
                <w:color w:val="auto"/>
              </w:rPr>
            </w:pPr>
            <w:r>
              <w:rPr>
                <w:rFonts w:ascii="Arial" w:cs="Arial" w:eastAsia="Arial" w:hAnsi="Arial"/>
                <w:sz w:val="14"/>
                <w:szCs w:val="14"/>
                <w:b w:val="1"/>
                <w:bCs w:val="1"/>
                <w:color w:val="auto"/>
              </w:rPr>
              <w:t>342</w:t>
            </w:r>
          </w:p>
        </w:tc>
        <w:tc>
          <w:tcPr>
            <w:tcW w:w="4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375</w:t>
            </w:r>
          </w:p>
        </w:tc>
        <w:tc>
          <w:tcPr>
            <w:tcW w:w="9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(9)%</w:t>
            </w:r>
          </w:p>
        </w:tc>
        <w:tc>
          <w:tcPr>
            <w:tcW w:w="0" w:type="dxa"/>
            <w:vAlign w:val="bottom"/>
          </w:tcPr>
          <w:p>
            <w:pPr>
              <w:spacing w:after="0"/>
              <w:rPr>
                <w:sz w:val="1"/>
                <w:szCs w:val="1"/>
                <w:color w:val="auto"/>
              </w:rPr>
            </w:pPr>
          </w:p>
        </w:tc>
      </w:tr>
      <w:tr>
        <w:trPr>
          <w:trHeight w:val="426"/>
        </w:trPr>
        <w:tc>
          <w:tcPr>
            <w:tcW w:w="8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Borders>
              <w:bottom w:val="single" w:sz="8" w:color="D7282F"/>
            </w:tcBorders>
          </w:tcPr>
          <w:p>
            <w:pPr>
              <w:spacing w:after="0"/>
              <w:rPr>
                <w:sz w:val="24"/>
                <w:szCs w:val="24"/>
                <w:color w:val="auto"/>
              </w:rPr>
            </w:pPr>
          </w:p>
        </w:tc>
        <w:tc>
          <w:tcPr>
            <w:tcW w:w="400" w:type="dxa"/>
            <w:vAlign w:val="bottom"/>
            <w:tcBorders>
              <w:bottom w:val="single" w:sz="8" w:color="D7282F"/>
            </w:tcBorders>
          </w:tcPr>
          <w:p>
            <w:pPr>
              <w:spacing w:after="0"/>
              <w:rPr>
                <w:sz w:val="24"/>
                <w:szCs w:val="24"/>
                <w:color w:val="auto"/>
              </w:rPr>
            </w:pPr>
          </w:p>
        </w:tc>
        <w:tc>
          <w:tcPr>
            <w:tcW w:w="1780" w:type="dxa"/>
            <w:vAlign w:val="bottom"/>
            <w:tcBorders>
              <w:bottom w:val="single" w:sz="8" w:color="D7282F"/>
            </w:tcBorders>
            <w:gridSpan w:val="2"/>
          </w:tcPr>
          <w:p>
            <w:pPr>
              <w:jc w:val="center"/>
              <w:ind w:right="348"/>
              <w:spacing w:after="0"/>
              <w:rPr>
                <w:sz w:val="20"/>
                <w:szCs w:val="20"/>
                <w:color w:val="auto"/>
              </w:rPr>
            </w:pPr>
            <w:r>
              <w:rPr>
                <w:rFonts w:ascii="Arial" w:cs="Arial" w:eastAsia="Arial" w:hAnsi="Arial"/>
                <w:sz w:val="14"/>
                <w:szCs w:val="14"/>
                <w:b w:val="1"/>
                <w:bCs w:val="1"/>
                <w:color w:val="auto"/>
              </w:rPr>
              <w:t>2024 vs. 2023</w:t>
            </w:r>
          </w:p>
        </w:tc>
        <w:tc>
          <w:tcPr>
            <w:tcW w:w="0" w:type="dxa"/>
            <w:vAlign w:val="bottom"/>
          </w:tcPr>
          <w:p>
            <w:pPr>
              <w:spacing w:after="0"/>
              <w:rPr>
                <w:sz w:val="1"/>
                <w:szCs w:val="1"/>
                <w:color w:val="auto"/>
              </w:rPr>
            </w:pPr>
          </w:p>
        </w:tc>
      </w:tr>
      <w:tr>
        <w:trPr>
          <w:trHeight w:val="143"/>
        </w:trPr>
        <w:tc>
          <w:tcPr>
            <w:tcW w:w="8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80" w:type="dxa"/>
            <w:vAlign w:val="bottom"/>
            <w:gridSpan w:val="3"/>
          </w:tcPr>
          <w:p>
            <w:pPr>
              <w:jc w:val="center"/>
              <w:spacing w:after="0" w:line="143" w:lineRule="exact"/>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9"/>
        </w:trPr>
        <w:tc>
          <w:tcPr>
            <w:tcW w:w="8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Borders>
              <w:bottom w:val="single" w:sz="8" w:color="D7282F"/>
            </w:tcBorders>
          </w:tcPr>
          <w:p>
            <w:pPr>
              <w:spacing w:after="0"/>
              <w:rPr>
                <w:sz w:val="16"/>
                <w:szCs w:val="16"/>
                <w:color w:val="auto"/>
              </w:rPr>
            </w:pPr>
          </w:p>
        </w:tc>
        <w:tc>
          <w:tcPr>
            <w:tcW w:w="400" w:type="dxa"/>
            <w:vAlign w:val="bottom"/>
            <w:tcBorders>
              <w:bottom w:val="single" w:sz="8" w:color="D7282F"/>
            </w:tcBorders>
          </w:tcPr>
          <w:p>
            <w:pPr>
              <w:spacing w:after="0"/>
              <w:rPr>
                <w:sz w:val="16"/>
                <w:szCs w:val="16"/>
                <w:color w:val="auto"/>
              </w:rPr>
            </w:pPr>
          </w:p>
        </w:tc>
        <w:tc>
          <w:tcPr>
            <w:tcW w:w="1780" w:type="dxa"/>
            <w:vAlign w:val="bottom"/>
            <w:tcBorders>
              <w:bottom w:val="single" w:sz="8" w:color="D7282F"/>
            </w:tcBorders>
            <w:gridSpan w:val="2"/>
          </w:tcPr>
          <w:p>
            <w:pPr>
              <w:jc w:val="center"/>
              <w:ind w:right="348"/>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83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Factors Contributing to Year-Over-Year Change</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2"/>
          </w:tcPr>
          <w:p>
            <w:pPr>
              <w:jc w:val="right"/>
              <w:ind w:right="568"/>
              <w:spacing w:after="0" w:line="142" w:lineRule="exact"/>
              <w:rPr>
                <w:sz w:val="20"/>
                <w:szCs w:val="20"/>
                <w:color w:val="auto"/>
              </w:rPr>
            </w:pPr>
            <w:r>
              <w:rPr>
                <w:rFonts w:ascii="Arial" w:cs="Arial" w:eastAsia="Arial" w:hAnsi="Arial"/>
                <w:sz w:val="14"/>
                <w:szCs w:val="14"/>
                <w:b w:val="1"/>
                <w:bCs w:val="1"/>
                <w:color w:val="auto"/>
              </w:rPr>
              <w:t>Net</w:t>
            </w:r>
          </w:p>
        </w:tc>
        <w:tc>
          <w:tcPr>
            <w:tcW w:w="960" w:type="dxa"/>
            <w:vAlign w:val="bottom"/>
          </w:tcPr>
          <w:p>
            <w:pPr>
              <w:jc w:val="right"/>
              <w:ind w:right="108"/>
              <w:spacing w:after="0" w:line="142" w:lineRule="exact"/>
              <w:rPr>
                <w:sz w:val="20"/>
                <w:szCs w:val="20"/>
                <w:color w:val="auto"/>
              </w:rPr>
            </w:pPr>
            <w:r>
              <w:rPr>
                <w:rFonts w:ascii="Arial" w:cs="Arial" w:eastAsia="Arial" w:hAnsi="Arial"/>
                <w:sz w:val="14"/>
                <w:szCs w:val="14"/>
                <w:b w:val="1"/>
                <w:bCs w:val="1"/>
                <w:color w:val="auto"/>
              </w:rPr>
              <w:t>Segment</w:t>
            </w:r>
          </w:p>
        </w:tc>
        <w:tc>
          <w:tcPr>
            <w:tcW w:w="0" w:type="dxa"/>
            <w:vAlign w:val="bottom"/>
          </w:tcPr>
          <w:p>
            <w:pPr>
              <w:spacing w:after="0"/>
              <w:rPr>
                <w:sz w:val="1"/>
                <w:szCs w:val="1"/>
                <w:color w:val="auto"/>
              </w:rPr>
            </w:pPr>
          </w:p>
        </w:tc>
      </w:tr>
      <w:tr>
        <w:trPr>
          <w:trHeight w:val="189"/>
        </w:trPr>
        <w:tc>
          <w:tcPr>
            <w:tcW w:w="8360" w:type="dxa"/>
            <w:vAlign w:val="bottom"/>
            <w:tcBorders>
              <w:bottom w:val="single" w:sz="8" w:color="D7282F"/>
            </w:tcBorders>
            <w:vMerge w:val="continue"/>
          </w:tcPr>
          <w:p>
            <w:pPr>
              <w:spacing w:after="0"/>
              <w:rPr>
                <w:sz w:val="16"/>
                <w:szCs w:val="16"/>
                <w:color w:val="auto"/>
              </w:rPr>
            </w:pPr>
          </w:p>
        </w:tc>
        <w:tc>
          <w:tcPr>
            <w:tcW w:w="160" w:type="dxa"/>
            <w:vAlign w:val="bottom"/>
            <w:tcBorders>
              <w:bottom w:val="single" w:sz="8" w:color="D7282F"/>
            </w:tcBorders>
          </w:tcPr>
          <w:p>
            <w:pPr>
              <w:spacing w:after="0"/>
              <w:rPr>
                <w:sz w:val="16"/>
                <w:szCs w:val="16"/>
                <w:color w:val="auto"/>
              </w:rPr>
            </w:pPr>
          </w:p>
        </w:tc>
        <w:tc>
          <w:tcPr>
            <w:tcW w:w="520" w:type="dxa"/>
            <w:vAlign w:val="bottom"/>
            <w:tcBorders>
              <w:bottom w:val="single" w:sz="8" w:color="D7282F"/>
            </w:tcBorders>
          </w:tcPr>
          <w:p>
            <w:pPr>
              <w:spacing w:after="0"/>
              <w:rPr>
                <w:sz w:val="16"/>
                <w:szCs w:val="16"/>
                <w:color w:val="auto"/>
              </w:rPr>
            </w:pPr>
          </w:p>
        </w:tc>
        <w:tc>
          <w:tcPr>
            <w:tcW w:w="20" w:type="dxa"/>
            <w:vAlign w:val="bottom"/>
            <w:tcBorders>
              <w:bottom w:val="single" w:sz="8" w:color="D7282F"/>
            </w:tcBorders>
          </w:tcPr>
          <w:p>
            <w:pPr>
              <w:spacing w:after="0"/>
              <w:rPr>
                <w:sz w:val="16"/>
                <w:szCs w:val="16"/>
                <w:color w:val="auto"/>
              </w:rPr>
            </w:pPr>
          </w:p>
        </w:tc>
        <w:tc>
          <w:tcPr>
            <w:tcW w:w="1220" w:type="dxa"/>
            <w:vAlign w:val="bottom"/>
            <w:tcBorders>
              <w:bottom w:val="single" w:sz="8" w:color="D7282F"/>
            </w:tcBorders>
            <w:gridSpan w:val="2"/>
          </w:tcPr>
          <w:p>
            <w:pPr>
              <w:jc w:val="right"/>
              <w:ind w:right="488"/>
              <w:spacing w:after="0"/>
              <w:rPr>
                <w:sz w:val="20"/>
                <w:szCs w:val="20"/>
                <w:color w:val="auto"/>
              </w:rPr>
            </w:pPr>
            <w:r>
              <w:rPr>
                <w:rFonts w:ascii="Arial" w:cs="Arial" w:eastAsia="Arial" w:hAnsi="Arial"/>
                <w:sz w:val="14"/>
                <w:szCs w:val="14"/>
                <w:b w:val="1"/>
                <w:bCs w:val="1"/>
                <w:color w:val="auto"/>
              </w:rPr>
              <w:t>Sales</w:t>
            </w:r>
          </w:p>
        </w:tc>
        <w:tc>
          <w:tcPr>
            <w:tcW w:w="960" w:type="dxa"/>
            <w:vAlign w:val="bottom"/>
            <w:tcBorders>
              <w:bottom w:val="single" w:sz="8" w:color="D7282F"/>
            </w:tcBorders>
          </w:tcPr>
          <w:p>
            <w:pPr>
              <w:jc w:val="right"/>
              <w:ind w:right="228"/>
              <w:spacing w:after="0"/>
              <w:rPr>
                <w:sz w:val="20"/>
                <w:szCs w:val="20"/>
                <w:color w:val="auto"/>
              </w:rPr>
            </w:pPr>
            <w:r>
              <w:rPr>
                <w:rFonts w:ascii="Arial" w:cs="Arial" w:eastAsia="Arial" w:hAnsi="Arial"/>
                <w:sz w:val="14"/>
                <w:szCs w:val="14"/>
                <w:b w:val="1"/>
                <w:bCs w:val="1"/>
                <w:color w:val="auto"/>
              </w:rPr>
              <w:t>Profit</w:t>
            </w:r>
          </w:p>
        </w:tc>
        <w:tc>
          <w:tcPr>
            <w:tcW w:w="0" w:type="dxa"/>
            <w:vAlign w:val="bottom"/>
          </w:tcPr>
          <w:p>
            <w:pPr>
              <w:spacing w:after="0"/>
              <w:rPr>
                <w:sz w:val="1"/>
                <w:szCs w:val="1"/>
                <w:color w:val="auto"/>
              </w:rPr>
            </w:pPr>
          </w:p>
        </w:tc>
      </w:tr>
      <w:tr>
        <w:trPr>
          <w:trHeight w:val="192"/>
        </w:trPr>
        <w:tc>
          <w:tcPr>
            <w:tcW w:w="83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Organic</w:t>
            </w:r>
          </w:p>
        </w:tc>
        <w:tc>
          <w:tcPr>
            <w:tcW w:w="160" w:type="dxa"/>
            <w:vAlign w:val="bottom"/>
            <w:tcBorders>
              <w:bottom w:val="single" w:sz="8" w:color="61656A"/>
            </w:tcBorders>
          </w:tcPr>
          <w:p>
            <w:pPr>
              <w:spacing w:after="0"/>
              <w:rPr>
                <w:sz w:val="16"/>
                <w:szCs w:val="16"/>
                <w:color w:val="auto"/>
              </w:rPr>
            </w:pPr>
          </w:p>
        </w:tc>
        <w:tc>
          <w:tcPr>
            <w:tcW w:w="520" w:type="dxa"/>
            <w:vAlign w:val="bottom"/>
            <w:tcBorders>
              <w:bottom w:val="single" w:sz="8" w:color="61656A"/>
            </w:tcBorders>
          </w:tcPr>
          <w:p>
            <w:pPr>
              <w:spacing w:after="0"/>
              <w:rPr>
                <w:sz w:val="16"/>
                <w:szCs w:val="16"/>
                <w:color w:val="auto"/>
              </w:rPr>
            </w:pPr>
          </w:p>
        </w:tc>
        <w:tc>
          <w:tcPr>
            <w:tcW w:w="20" w:type="dxa"/>
            <w:vAlign w:val="bottom"/>
            <w:tcBorders>
              <w:bottom w:val="single" w:sz="8" w:color="61656A"/>
            </w:tcBorders>
          </w:tcPr>
          <w:p>
            <w:pPr>
              <w:spacing w:after="0"/>
              <w:rPr>
                <w:sz w:val="16"/>
                <w:szCs w:val="16"/>
                <w:color w:val="auto"/>
              </w:rPr>
            </w:pPr>
          </w:p>
        </w:tc>
        <w:tc>
          <w:tcPr>
            <w:tcW w:w="400" w:type="dxa"/>
            <w:vAlign w:val="bottom"/>
            <w:tcBorders>
              <w:bottom w:val="single" w:sz="8" w:color="61656A"/>
            </w:tcBorders>
          </w:tcPr>
          <w:p>
            <w:pPr>
              <w:spacing w:after="0"/>
              <w:rPr>
                <w:sz w:val="16"/>
                <w:szCs w:val="16"/>
                <w:color w:val="auto"/>
              </w:rPr>
            </w:pPr>
          </w:p>
        </w:tc>
        <w:tc>
          <w:tcPr>
            <w:tcW w:w="820" w:type="dxa"/>
            <w:vAlign w:val="bottom"/>
            <w:tcBorders>
              <w:bottom w:val="single" w:sz="8" w:color="61656A"/>
            </w:tcBorders>
          </w:tcPr>
          <w:p>
            <w:pPr>
              <w:jc w:val="right"/>
              <w:ind w:right="208"/>
              <w:spacing w:after="0"/>
              <w:rPr>
                <w:sz w:val="20"/>
                <w:szCs w:val="20"/>
                <w:color w:val="auto"/>
              </w:rPr>
            </w:pPr>
            <w:r>
              <w:rPr>
                <w:rFonts w:ascii="Arial" w:cs="Arial" w:eastAsia="Arial" w:hAnsi="Arial"/>
                <w:sz w:val="14"/>
                <w:szCs w:val="14"/>
                <w:color w:val="auto"/>
              </w:rPr>
              <w:t>(3)%</w:t>
            </w:r>
          </w:p>
        </w:tc>
        <w:tc>
          <w:tcPr>
            <w:tcW w:w="9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96"/>
        </w:trPr>
        <w:tc>
          <w:tcPr>
            <w:tcW w:w="83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Foreign currency translation</w:t>
            </w:r>
          </w:p>
        </w:tc>
        <w:tc>
          <w:tcPr>
            <w:tcW w:w="160" w:type="dxa"/>
            <w:vAlign w:val="bottom"/>
            <w:tcBorders>
              <w:bottom w:val="single" w:sz="8" w:color="61656A"/>
            </w:tcBorders>
          </w:tcPr>
          <w:p>
            <w:pPr>
              <w:spacing w:after="0"/>
              <w:rPr>
                <w:sz w:val="17"/>
                <w:szCs w:val="17"/>
                <w:color w:val="auto"/>
              </w:rPr>
            </w:pPr>
          </w:p>
        </w:tc>
        <w:tc>
          <w:tcPr>
            <w:tcW w:w="520" w:type="dxa"/>
            <w:vAlign w:val="bottom"/>
            <w:tcBorders>
              <w:bottom w:val="single" w:sz="8" w:color="61656A"/>
            </w:tcBorders>
          </w:tcPr>
          <w:p>
            <w:pPr>
              <w:spacing w:after="0"/>
              <w:rPr>
                <w:sz w:val="17"/>
                <w:szCs w:val="17"/>
                <w:color w:val="auto"/>
              </w:rPr>
            </w:pPr>
          </w:p>
        </w:tc>
        <w:tc>
          <w:tcPr>
            <w:tcW w:w="20" w:type="dxa"/>
            <w:vAlign w:val="bottom"/>
            <w:tcBorders>
              <w:bottom w:val="single" w:sz="8" w:color="61656A"/>
            </w:tcBorders>
          </w:tcPr>
          <w:p>
            <w:pPr>
              <w:spacing w:after="0"/>
              <w:rPr>
                <w:sz w:val="17"/>
                <w:szCs w:val="17"/>
                <w:color w:val="auto"/>
              </w:rPr>
            </w:pPr>
          </w:p>
        </w:tc>
        <w:tc>
          <w:tcPr>
            <w:tcW w:w="40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jc w:val="right"/>
              <w:ind w:right="208"/>
              <w:spacing w:after="0"/>
              <w:rPr>
                <w:sz w:val="20"/>
                <w:szCs w:val="20"/>
                <w:color w:val="auto"/>
              </w:rPr>
            </w:pPr>
            <w:r>
              <w:rPr>
                <w:rFonts w:ascii="Arial" w:cs="Arial" w:eastAsia="Arial" w:hAnsi="Arial"/>
                <w:sz w:val="14"/>
                <w:szCs w:val="14"/>
                <w:color w:val="auto"/>
              </w:rPr>
              <w:t>(1)%</w:t>
            </w:r>
          </w:p>
        </w:tc>
        <w:tc>
          <w:tcPr>
            <w:tcW w:w="9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6"/>
        </w:trPr>
        <w:tc>
          <w:tcPr>
            <w:tcW w:w="83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Acquisitions, divestitures, and other, net</w:t>
            </w:r>
          </w:p>
        </w:tc>
        <w:tc>
          <w:tcPr>
            <w:tcW w:w="160" w:type="dxa"/>
            <w:vAlign w:val="bottom"/>
            <w:tcBorders>
              <w:bottom w:val="single" w:sz="8" w:color="D7282F"/>
            </w:tcBorders>
          </w:tcPr>
          <w:p>
            <w:pPr>
              <w:spacing w:after="0"/>
              <w:rPr>
                <w:sz w:val="17"/>
                <w:szCs w:val="17"/>
                <w:color w:val="auto"/>
              </w:rPr>
            </w:pPr>
          </w:p>
        </w:tc>
        <w:tc>
          <w:tcPr>
            <w:tcW w:w="520" w:type="dxa"/>
            <w:vAlign w:val="bottom"/>
            <w:tcBorders>
              <w:bottom w:val="single" w:sz="8" w:color="D7282F"/>
            </w:tcBorders>
          </w:tcPr>
          <w:p>
            <w:pPr>
              <w:spacing w:after="0"/>
              <w:rPr>
                <w:sz w:val="17"/>
                <w:szCs w:val="17"/>
                <w:color w:val="auto"/>
              </w:rPr>
            </w:pPr>
          </w:p>
        </w:tc>
        <w:tc>
          <w:tcPr>
            <w:tcW w:w="20" w:type="dxa"/>
            <w:vAlign w:val="bottom"/>
            <w:tcBorders>
              <w:bottom w:val="single" w:sz="8" w:color="D7282F"/>
            </w:tcBorders>
          </w:tcPr>
          <w:p>
            <w:pPr>
              <w:spacing w:after="0"/>
              <w:rPr>
                <w:sz w:val="17"/>
                <w:szCs w:val="17"/>
                <w:color w:val="auto"/>
              </w:rPr>
            </w:pPr>
          </w:p>
        </w:tc>
        <w:tc>
          <w:tcPr>
            <w:tcW w:w="400" w:type="dxa"/>
            <w:vAlign w:val="bottom"/>
            <w:tcBorders>
              <w:bottom w:val="single" w:sz="8" w:color="D7282F"/>
            </w:tcBorders>
          </w:tcPr>
          <w:p>
            <w:pPr>
              <w:spacing w:after="0"/>
              <w:rPr>
                <w:sz w:val="17"/>
                <w:szCs w:val="17"/>
                <w:color w:val="auto"/>
              </w:rPr>
            </w:pPr>
          </w:p>
        </w:tc>
        <w:tc>
          <w:tcPr>
            <w:tcW w:w="82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color w:val="auto"/>
              </w:rPr>
              <w:t>— %</w:t>
            </w:r>
          </w:p>
        </w:tc>
        <w:tc>
          <w:tcPr>
            <w:tcW w:w="9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9"/>
        </w:trPr>
        <w:tc>
          <w:tcPr>
            <w:tcW w:w="836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 change</w:t>
            </w:r>
          </w:p>
        </w:tc>
        <w:tc>
          <w:tcPr>
            <w:tcW w:w="160" w:type="dxa"/>
            <w:vAlign w:val="bottom"/>
            <w:tcBorders>
              <w:bottom w:val="single" w:sz="8" w:color="D7282F"/>
            </w:tcBorders>
          </w:tcPr>
          <w:p>
            <w:pPr>
              <w:spacing w:after="0"/>
              <w:rPr>
                <w:sz w:val="17"/>
                <w:szCs w:val="17"/>
                <w:color w:val="auto"/>
              </w:rPr>
            </w:pPr>
          </w:p>
        </w:tc>
        <w:tc>
          <w:tcPr>
            <w:tcW w:w="520" w:type="dxa"/>
            <w:vAlign w:val="bottom"/>
            <w:tcBorders>
              <w:bottom w:val="single" w:sz="8" w:color="D7282F"/>
            </w:tcBorders>
          </w:tcPr>
          <w:p>
            <w:pPr>
              <w:spacing w:after="0"/>
              <w:rPr>
                <w:sz w:val="17"/>
                <w:szCs w:val="17"/>
                <w:color w:val="auto"/>
              </w:rPr>
            </w:pPr>
          </w:p>
        </w:tc>
        <w:tc>
          <w:tcPr>
            <w:tcW w:w="20" w:type="dxa"/>
            <w:vAlign w:val="bottom"/>
            <w:tcBorders>
              <w:bottom w:val="single" w:sz="8" w:color="D7282F"/>
            </w:tcBorders>
          </w:tcPr>
          <w:p>
            <w:pPr>
              <w:spacing w:after="0"/>
              <w:rPr>
                <w:sz w:val="17"/>
                <w:szCs w:val="17"/>
                <w:color w:val="auto"/>
              </w:rPr>
            </w:pPr>
          </w:p>
        </w:tc>
        <w:tc>
          <w:tcPr>
            <w:tcW w:w="400" w:type="dxa"/>
            <w:vAlign w:val="bottom"/>
            <w:tcBorders>
              <w:bottom w:val="single" w:sz="8" w:color="D7282F"/>
            </w:tcBorders>
          </w:tcPr>
          <w:p>
            <w:pPr>
              <w:spacing w:after="0"/>
              <w:rPr>
                <w:sz w:val="17"/>
                <w:szCs w:val="17"/>
                <w:color w:val="auto"/>
              </w:rPr>
            </w:pPr>
          </w:p>
        </w:tc>
        <w:tc>
          <w:tcPr>
            <w:tcW w:w="82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(4)%</w:t>
            </w:r>
          </w:p>
        </w:tc>
        <w:tc>
          <w:tcPr>
            <w:tcW w:w="9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(9)%</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Q1 2024 compared to Q1 2023</w:t>
      </w:r>
    </w:p>
    <w:p>
      <w:pPr>
        <w:spacing w:after="0" w:line="3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Sales decreased $61 million due to lower organic sales of $89 million in Products driven by lower demand partially offset by higher organic sales of $38 million in Building Solutions driven by higher demand in building projects.</w:t>
      </w:r>
    </w:p>
    <w:p>
      <w:pPr>
        <w:spacing w:after="0" w:line="64"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Segment profit decreased $33 million and segment margin percentage decreased 120 basis points to 24.0% compared to 25.2% for the same period of 2023.</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0" w:hanging="392"/>
        <w:spacing w:after="0"/>
        <w:tabs>
          <w:tab w:leader="none" w:pos="400" w:val="left"/>
        </w:tabs>
        <w:numPr>
          <w:ilvl w:val="0"/>
          <w:numId w:val="45"/>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9"/>
          <w:szCs w:val="29"/>
          <w:color w:val="D7282F"/>
        </w:rPr>
        <w:t>ENERGY AND SUSTAINABILITY SOLUTIONS</w:t>
      </w: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80645</wp:posOffset>
            </wp:positionV>
            <wp:extent cx="3000375" cy="25717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000375"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80" w:type="dxa"/>
            <w:vAlign w:val="bottom"/>
            <w:gridSpan w:val="3"/>
          </w:tcPr>
          <w:p>
            <w:pPr>
              <w:jc w:val="right"/>
              <w:ind w:right="668"/>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5"/>
        </w:trPr>
        <w:tc>
          <w:tcPr>
            <w:tcW w:w="8360" w:type="dxa"/>
            <w:vAlign w:val="bottom"/>
          </w:tcPr>
          <w:p>
            <w:pPr>
              <w:spacing w:after="0"/>
              <w:rPr>
                <w:sz w:val="16"/>
                <w:szCs w:val="16"/>
                <w:color w:val="auto"/>
              </w:rPr>
            </w:pPr>
          </w:p>
        </w:tc>
        <w:tc>
          <w:tcPr>
            <w:tcW w:w="160" w:type="dxa"/>
            <w:vAlign w:val="bottom"/>
            <w:tcBorders>
              <w:bottom w:val="single" w:sz="8" w:color="D7282F"/>
            </w:tcBorders>
          </w:tcPr>
          <w:p>
            <w:pPr>
              <w:spacing w:after="0"/>
              <w:rPr>
                <w:sz w:val="16"/>
                <w:szCs w:val="16"/>
                <w:color w:val="auto"/>
              </w:rPr>
            </w:pPr>
          </w:p>
        </w:tc>
        <w:tc>
          <w:tcPr>
            <w:tcW w:w="520" w:type="dxa"/>
            <w:vAlign w:val="bottom"/>
            <w:tcBorders>
              <w:bottom w:val="single" w:sz="8" w:color="D7282F"/>
            </w:tcBorders>
          </w:tcPr>
          <w:p>
            <w:pPr>
              <w:spacing w:after="0"/>
              <w:rPr>
                <w:sz w:val="16"/>
                <w:szCs w:val="16"/>
                <w:color w:val="auto"/>
              </w:rPr>
            </w:pPr>
          </w:p>
        </w:tc>
        <w:tc>
          <w:tcPr>
            <w:tcW w:w="20" w:type="dxa"/>
            <w:vAlign w:val="bottom"/>
            <w:tcBorders>
              <w:bottom w:val="single" w:sz="8" w:color="D7282F"/>
            </w:tcBorders>
          </w:tcPr>
          <w:p>
            <w:pPr>
              <w:spacing w:after="0"/>
              <w:rPr>
                <w:sz w:val="16"/>
                <w:szCs w:val="16"/>
                <w:color w:val="auto"/>
              </w:rPr>
            </w:pPr>
          </w:p>
        </w:tc>
        <w:tc>
          <w:tcPr>
            <w:tcW w:w="400" w:type="dxa"/>
            <w:vAlign w:val="bottom"/>
            <w:tcBorders>
              <w:bottom w:val="single" w:sz="8" w:color="D7282F"/>
            </w:tcBorders>
          </w:tcPr>
          <w:p>
            <w:pPr>
              <w:spacing w:after="0"/>
              <w:rPr>
                <w:sz w:val="16"/>
                <w:szCs w:val="16"/>
                <w:color w:val="auto"/>
              </w:rPr>
            </w:pPr>
          </w:p>
        </w:tc>
        <w:tc>
          <w:tcPr>
            <w:tcW w:w="8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w w:val="99"/>
              </w:rPr>
              <w:t>March 31,</w:t>
            </w:r>
          </w:p>
        </w:tc>
        <w:tc>
          <w:tcPr>
            <w:tcW w:w="960" w:type="dxa"/>
            <w:vAlign w:val="bottom"/>
            <w:tcBorders>
              <w:bottom w:val="single" w:sz="8" w:color="D7282F"/>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8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2024</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2023</w:t>
            </w:r>
          </w:p>
        </w:tc>
        <w:tc>
          <w:tcPr>
            <w:tcW w:w="960" w:type="dxa"/>
            <w:vAlign w:val="bottom"/>
          </w:tcPr>
          <w:p>
            <w:pPr>
              <w:jc w:val="right"/>
              <w:ind w:right="308"/>
              <w:spacing w:after="0" w:line="147"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5"/>
        </w:trPr>
        <w:tc>
          <w:tcPr>
            <w:tcW w:w="8360" w:type="dxa"/>
            <w:vAlign w:val="bottom"/>
            <w:tcBorders>
              <w:bottom w:val="single" w:sz="8" w:color="D7282F"/>
            </w:tcBorders>
          </w:tcPr>
          <w:p>
            <w:pPr>
              <w:spacing w:after="0"/>
              <w:rPr>
                <w:sz w:val="16"/>
                <w:szCs w:val="16"/>
                <w:color w:val="auto"/>
              </w:rPr>
            </w:pPr>
          </w:p>
        </w:tc>
        <w:tc>
          <w:tcPr>
            <w:tcW w:w="160" w:type="dxa"/>
            <w:vAlign w:val="bottom"/>
            <w:tcBorders>
              <w:bottom w:val="single" w:sz="8" w:color="D7282F"/>
            </w:tcBorders>
          </w:tcPr>
          <w:p>
            <w:pPr>
              <w:spacing w:after="0"/>
              <w:rPr>
                <w:sz w:val="16"/>
                <w:szCs w:val="16"/>
                <w:color w:val="auto"/>
              </w:rPr>
            </w:pPr>
          </w:p>
        </w:tc>
        <w:tc>
          <w:tcPr>
            <w:tcW w:w="520" w:type="dxa"/>
            <w:vAlign w:val="bottom"/>
            <w:tcBorders>
              <w:bottom w:val="single" w:sz="8" w:color="D7282F"/>
            </w:tcBorders>
            <w:vMerge w:val="continue"/>
          </w:tcPr>
          <w:p>
            <w:pPr>
              <w:spacing w:after="0"/>
              <w:rPr>
                <w:sz w:val="16"/>
                <w:szCs w:val="16"/>
                <w:color w:val="auto"/>
              </w:rPr>
            </w:pPr>
          </w:p>
        </w:tc>
        <w:tc>
          <w:tcPr>
            <w:tcW w:w="20" w:type="dxa"/>
            <w:vAlign w:val="bottom"/>
            <w:tcBorders>
              <w:bottom w:val="single" w:sz="8" w:color="D7282F"/>
            </w:tcBorders>
          </w:tcPr>
          <w:p>
            <w:pPr>
              <w:spacing w:after="0"/>
              <w:rPr>
                <w:sz w:val="16"/>
                <w:szCs w:val="16"/>
                <w:color w:val="auto"/>
              </w:rPr>
            </w:pPr>
          </w:p>
        </w:tc>
        <w:tc>
          <w:tcPr>
            <w:tcW w:w="400" w:type="dxa"/>
            <w:vAlign w:val="bottom"/>
            <w:tcBorders>
              <w:bottom w:val="single" w:sz="8" w:color="D7282F"/>
            </w:tcBorders>
          </w:tcPr>
          <w:p>
            <w:pPr>
              <w:spacing w:after="0"/>
              <w:rPr>
                <w:sz w:val="16"/>
                <w:szCs w:val="16"/>
                <w:color w:val="auto"/>
              </w:rPr>
            </w:pPr>
          </w:p>
        </w:tc>
        <w:tc>
          <w:tcPr>
            <w:tcW w:w="820" w:type="dxa"/>
            <w:vAlign w:val="bottom"/>
            <w:tcBorders>
              <w:bottom w:val="single" w:sz="8" w:color="D7282F"/>
            </w:tcBorders>
            <w:vMerge w:val="continue"/>
          </w:tcPr>
          <w:p>
            <w:pPr>
              <w:spacing w:after="0"/>
              <w:rPr>
                <w:sz w:val="16"/>
                <w:szCs w:val="16"/>
                <w:color w:val="auto"/>
              </w:rPr>
            </w:pPr>
          </w:p>
        </w:tc>
        <w:tc>
          <w:tcPr>
            <w:tcW w:w="9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2"/>
        </w:trPr>
        <w:tc>
          <w:tcPr>
            <w:tcW w:w="83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Net sales</w:t>
            </w:r>
          </w:p>
        </w:tc>
        <w:tc>
          <w:tcPr>
            <w:tcW w:w="16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61656A"/>
            </w:tcBorders>
            <w:gridSpan w:val="2"/>
          </w:tcPr>
          <w:p>
            <w:pPr>
              <w:jc w:val="right"/>
              <w:spacing w:after="0"/>
              <w:rPr>
                <w:sz w:val="20"/>
                <w:szCs w:val="20"/>
                <w:color w:val="auto"/>
              </w:rPr>
            </w:pPr>
            <w:r>
              <w:rPr>
                <w:rFonts w:ascii="Arial" w:cs="Arial" w:eastAsia="Arial" w:hAnsi="Arial"/>
                <w:sz w:val="14"/>
                <w:szCs w:val="14"/>
                <w:color w:val="auto"/>
              </w:rPr>
              <w:t>1,525</w:t>
            </w:r>
          </w:p>
        </w:tc>
        <w:tc>
          <w:tcPr>
            <w:tcW w:w="4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61656A"/>
            </w:tcBorders>
          </w:tcPr>
          <w:p>
            <w:pPr>
              <w:jc w:val="right"/>
              <w:ind w:right="148"/>
              <w:spacing w:after="0"/>
              <w:rPr>
                <w:sz w:val="20"/>
                <w:szCs w:val="20"/>
                <w:color w:val="auto"/>
              </w:rPr>
            </w:pPr>
            <w:r>
              <w:rPr>
                <w:rFonts w:ascii="Arial" w:cs="Arial" w:eastAsia="Arial" w:hAnsi="Arial"/>
                <w:sz w:val="14"/>
                <w:szCs w:val="14"/>
                <w:color w:val="auto"/>
              </w:rPr>
              <w:t>1,461</w:t>
            </w:r>
          </w:p>
        </w:tc>
        <w:tc>
          <w:tcPr>
            <w:tcW w:w="9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4 %</w:t>
            </w:r>
          </w:p>
        </w:tc>
        <w:tc>
          <w:tcPr>
            <w:tcW w:w="0" w:type="dxa"/>
            <w:vAlign w:val="bottom"/>
          </w:tcPr>
          <w:p>
            <w:pPr>
              <w:spacing w:after="0"/>
              <w:rPr>
                <w:sz w:val="1"/>
                <w:szCs w:val="1"/>
                <w:color w:val="auto"/>
              </w:rPr>
            </w:pPr>
          </w:p>
        </w:tc>
      </w:tr>
      <w:tr>
        <w:trPr>
          <w:trHeight w:val="196"/>
        </w:trPr>
        <w:tc>
          <w:tcPr>
            <w:tcW w:w="83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Cost of products and services sold</w:t>
            </w:r>
          </w:p>
        </w:tc>
        <w:tc>
          <w:tcPr>
            <w:tcW w:w="160" w:type="dxa"/>
            <w:vAlign w:val="bottom"/>
            <w:tcBorders>
              <w:bottom w:val="single" w:sz="8" w:color="61656A"/>
            </w:tcBorders>
          </w:tcPr>
          <w:p>
            <w:pPr>
              <w:spacing w:after="0"/>
              <w:rPr>
                <w:sz w:val="17"/>
                <w:szCs w:val="17"/>
                <w:color w:val="auto"/>
              </w:rPr>
            </w:pPr>
          </w:p>
        </w:tc>
        <w:tc>
          <w:tcPr>
            <w:tcW w:w="540" w:type="dxa"/>
            <w:vAlign w:val="bottom"/>
            <w:tcBorders>
              <w:bottom w:val="single" w:sz="8" w:color="61656A"/>
            </w:tcBorders>
            <w:gridSpan w:val="2"/>
          </w:tcPr>
          <w:p>
            <w:pPr>
              <w:jc w:val="right"/>
              <w:spacing w:after="0"/>
              <w:rPr>
                <w:sz w:val="20"/>
                <w:szCs w:val="20"/>
                <w:color w:val="auto"/>
              </w:rPr>
            </w:pPr>
            <w:r>
              <w:rPr>
                <w:rFonts w:ascii="Arial" w:cs="Arial" w:eastAsia="Arial" w:hAnsi="Arial"/>
                <w:sz w:val="14"/>
                <w:szCs w:val="14"/>
                <w:color w:val="auto"/>
              </w:rPr>
              <w:t>1,000</w:t>
            </w:r>
          </w:p>
        </w:tc>
        <w:tc>
          <w:tcPr>
            <w:tcW w:w="40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jc w:val="right"/>
              <w:ind w:right="148"/>
              <w:spacing w:after="0"/>
              <w:rPr>
                <w:sz w:val="20"/>
                <w:szCs w:val="20"/>
                <w:color w:val="auto"/>
              </w:rPr>
            </w:pPr>
            <w:r>
              <w:rPr>
                <w:rFonts w:ascii="Arial" w:cs="Arial" w:eastAsia="Arial" w:hAnsi="Arial"/>
                <w:sz w:val="14"/>
                <w:szCs w:val="14"/>
                <w:color w:val="auto"/>
              </w:rPr>
              <w:t>949</w:t>
            </w:r>
          </w:p>
        </w:tc>
        <w:tc>
          <w:tcPr>
            <w:tcW w:w="96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3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Selling, general and administrative and other expenses</w:t>
            </w:r>
          </w:p>
        </w:tc>
        <w:tc>
          <w:tcPr>
            <w:tcW w:w="160" w:type="dxa"/>
            <w:vAlign w:val="bottom"/>
            <w:tcBorders>
              <w:bottom w:val="single" w:sz="8" w:color="D7282F"/>
            </w:tcBorders>
          </w:tcPr>
          <w:p>
            <w:pPr>
              <w:spacing w:after="0"/>
              <w:rPr>
                <w:sz w:val="17"/>
                <w:szCs w:val="17"/>
                <w:color w:val="auto"/>
              </w:rPr>
            </w:pPr>
          </w:p>
        </w:tc>
        <w:tc>
          <w:tcPr>
            <w:tcW w:w="540" w:type="dxa"/>
            <w:vAlign w:val="bottom"/>
            <w:tcBorders>
              <w:bottom w:val="single" w:sz="8" w:color="D7282F"/>
            </w:tcBorders>
            <w:gridSpan w:val="2"/>
          </w:tcPr>
          <w:p>
            <w:pPr>
              <w:jc w:val="right"/>
              <w:spacing w:after="0"/>
              <w:rPr>
                <w:sz w:val="20"/>
                <w:szCs w:val="20"/>
                <w:color w:val="auto"/>
              </w:rPr>
            </w:pPr>
            <w:r>
              <w:rPr>
                <w:rFonts w:ascii="Arial" w:cs="Arial" w:eastAsia="Arial" w:hAnsi="Arial"/>
                <w:sz w:val="14"/>
                <w:szCs w:val="14"/>
                <w:color w:val="auto"/>
              </w:rPr>
              <w:t>223</w:t>
            </w:r>
          </w:p>
        </w:tc>
        <w:tc>
          <w:tcPr>
            <w:tcW w:w="400" w:type="dxa"/>
            <w:vAlign w:val="bottom"/>
            <w:tcBorders>
              <w:bottom w:val="single" w:sz="8" w:color="D7282F"/>
            </w:tcBorders>
          </w:tcPr>
          <w:p>
            <w:pPr>
              <w:spacing w:after="0"/>
              <w:rPr>
                <w:sz w:val="17"/>
                <w:szCs w:val="17"/>
                <w:color w:val="auto"/>
              </w:rPr>
            </w:pPr>
          </w:p>
        </w:tc>
        <w:tc>
          <w:tcPr>
            <w:tcW w:w="82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color w:val="auto"/>
              </w:rPr>
              <w:t>212</w:t>
            </w:r>
          </w:p>
        </w:tc>
        <w:tc>
          <w:tcPr>
            <w:tcW w:w="96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36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Segment profit</w:t>
            </w:r>
          </w:p>
        </w:tc>
        <w:tc>
          <w:tcPr>
            <w:tcW w:w="1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540" w:type="dxa"/>
            <w:vAlign w:val="bottom"/>
            <w:tcBorders>
              <w:bottom w:val="single" w:sz="8" w:color="D7282F"/>
            </w:tcBorders>
            <w:gridSpan w:val="2"/>
          </w:tcPr>
          <w:p>
            <w:pPr>
              <w:jc w:val="right"/>
              <w:spacing w:after="0"/>
              <w:rPr>
                <w:sz w:val="20"/>
                <w:szCs w:val="20"/>
                <w:color w:val="auto"/>
              </w:rPr>
            </w:pPr>
            <w:r>
              <w:rPr>
                <w:rFonts w:ascii="Arial" w:cs="Arial" w:eastAsia="Arial" w:hAnsi="Arial"/>
                <w:sz w:val="14"/>
                <w:szCs w:val="14"/>
                <w:b w:val="1"/>
                <w:bCs w:val="1"/>
                <w:color w:val="auto"/>
              </w:rPr>
              <w:t>302</w:t>
            </w:r>
          </w:p>
        </w:tc>
        <w:tc>
          <w:tcPr>
            <w:tcW w:w="4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300</w:t>
            </w:r>
          </w:p>
        </w:tc>
        <w:tc>
          <w:tcPr>
            <w:tcW w:w="9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1 %</w:t>
            </w:r>
          </w:p>
        </w:tc>
        <w:tc>
          <w:tcPr>
            <w:tcW w:w="0" w:type="dxa"/>
            <w:vAlign w:val="bottom"/>
          </w:tcPr>
          <w:p>
            <w:pPr>
              <w:spacing w:after="0"/>
              <w:rPr>
                <w:sz w:val="1"/>
                <w:szCs w:val="1"/>
                <w:color w:val="auto"/>
              </w:rPr>
            </w:pPr>
          </w:p>
        </w:tc>
      </w:tr>
      <w:tr>
        <w:trPr>
          <w:trHeight w:val="426"/>
        </w:trPr>
        <w:tc>
          <w:tcPr>
            <w:tcW w:w="8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Borders>
              <w:bottom w:val="single" w:sz="8" w:color="D7282F"/>
            </w:tcBorders>
          </w:tcPr>
          <w:p>
            <w:pPr>
              <w:spacing w:after="0"/>
              <w:rPr>
                <w:sz w:val="24"/>
                <w:szCs w:val="24"/>
                <w:color w:val="auto"/>
              </w:rPr>
            </w:pPr>
          </w:p>
        </w:tc>
        <w:tc>
          <w:tcPr>
            <w:tcW w:w="400" w:type="dxa"/>
            <w:vAlign w:val="bottom"/>
            <w:tcBorders>
              <w:bottom w:val="single" w:sz="8" w:color="D7282F"/>
            </w:tcBorders>
          </w:tcPr>
          <w:p>
            <w:pPr>
              <w:spacing w:after="0"/>
              <w:rPr>
                <w:sz w:val="24"/>
                <w:szCs w:val="24"/>
                <w:color w:val="auto"/>
              </w:rPr>
            </w:pPr>
          </w:p>
        </w:tc>
        <w:tc>
          <w:tcPr>
            <w:tcW w:w="1780" w:type="dxa"/>
            <w:vAlign w:val="bottom"/>
            <w:tcBorders>
              <w:bottom w:val="single" w:sz="8" w:color="D7282F"/>
            </w:tcBorders>
            <w:gridSpan w:val="2"/>
          </w:tcPr>
          <w:p>
            <w:pPr>
              <w:jc w:val="center"/>
              <w:ind w:right="348"/>
              <w:spacing w:after="0"/>
              <w:rPr>
                <w:sz w:val="20"/>
                <w:szCs w:val="20"/>
                <w:color w:val="auto"/>
              </w:rPr>
            </w:pPr>
            <w:r>
              <w:rPr>
                <w:rFonts w:ascii="Arial" w:cs="Arial" w:eastAsia="Arial" w:hAnsi="Arial"/>
                <w:sz w:val="14"/>
                <w:szCs w:val="14"/>
                <w:b w:val="1"/>
                <w:bCs w:val="1"/>
                <w:color w:val="auto"/>
              </w:rPr>
              <w:t>2024 vs. 2023</w:t>
            </w:r>
          </w:p>
        </w:tc>
        <w:tc>
          <w:tcPr>
            <w:tcW w:w="0" w:type="dxa"/>
            <w:vAlign w:val="bottom"/>
          </w:tcPr>
          <w:p>
            <w:pPr>
              <w:spacing w:after="0"/>
              <w:rPr>
                <w:sz w:val="1"/>
                <w:szCs w:val="1"/>
                <w:color w:val="auto"/>
              </w:rPr>
            </w:pPr>
          </w:p>
        </w:tc>
      </w:tr>
      <w:tr>
        <w:trPr>
          <w:trHeight w:val="143"/>
        </w:trPr>
        <w:tc>
          <w:tcPr>
            <w:tcW w:w="8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80" w:type="dxa"/>
            <w:vAlign w:val="bottom"/>
            <w:gridSpan w:val="3"/>
          </w:tcPr>
          <w:p>
            <w:pPr>
              <w:jc w:val="center"/>
              <w:spacing w:after="0" w:line="143" w:lineRule="exact"/>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9"/>
        </w:trPr>
        <w:tc>
          <w:tcPr>
            <w:tcW w:w="8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Borders>
              <w:bottom w:val="single" w:sz="8" w:color="D7282F"/>
            </w:tcBorders>
          </w:tcPr>
          <w:p>
            <w:pPr>
              <w:spacing w:after="0"/>
              <w:rPr>
                <w:sz w:val="16"/>
                <w:szCs w:val="16"/>
                <w:color w:val="auto"/>
              </w:rPr>
            </w:pPr>
          </w:p>
        </w:tc>
        <w:tc>
          <w:tcPr>
            <w:tcW w:w="400" w:type="dxa"/>
            <w:vAlign w:val="bottom"/>
            <w:tcBorders>
              <w:bottom w:val="single" w:sz="8" w:color="D7282F"/>
            </w:tcBorders>
          </w:tcPr>
          <w:p>
            <w:pPr>
              <w:spacing w:after="0"/>
              <w:rPr>
                <w:sz w:val="16"/>
                <w:szCs w:val="16"/>
                <w:color w:val="auto"/>
              </w:rPr>
            </w:pPr>
          </w:p>
        </w:tc>
        <w:tc>
          <w:tcPr>
            <w:tcW w:w="1780" w:type="dxa"/>
            <w:vAlign w:val="bottom"/>
            <w:tcBorders>
              <w:bottom w:val="single" w:sz="8" w:color="D7282F"/>
            </w:tcBorders>
            <w:gridSpan w:val="2"/>
          </w:tcPr>
          <w:p>
            <w:pPr>
              <w:jc w:val="center"/>
              <w:ind w:right="348"/>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83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Factors Contributing to Year-Over-Year Change</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2"/>
          </w:tcPr>
          <w:p>
            <w:pPr>
              <w:jc w:val="right"/>
              <w:ind w:right="568"/>
              <w:spacing w:after="0" w:line="142" w:lineRule="exact"/>
              <w:rPr>
                <w:sz w:val="20"/>
                <w:szCs w:val="20"/>
                <w:color w:val="auto"/>
              </w:rPr>
            </w:pPr>
            <w:r>
              <w:rPr>
                <w:rFonts w:ascii="Arial" w:cs="Arial" w:eastAsia="Arial" w:hAnsi="Arial"/>
                <w:sz w:val="14"/>
                <w:szCs w:val="14"/>
                <w:b w:val="1"/>
                <w:bCs w:val="1"/>
                <w:color w:val="auto"/>
              </w:rPr>
              <w:t>Net</w:t>
            </w:r>
          </w:p>
        </w:tc>
        <w:tc>
          <w:tcPr>
            <w:tcW w:w="960" w:type="dxa"/>
            <w:vAlign w:val="bottom"/>
          </w:tcPr>
          <w:p>
            <w:pPr>
              <w:jc w:val="right"/>
              <w:ind w:right="108"/>
              <w:spacing w:after="0" w:line="142" w:lineRule="exact"/>
              <w:rPr>
                <w:sz w:val="20"/>
                <w:szCs w:val="20"/>
                <w:color w:val="auto"/>
              </w:rPr>
            </w:pPr>
            <w:r>
              <w:rPr>
                <w:rFonts w:ascii="Arial" w:cs="Arial" w:eastAsia="Arial" w:hAnsi="Arial"/>
                <w:sz w:val="14"/>
                <w:szCs w:val="14"/>
                <w:b w:val="1"/>
                <w:bCs w:val="1"/>
                <w:color w:val="auto"/>
              </w:rPr>
              <w:t>Segment</w:t>
            </w:r>
          </w:p>
        </w:tc>
        <w:tc>
          <w:tcPr>
            <w:tcW w:w="0" w:type="dxa"/>
            <w:vAlign w:val="bottom"/>
          </w:tcPr>
          <w:p>
            <w:pPr>
              <w:spacing w:after="0"/>
              <w:rPr>
                <w:sz w:val="1"/>
                <w:szCs w:val="1"/>
                <w:color w:val="auto"/>
              </w:rPr>
            </w:pPr>
          </w:p>
        </w:tc>
      </w:tr>
      <w:tr>
        <w:trPr>
          <w:trHeight w:val="189"/>
        </w:trPr>
        <w:tc>
          <w:tcPr>
            <w:tcW w:w="8360" w:type="dxa"/>
            <w:vAlign w:val="bottom"/>
            <w:tcBorders>
              <w:bottom w:val="single" w:sz="8" w:color="D7282F"/>
            </w:tcBorders>
            <w:vMerge w:val="continue"/>
          </w:tcPr>
          <w:p>
            <w:pPr>
              <w:spacing w:after="0"/>
              <w:rPr>
                <w:sz w:val="16"/>
                <w:szCs w:val="16"/>
                <w:color w:val="auto"/>
              </w:rPr>
            </w:pPr>
          </w:p>
        </w:tc>
        <w:tc>
          <w:tcPr>
            <w:tcW w:w="160" w:type="dxa"/>
            <w:vAlign w:val="bottom"/>
            <w:tcBorders>
              <w:bottom w:val="single" w:sz="8" w:color="D7282F"/>
            </w:tcBorders>
          </w:tcPr>
          <w:p>
            <w:pPr>
              <w:spacing w:after="0"/>
              <w:rPr>
                <w:sz w:val="16"/>
                <w:szCs w:val="16"/>
                <w:color w:val="auto"/>
              </w:rPr>
            </w:pPr>
          </w:p>
        </w:tc>
        <w:tc>
          <w:tcPr>
            <w:tcW w:w="520" w:type="dxa"/>
            <w:vAlign w:val="bottom"/>
            <w:tcBorders>
              <w:bottom w:val="single" w:sz="8" w:color="D7282F"/>
            </w:tcBorders>
          </w:tcPr>
          <w:p>
            <w:pPr>
              <w:spacing w:after="0"/>
              <w:rPr>
                <w:sz w:val="16"/>
                <w:szCs w:val="16"/>
                <w:color w:val="auto"/>
              </w:rPr>
            </w:pPr>
          </w:p>
        </w:tc>
        <w:tc>
          <w:tcPr>
            <w:tcW w:w="20" w:type="dxa"/>
            <w:vAlign w:val="bottom"/>
            <w:tcBorders>
              <w:bottom w:val="single" w:sz="8" w:color="D7282F"/>
            </w:tcBorders>
          </w:tcPr>
          <w:p>
            <w:pPr>
              <w:spacing w:after="0"/>
              <w:rPr>
                <w:sz w:val="16"/>
                <w:szCs w:val="16"/>
                <w:color w:val="auto"/>
              </w:rPr>
            </w:pPr>
          </w:p>
        </w:tc>
        <w:tc>
          <w:tcPr>
            <w:tcW w:w="1220" w:type="dxa"/>
            <w:vAlign w:val="bottom"/>
            <w:tcBorders>
              <w:bottom w:val="single" w:sz="8" w:color="D7282F"/>
            </w:tcBorders>
            <w:gridSpan w:val="2"/>
          </w:tcPr>
          <w:p>
            <w:pPr>
              <w:jc w:val="right"/>
              <w:ind w:right="488"/>
              <w:spacing w:after="0"/>
              <w:rPr>
                <w:sz w:val="20"/>
                <w:szCs w:val="20"/>
                <w:color w:val="auto"/>
              </w:rPr>
            </w:pPr>
            <w:r>
              <w:rPr>
                <w:rFonts w:ascii="Arial" w:cs="Arial" w:eastAsia="Arial" w:hAnsi="Arial"/>
                <w:sz w:val="14"/>
                <w:szCs w:val="14"/>
                <w:b w:val="1"/>
                <w:bCs w:val="1"/>
                <w:color w:val="auto"/>
              </w:rPr>
              <w:t>Sales</w:t>
            </w:r>
          </w:p>
        </w:tc>
        <w:tc>
          <w:tcPr>
            <w:tcW w:w="960" w:type="dxa"/>
            <w:vAlign w:val="bottom"/>
            <w:tcBorders>
              <w:bottom w:val="single" w:sz="8" w:color="D7282F"/>
            </w:tcBorders>
          </w:tcPr>
          <w:p>
            <w:pPr>
              <w:jc w:val="right"/>
              <w:ind w:right="228"/>
              <w:spacing w:after="0"/>
              <w:rPr>
                <w:sz w:val="20"/>
                <w:szCs w:val="20"/>
                <w:color w:val="auto"/>
              </w:rPr>
            </w:pPr>
            <w:r>
              <w:rPr>
                <w:rFonts w:ascii="Arial" w:cs="Arial" w:eastAsia="Arial" w:hAnsi="Arial"/>
                <w:sz w:val="14"/>
                <w:szCs w:val="14"/>
                <w:b w:val="1"/>
                <w:bCs w:val="1"/>
                <w:color w:val="auto"/>
              </w:rPr>
              <w:t>Profit</w:t>
            </w:r>
          </w:p>
        </w:tc>
        <w:tc>
          <w:tcPr>
            <w:tcW w:w="0" w:type="dxa"/>
            <w:vAlign w:val="bottom"/>
          </w:tcPr>
          <w:p>
            <w:pPr>
              <w:spacing w:after="0"/>
              <w:rPr>
                <w:sz w:val="1"/>
                <w:szCs w:val="1"/>
                <w:color w:val="auto"/>
              </w:rPr>
            </w:pPr>
          </w:p>
        </w:tc>
      </w:tr>
      <w:tr>
        <w:trPr>
          <w:trHeight w:val="192"/>
        </w:trPr>
        <w:tc>
          <w:tcPr>
            <w:tcW w:w="83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Organic</w:t>
            </w:r>
          </w:p>
        </w:tc>
        <w:tc>
          <w:tcPr>
            <w:tcW w:w="160" w:type="dxa"/>
            <w:vAlign w:val="bottom"/>
            <w:tcBorders>
              <w:bottom w:val="single" w:sz="8" w:color="61656A"/>
            </w:tcBorders>
          </w:tcPr>
          <w:p>
            <w:pPr>
              <w:spacing w:after="0"/>
              <w:rPr>
                <w:sz w:val="16"/>
                <w:szCs w:val="16"/>
                <w:color w:val="auto"/>
              </w:rPr>
            </w:pPr>
          </w:p>
        </w:tc>
        <w:tc>
          <w:tcPr>
            <w:tcW w:w="520" w:type="dxa"/>
            <w:vAlign w:val="bottom"/>
            <w:tcBorders>
              <w:bottom w:val="single" w:sz="8" w:color="61656A"/>
            </w:tcBorders>
          </w:tcPr>
          <w:p>
            <w:pPr>
              <w:spacing w:after="0"/>
              <w:rPr>
                <w:sz w:val="16"/>
                <w:szCs w:val="16"/>
                <w:color w:val="auto"/>
              </w:rPr>
            </w:pPr>
          </w:p>
        </w:tc>
        <w:tc>
          <w:tcPr>
            <w:tcW w:w="20" w:type="dxa"/>
            <w:vAlign w:val="bottom"/>
            <w:tcBorders>
              <w:bottom w:val="single" w:sz="8" w:color="61656A"/>
            </w:tcBorders>
          </w:tcPr>
          <w:p>
            <w:pPr>
              <w:spacing w:after="0"/>
              <w:rPr>
                <w:sz w:val="16"/>
                <w:szCs w:val="16"/>
                <w:color w:val="auto"/>
              </w:rPr>
            </w:pPr>
          </w:p>
        </w:tc>
        <w:tc>
          <w:tcPr>
            <w:tcW w:w="400" w:type="dxa"/>
            <w:vAlign w:val="bottom"/>
            <w:tcBorders>
              <w:bottom w:val="single" w:sz="8" w:color="61656A"/>
            </w:tcBorders>
          </w:tcPr>
          <w:p>
            <w:pPr>
              <w:spacing w:after="0"/>
              <w:rPr>
                <w:sz w:val="16"/>
                <w:szCs w:val="16"/>
                <w:color w:val="auto"/>
              </w:rPr>
            </w:pPr>
          </w:p>
        </w:tc>
        <w:tc>
          <w:tcPr>
            <w:tcW w:w="820" w:type="dxa"/>
            <w:vAlign w:val="bottom"/>
            <w:tcBorders>
              <w:bottom w:val="single" w:sz="8" w:color="61656A"/>
            </w:tcBorders>
          </w:tcPr>
          <w:p>
            <w:pPr>
              <w:jc w:val="right"/>
              <w:ind w:right="208"/>
              <w:spacing w:after="0"/>
              <w:rPr>
                <w:sz w:val="20"/>
                <w:szCs w:val="20"/>
                <w:color w:val="auto"/>
              </w:rPr>
            </w:pPr>
            <w:r>
              <w:rPr>
                <w:rFonts w:ascii="Arial" w:cs="Arial" w:eastAsia="Arial" w:hAnsi="Arial"/>
                <w:sz w:val="14"/>
                <w:szCs w:val="14"/>
                <w:color w:val="auto"/>
              </w:rPr>
              <w:t>5 %</w:t>
            </w:r>
          </w:p>
        </w:tc>
        <w:tc>
          <w:tcPr>
            <w:tcW w:w="9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2 %</w:t>
            </w:r>
          </w:p>
        </w:tc>
        <w:tc>
          <w:tcPr>
            <w:tcW w:w="0" w:type="dxa"/>
            <w:vAlign w:val="bottom"/>
          </w:tcPr>
          <w:p>
            <w:pPr>
              <w:spacing w:after="0"/>
              <w:rPr>
                <w:sz w:val="1"/>
                <w:szCs w:val="1"/>
                <w:color w:val="auto"/>
              </w:rPr>
            </w:pPr>
          </w:p>
        </w:tc>
      </w:tr>
      <w:tr>
        <w:trPr>
          <w:trHeight w:val="196"/>
        </w:trPr>
        <w:tc>
          <w:tcPr>
            <w:tcW w:w="83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Foreign currency translation</w:t>
            </w:r>
          </w:p>
        </w:tc>
        <w:tc>
          <w:tcPr>
            <w:tcW w:w="160" w:type="dxa"/>
            <w:vAlign w:val="bottom"/>
            <w:tcBorders>
              <w:bottom w:val="single" w:sz="8" w:color="61656A"/>
            </w:tcBorders>
          </w:tcPr>
          <w:p>
            <w:pPr>
              <w:spacing w:after="0"/>
              <w:rPr>
                <w:sz w:val="17"/>
                <w:szCs w:val="17"/>
                <w:color w:val="auto"/>
              </w:rPr>
            </w:pPr>
          </w:p>
        </w:tc>
        <w:tc>
          <w:tcPr>
            <w:tcW w:w="520" w:type="dxa"/>
            <w:vAlign w:val="bottom"/>
            <w:tcBorders>
              <w:bottom w:val="single" w:sz="8" w:color="61656A"/>
            </w:tcBorders>
          </w:tcPr>
          <w:p>
            <w:pPr>
              <w:spacing w:after="0"/>
              <w:rPr>
                <w:sz w:val="17"/>
                <w:szCs w:val="17"/>
                <w:color w:val="auto"/>
              </w:rPr>
            </w:pPr>
          </w:p>
        </w:tc>
        <w:tc>
          <w:tcPr>
            <w:tcW w:w="20" w:type="dxa"/>
            <w:vAlign w:val="bottom"/>
            <w:tcBorders>
              <w:bottom w:val="single" w:sz="8" w:color="61656A"/>
            </w:tcBorders>
          </w:tcPr>
          <w:p>
            <w:pPr>
              <w:spacing w:after="0"/>
              <w:rPr>
                <w:sz w:val="17"/>
                <w:szCs w:val="17"/>
                <w:color w:val="auto"/>
              </w:rPr>
            </w:pPr>
          </w:p>
        </w:tc>
        <w:tc>
          <w:tcPr>
            <w:tcW w:w="40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jc w:val="right"/>
              <w:ind w:right="208"/>
              <w:spacing w:after="0"/>
              <w:rPr>
                <w:sz w:val="20"/>
                <w:szCs w:val="20"/>
                <w:color w:val="auto"/>
              </w:rPr>
            </w:pPr>
            <w:r>
              <w:rPr>
                <w:rFonts w:ascii="Arial" w:cs="Arial" w:eastAsia="Arial" w:hAnsi="Arial"/>
                <w:sz w:val="14"/>
                <w:szCs w:val="14"/>
                <w:color w:val="auto"/>
              </w:rPr>
              <w:t>(1)%</w:t>
            </w:r>
          </w:p>
        </w:tc>
        <w:tc>
          <w:tcPr>
            <w:tcW w:w="9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6"/>
        </w:trPr>
        <w:tc>
          <w:tcPr>
            <w:tcW w:w="83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Acquisitions, divestitures, and other, net</w:t>
            </w:r>
          </w:p>
        </w:tc>
        <w:tc>
          <w:tcPr>
            <w:tcW w:w="160" w:type="dxa"/>
            <w:vAlign w:val="bottom"/>
            <w:tcBorders>
              <w:bottom w:val="single" w:sz="8" w:color="D7282F"/>
            </w:tcBorders>
          </w:tcPr>
          <w:p>
            <w:pPr>
              <w:spacing w:after="0"/>
              <w:rPr>
                <w:sz w:val="17"/>
                <w:szCs w:val="17"/>
                <w:color w:val="auto"/>
              </w:rPr>
            </w:pPr>
          </w:p>
        </w:tc>
        <w:tc>
          <w:tcPr>
            <w:tcW w:w="520" w:type="dxa"/>
            <w:vAlign w:val="bottom"/>
            <w:tcBorders>
              <w:bottom w:val="single" w:sz="8" w:color="D7282F"/>
            </w:tcBorders>
          </w:tcPr>
          <w:p>
            <w:pPr>
              <w:spacing w:after="0"/>
              <w:rPr>
                <w:sz w:val="17"/>
                <w:szCs w:val="17"/>
                <w:color w:val="auto"/>
              </w:rPr>
            </w:pPr>
          </w:p>
        </w:tc>
        <w:tc>
          <w:tcPr>
            <w:tcW w:w="20" w:type="dxa"/>
            <w:vAlign w:val="bottom"/>
            <w:tcBorders>
              <w:bottom w:val="single" w:sz="8" w:color="D7282F"/>
            </w:tcBorders>
          </w:tcPr>
          <w:p>
            <w:pPr>
              <w:spacing w:after="0"/>
              <w:rPr>
                <w:sz w:val="17"/>
                <w:szCs w:val="17"/>
                <w:color w:val="auto"/>
              </w:rPr>
            </w:pPr>
          </w:p>
        </w:tc>
        <w:tc>
          <w:tcPr>
            <w:tcW w:w="400" w:type="dxa"/>
            <w:vAlign w:val="bottom"/>
            <w:tcBorders>
              <w:bottom w:val="single" w:sz="8" w:color="D7282F"/>
            </w:tcBorders>
          </w:tcPr>
          <w:p>
            <w:pPr>
              <w:spacing w:after="0"/>
              <w:rPr>
                <w:sz w:val="17"/>
                <w:szCs w:val="17"/>
                <w:color w:val="auto"/>
              </w:rPr>
            </w:pPr>
          </w:p>
        </w:tc>
        <w:tc>
          <w:tcPr>
            <w:tcW w:w="82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color w:val="auto"/>
              </w:rPr>
              <w:t>— %</w:t>
            </w:r>
          </w:p>
        </w:tc>
        <w:tc>
          <w:tcPr>
            <w:tcW w:w="9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9"/>
        </w:trPr>
        <w:tc>
          <w:tcPr>
            <w:tcW w:w="836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 change</w:t>
            </w:r>
          </w:p>
        </w:tc>
        <w:tc>
          <w:tcPr>
            <w:tcW w:w="160" w:type="dxa"/>
            <w:vAlign w:val="bottom"/>
            <w:tcBorders>
              <w:bottom w:val="single" w:sz="8" w:color="D7282F"/>
            </w:tcBorders>
          </w:tcPr>
          <w:p>
            <w:pPr>
              <w:spacing w:after="0"/>
              <w:rPr>
                <w:sz w:val="17"/>
                <w:szCs w:val="17"/>
                <w:color w:val="auto"/>
              </w:rPr>
            </w:pPr>
          </w:p>
        </w:tc>
        <w:tc>
          <w:tcPr>
            <w:tcW w:w="520" w:type="dxa"/>
            <w:vAlign w:val="bottom"/>
            <w:tcBorders>
              <w:bottom w:val="single" w:sz="8" w:color="D7282F"/>
            </w:tcBorders>
          </w:tcPr>
          <w:p>
            <w:pPr>
              <w:spacing w:after="0"/>
              <w:rPr>
                <w:sz w:val="17"/>
                <w:szCs w:val="17"/>
                <w:color w:val="auto"/>
              </w:rPr>
            </w:pPr>
          </w:p>
        </w:tc>
        <w:tc>
          <w:tcPr>
            <w:tcW w:w="20" w:type="dxa"/>
            <w:vAlign w:val="bottom"/>
            <w:tcBorders>
              <w:bottom w:val="single" w:sz="8" w:color="D7282F"/>
            </w:tcBorders>
          </w:tcPr>
          <w:p>
            <w:pPr>
              <w:spacing w:after="0"/>
              <w:rPr>
                <w:sz w:val="17"/>
                <w:szCs w:val="17"/>
                <w:color w:val="auto"/>
              </w:rPr>
            </w:pPr>
          </w:p>
        </w:tc>
        <w:tc>
          <w:tcPr>
            <w:tcW w:w="400" w:type="dxa"/>
            <w:vAlign w:val="bottom"/>
            <w:tcBorders>
              <w:bottom w:val="single" w:sz="8" w:color="D7282F"/>
            </w:tcBorders>
          </w:tcPr>
          <w:p>
            <w:pPr>
              <w:spacing w:after="0"/>
              <w:rPr>
                <w:sz w:val="17"/>
                <w:szCs w:val="17"/>
                <w:color w:val="auto"/>
              </w:rPr>
            </w:pPr>
          </w:p>
        </w:tc>
        <w:tc>
          <w:tcPr>
            <w:tcW w:w="82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4 %</w:t>
            </w:r>
          </w:p>
        </w:tc>
        <w:tc>
          <w:tcPr>
            <w:tcW w:w="9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1 %</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Q1 2024 compared to Q1 2023</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Sales increased $64 million due to higher organic sales of $55 million in Advanced Materials driven by higher demand for fluorine products.</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Segment profit increased $2 million and segment margin percentage decreased 70 basis points to 19.8% compared to 20.5% for the same period of 2023.</w:t>
      </w:r>
    </w:p>
    <w:p>
      <w:pPr>
        <w:spacing w:after="0" w:line="200" w:lineRule="exact"/>
        <w:rPr>
          <w:sz w:val="20"/>
          <w:szCs w:val="20"/>
          <w:color w:val="auto"/>
        </w:rPr>
      </w:pPr>
    </w:p>
    <w:p>
      <w:pPr>
        <w:spacing w:after="0" w:line="252" w:lineRule="exact"/>
        <w:rPr>
          <w:sz w:val="20"/>
          <w:szCs w:val="20"/>
          <w:color w:val="auto"/>
        </w:rPr>
      </w:pPr>
    </w:p>
    <w:p>
      <w:pPr>
        <w:ind w:left="400" w:hanging="392"/>
        <w:spacing w:after="0"/>
        <w:tabs>
          <w:tab w:leader="none" w:pos="400" w:val="left"/>
        </w:tabs>
        <w:numPr>
          <w:ilvl w:val="0"/>
          <w:numId w:val="46"/>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9"/>
          <w:szCs w:val="29"/>
          <w:color w:val="D7282F"/>
        </w:rPr>
        <w:t>CORPORATE AND ALL OTHER</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Corporate and All Other primarily includes unallocated corporate costs, interest expense on holding-company debt, and the controlling majority-owned interest in Quantinuum. Corporate and All Other is not a separate reportable business segment as segment reporting criteria is not met. The Company continues to monitor the activities in Corporate and All Other to determine the need for further reportable business segment disaggregation.</w:t>
      </w:r>
    </w:p>
    <w:p>
      <w:pPr>
        <w:spacing w:after="0" w:line="214" w:lineRule="exact"/>
        <w:rPr>
          <w:sz w:val="20"/>
          <w:szCs w:val="20"/>
          <w:color w:val="auto"/>
        </w:rPr>
      </w:pPr>
    </w:p>
    <w:p>
      <w:pPr>
        <w:spacing w:after="0"/>
        <w:rPr>
          <w:sz w:val="20"/>
          <w:szCs w:val="20"/>
          <w:color w:val="auto"/>
        </w:rPr>
      </w:pPr>
      <w:r>
        <w:rPr>
          <w:rFonts w:ascii="Arial" w:cs="Arial" w:eastAsia="Arial" w:hAnsi="Arial"/>
          <w:sz w:val="29"/>
          <w:szCs w:val="29"/>
          <w:color w:val="D7282F"/>
        </w:rPr>
        <w:t>REPOSITIONING CHARGES</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See Note 5 Repositioning and Other Charges of Notes to Consolidated Financial Statements for a discussion of our repositioning actions and related charges incurred in the three months ended March 31, 2024, and 2023. Cash spending related to our repositioning actions was $50 million in the three months ended March 31, 2024, and was funded through operating cash flows.</w:t>
      </w:r>
    </w:p>
    <w:p>
      <w:pPr>
        <w:spacing w:after="0" w:line="395" w:lineRule="exact"/>
        <w:rPr>
          <w:sz w:val="20"/>
          <w:szCs w:val="20"/>
          <w:color w:val="auto"/>
        </w:rPr>
      </w:pPr>
    </w:p>
    <w:p>
      <w:pPr>
        <w:ind w:left="400" w:hanging="392"/>
        <w:spacing w:after="0"/>
        <w:tabs>
          <w:tab w:leader="none" w:pos="400" w:val="left"/>
        </w:tabs>
        <w:numPr>
          <w:ilvl w:val="0"/>
          <w:numId w:val="47"/>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LIQUIDITY AND CAPITAL RESOURCES</w:t>
      </w:r>
    </w:p>
    <w:p>
      <w:pPr>
        <w:spacing w:after="0" w:line="3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(Dollars in tables in millions)</w:t>
      </w:r>
    </w:p>
    <w:p>
      <w:pPr>
        <w:spacing w:after="0" w:line="11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manage our businesses to maximize operating cash flows as the primary source of liquidity. Each of our businesses is focused on increasing operating cash flows through revenue growth, margin expansion, and improved working capital turnover. Additional sources of liquidity include U.S. cash balances, and the ability to access non-U.S. cash balances, short-term debt from the commercial paper market, long-term borrowings, committed credit lines, and access to the public debt and equity markets.</w:t>
      </w:r>
    </w:p>
    <w:p>
      <w:pPr>
        <w:spacing w:after="0" w:line="236" w:lineRule="exact"/>
        <w:rPr>
          <w:sz w:val="20"/>
          <w:szCs w:val="20"/>
          <w:color w:val="auto"/>
        </w:rPr>
      </w:pPr>
    </w:p>
    <w:p>
      <w:pPr>
        <w:spacing w:after="0"/>
        <w:rPr>
          <w:sz w:val="20"/>
          <w:szCs w:val="20"/>
          <w:color w:val="auto"/>
        </w:rPr>
      </w:pPr>
      <w:r>
        <w:rPr>
          <w:rFonts w:ascii="Arial" w:cs="Arial" w:eastAsia="Arial" w:hAnsi="Arial"/>
          <w:sz w:val="29"/>
          <w:szCs w:val="29"/>
          <w:color w:val="D7282F"/>
        </w:rPr>
        <w:t>CASH</w:t>
      </w:r>
    </w:p>
    <w:p>
      <w:pPr>
        <w:spacing w:after="0" w:line="25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As of March 31, 2024, and December 31, 2023, we held $12.0 billion and $8.1 billion, respectively, of cash and cash equivalents, including our short-term investments. We monitor the third-party depository institutions that hold our cash and cash equivalents on a daily basis. Our emphasis is primarily safety of principal and secondarily maximizing yield of those funds. We diversify our cash and cash equivalents among counterparties to minimize exposure to any one counterparty.</w:t>
      </w:r>
    </w:p>
    <w:p>
      <w:pPr>
        <w:spacing w:after="0" w:line="6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As of March 31, 2024, $5.7 billion of the Company’s cash, cash equivalents, and short-term investments were held by non-U.S. subsidiaries. We do not have material amounts related to any jurisdiction subject to currency control restrictions that impact our ability to access and repatriate such amounts. Under current laws, we do not expect taxes on repatriation or restrictions on amounts held outside of the U.S. to have a material effect on our overall liquidity.</w:t>
      </w:r>
    </w:p>
    <w:p>
      <w:pPr>
        <w:spacing w:after="0" w:line="227" w:lineRule="exact"/>
        <w:rPr>
          <w:sz w:val="20"/>
          <w:szCs w:val="20"/>
          <w:color w:val="auto"/>
        </w:rPr>
      </w:pPr>
    </w:p>
    <w:p>
      <w:pPr>
        <w:spacing w:after="0"/>
        <w:rPr>
          <w:sz w:val="20"/>
          <w:szCs w:val="20"/>
          <w:color w:val="auto"/>
        </w:rPr>
      </w:pPr>
      <w:r>
        <w:rPr>
          <w:rFonts w:ascii="Arial" w:cs="Arial" w:eastAsia="Arial" w:hAnsi="Arial"/>
          <w:sz w:val="29"/>
          <w:szCs w:val="29"/>
          <w:color w:val="D7282F"/>
        </w:rPr>
        <w:t>CASH FLOW SUMMARY</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Our cash flows from operating, investing, and financing activities, as reflected in the Consolidated Statement of Cash Flows, are summarized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180" w:type="dxa"/>
            <w:vAlign w:val="bottom"/>
          </w:tcPr>
          <w:p>
            <w:pPr>
              <w:spacing w:after="0"/>
              <w:rPr>
                <w:sz w:val="17"/>
                <w:szCs w:val="17"/>
                <w:color w:val="auto"/>
              </w:rPr>
            </w:pPr>
          </w:p>
        </w:tc>
        <w:tc>
          <w:tcPr>
            <w:tcW w:w="200" w:type="dxa"/>
            <w:vAlign w:val="bottom"/>
            <w:tcBorders>
              <w:bottom w:val="single" w:sz="8" w:color="D7282F"/>
            </w:tcBorders>
          </w:tcPr>
          <w:p>
            <w:pPr>
              <w:spacing w:after="0"/>
              <w:rPr>
                <w:sz w:val="17"/>
                <w:szCs w:val="17"/>
                <w:color w:val="auto"/>
              </w:rPr>
            </w:pPr>
          </w:p>
        </w:tc>
        <w:tc>
          <w:tcPr>
            <w:tcW w:w="2860" w:type="dxa"/>
            <w:vAlign w:val="bottom"/>
            <w:tcBorders>
              <w:bottom w:val="single" w:sz="8" w:color="D7282F"/>
            </w:tcBorders>
            <w:gridSpan w:val="5"/>
          </w:tcPr>
          <w:p>
            <w:pPr>
              <w:jc w:val="right"/>
              <w:ind w:right="388"/>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8180" w:type="dxa"/>
            <w:vAlign w:val="bottom"/>
            <w:tcBorders>
              <w:bottom w:val="single" w:sz="8" w:color="D7282F"/>
            </w:tcBorders>
          </w:tcPr>
          <w:p>
            <w:pPr>
              <w:spacing w:after="0"/>
              <w:rPr>
                <w:sz w:val="17"/>
                <w:szCs w:val="17"/>
                <w:color w:val="auto"/>
              </w:rPr>
            </w:pPr>
          </w:p>
        </w:tc>
        <w:tc>
          <w:tcPr>
            <w:tcW w:w="20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2024</w:t>
            </w:r>
          </w:p>
        </w:tc>
        <w:tc>
          <w:tcPr>
            <w:tcW w:w="30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w w:val="99"/>
              </w:rPr>
              <w:t>Variance</w:t>
            </w:r>
          </w:p>
        </w:tc>
      </w:tr>
      <w:tr>
        <w:trPr>
          <w:trHeight w:val="196"/>
        </w:trPr>
        <w:tc>
          <w:tcPr>
            <w:tcW w:w="81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Cash and cash equivalents at beginning of period</w:t>
            </w:r>
          </w:p>
        </w:tc>
        <w:tc>
          <w:tcPr>
            <w:tcW w:w="20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7,925</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9,627</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(1,702)</w:t>
            </w:r>
          </w:p>
        </w:tc>
      </w:tr>
      <w:tr>
        <w:trPr>
          <w:trHeight w:val="196"/>
        </w:trPr>
        <w:tc>
          <w:tcPr>
            <w:tcW w:w="818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20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spacing w:after="0"/>
              <w:rPr>
                <w:sz w:val="17"/>
                <w:szCs w:val="17"/>
                <w:color w:val="auto"/>
              </w:rPr>
            </w:pPr>
          </w:p>
        </w:tc>
        <w:tc>
          <w:tcPr>
            <w:tcW w:w="30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spacing w:after="0"/>
              <w:rPr>
                <w:sz w:val="17"/>
                <w:szCs w:val="17"/>
                <w:color w:val="auto"/>
              </w:rPr>
            </w:pPr>
          </w:p>
        </w:tc>
      </w:tr>
      <w:tr>
        <w:trPr>
          <w:trHeight w:val="193"/>
        </w:trPr>
        <w:tc>
          <w:tcPr>
            <w:tcW w:w="81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Net income attributable to Honeywell</w:t>
            </w:r>
          </w:p>
        </w:tc>
        <w:tc>
          <w:tcPr>
            <w:tcW w:w="20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1,463</w:t>
            </w:r>
          </w:p>
        </w:tc>
        <w:tc>
          <w:tcPr>
            <w:tcW w:w="30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1,394</w:t>
            </w:r>
          </w:p>
        </w:tc>
        <w:tc>
          <w:tcPr>
            <w:tcW w:w="240" w:type="dxa"/>
            <w:vAlign w:val="bottom"/>
            <w:tcBorders>
              <w:bottom w:val="single" w:sz="8" w:color="61656A"/>
            </w:tcBorders>
          </w:tcPr>
          <w:p>
            <w:pPr>
              <w:spacing w:after="0"/>
              <w:rPr>
                <w:sz w:val="16"/>
                <w:szCs w:val="16"/>
                <w:color w:val="auto"/>
              </w:rPr>
            </w:pPr>
          </w:p>
        </w:tc>
        <w:tc>
          <w:tcPr>
            <w:tcW w:w="7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69</w:t>
            </w:r>
          </w:p>
        </w:tc>
      </w:tr>
      <w:tr>
        <w:trPr>
          <w:trHeight w:val="196"/>
        </w:trPr>
        <w:tc>
          <w:tcPr>
            <w:tcW w:w="81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Noncash adjustments</w:t>
            </w:r>
          </w:p>
        </w:tc>
        <w:tc>
          <w:tcPr>
            <w:tcW w:w="20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289</w:t>
            </w:r>
          </w:p>
        </w:tc>
        <w:tc>
          <w:tcPr>
            <w:tcW w:w="30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572</w:t>
            </w:r>
          </w:p>
        </w:tc>
        <w:tc>
          <w:tcPr>
            <w:tcW w:w="2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(283)</w:t>
            </w:r>
          </w:p>
        </w:tc>
      </w:tr>
      <w:tr>
        <w:trPr>
          <w:trHeight w:val="196"/>
        </w:trPr>
        <w:tc>
          <w:tcPr>
            <w:tcW w:w="81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Changes in working capital</w:t>
            </w:r>
          </w:p>
        </w:tc>
        <w:tc>
          <w:tcPr>
            <w:tcW w:w="20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(468)</w:t>
            </w:r>
          </w:p>
        </w:tc>
        <w:tc>
          <w:tcPr>
            <w:tcW w:w="30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(546)</w:t>
            </w:r>
          </w:p>
        </w:tc>
        <w:tc>
          <w:tcPr>
            <w:tcW w:w="2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78</w:t>
            </w:r>
          </w:p>
        </w:tc>
      </w:tr>
      <w:tr>
        <w:trPr>
          <w:trHeight w:val="196"/>
        </w:trPr>
        <w:tc>
          <w:tcPr>
            <w:tcW w:w="81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NARCO Buyout payment</w:t>
            </w:r>
          </w:p>
        </w:tc>
        <w:tc>
          <w:tcPr>
            <w:tcW w:w="20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(1,325)</w:t>
            </w:r>
          </w:p>
        </w:tc>
        <w:tc>
          <w:tcPr>
            <w:tcW w:w="2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1,325</w:t>
            </w:r>
          </w:p>
        </w:tc>
      </w:tr>
      <w:tr>
        <w:trPr>
          <w:trHeight w:val="196"/>
        </w:trPr>
        <w:tc>
          <w:tcPr>
            <w:tcW w:w="81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Other operating activities</w:t>
            </w:r>
          </w:p>
        </w:tc>
        <w:tc>
          <w:tcPr>
            <w:tcW w:w="20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(836)</w:t>
            </w:r>
          </w:p>
        </w:tc>
        <w:tc>
          <w:tcPr>
            <w:tcW w:w="30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(879)</w:t>
            </w:r>
          </w:p>
        </w:tc>
        <w:tc>
          <w:tcPr>
            <w:tcW w:w="2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43</w:t>
            </w:r>
          </w:p>
        </w:tc>
      </w:tr>
      <w:tr>
        <w:trPr>
          <w:trHeight w:val="199"/>
        </w:trPr>
        <w:tc>
          <w:tcPr>
            <w:tcW w:w="81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Net cash provided by (used for) operating activities</w:t>
            </w:r>
          </w:p>
        </w:tc>
        <w:tc>
          <w:tcPr>
            <w:tcW w:w="20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448</w:t>
            </w:r>
          </w:p>
        </w:tc>
        <w:tc>
          <w:tcPr>
            <w:tcW w:w="30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(784)</w:t>
            </w:r>
          </w:p>
        </w:tc>
        <w:tc>
          <w:tcPr>
            <w:tcW w:w="2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1,232</w:t>
            </w:r>
          </w:p>
        </w:tc>
      </w:tr>
      <w:tr>
        <w:trPr>
          <w:trHeight w:val="193"/>
        </w:trPr>
        <w:tc>
          <w:tcPr>
            <w:tcW w:w="81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Net cash used for investing activities</w:t>
            </w:r>
          </w:p>
        </w:tc>
        <w:tc>
          <w:tcPr>
            <w:tcW w:w="20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(273)</w:t>
            </w:r>
          </w:p>
        </w:tc>
        <w:tc>
          <w:tcPr>
            <w:tcW w:w="30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(29)</w:t>
            </w:r>
          </w:p>
        </w:tc>
        <w:tc>
          <w:tcPr>
            <w:tcW w:w="240" w:type="dxa"/>
            <w:vAlign w:val="bottom"/>
            <w:tcBorders>
              <w:bottom w:val="single" w:sz="8" w:color="61656A"/>
            </w:tcBorders>
          </w:tcPr>
          <w:p>
            <w:pPr>
              <w:spacing w:after="0"/>
              <w:rPr>
                <w:sz w:val="16"/>
                <w:szCs w:val="16"/>
                <w:color w:val="auto"/>
              </w:rPr>
            </w:pPr>
          </w:p>
        </w:tc>
        <w:tc>
          <w:tcPr>
            <w:tcW w:w="7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(244)</w:t>
            </w:r>
          </w:p>
        </w:tc>
      </w:tr>
      <w:tr>
        <w:trPr>
          <w:trHeight w:val="196"/>
        </w:trPr>
        <w:tc>
          <w:tcPr>
            <w:tcW w:w="81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Net cash provided by (used for) financing activities</w:t>
            </w:r>
          </w:p>
        </w:tc>
        <w:tc>
          <w:tcPr>
            <w:tcW w:w="20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3,696</w:t>
            </w:r>
          </w:p>
        </w:tc>
        <w:tc>
          <w:tcPr>
            <w:tcW w:w="30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(1,973)</w:t>
            </w:r>
          </w:p>
        </w:tc>
        <w:tc>
          <w:tcPr>
            <w:tcW w:w="2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5,669</w:t>
            </w:r>
          </w:p>
        </w:tc>
      </w:tr>
      <w:tr>
        <w:trPr>
          <w:trHeight w:val="196"/>
        </w:trPr>
        <w:tc>
          <w:tcPr>
            <w:tcW w:w="81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Effect of foreign exchange rate changes on cash and cash equivalents</w:t>
            </w:r>
          </w:p>
        </w:tc>
        <w:tc>
          <w:tcPr>
            <w:tcW w:w="20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(40)</w:t>
            </w:r>
          </w:p>
        </w:tc>
        <w:tc>
          <w:tcPr>
            <w:tcW w:w="30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28</w:t>
            </w:r>
          </w:p>
        </w:tc>
        <w:tc>
          <w:tcPr>
            <w:tcW w:w="2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(68)</w:t>
            </w:r>
          </w:p>
        </w:tc>
      </w:tr>
      <w:tr>
        <w:trPr>
          <w:trHeight w:val="199"/>
        </w:trPr>
        <w:tc>
          <w:tcPr>
            <w:tcW w:w="81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Net increase (decrease) in cash and cash equivalents</w:t>
            </w:r>
          </w:p>
        </w:tc>
        <w:tc>
          <w:tcPr>
            <w:tcW w:w="20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3,831</w:t>
            </w:r>
          </w:p>
        </w:tc>
        <w:tc>
          <w:tcPr>
            <w:tcW w:w="30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(2,758)</w:t>
            </w:r>
          </w:p>
        </w:tc>
        <w:tc>
          <w:tcPr>
            <w:tcW w:w="2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6,589</w:t>
            </w:r>
          </w:p>
        </w:tc>
      </w:tr>
      <w:tr>
        <w:trPr>
          <w:trHeight w:val="196"/>
        </w:trPr>
        <w:tc>
          <w:tcPr>
            <w:tcW w:w="81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Cash and cash equivalents at end of period</w:t>
            </w:r>
          </w:p>
        </w:tc>
        <w:tc>
          <w:tcPr>
            <w:tcW w:w="20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11,756</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6,869</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4,887</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Three months ended March 31, 2024</w:t>
      </w:r>
    </w:p>
    <w:p>
      <w:pPr>
        <w:spacing w:after="0" w:line="3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Net cash provided by operating activities was $448 million, driven by $1,463 million of Net income attributable to Honeywell, adjusted for $291 million of depreciation and amortization, partially offset by a $603 million decrease in Accrued liabilities, driven by a decrease in accrued employee compensation and benefits costs, and a $381 million decrease in Accounts payable, due to decreased material receipts.</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Net cash used for investing activities was $273 million, driven by $233 million of capital expenditures.</w:t>
      </w:r>
    </w:p>
    <w:p>
      <w:pPr>
        <w:spacing w:after="0" w:line="113"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Net cash provided by financing activities was $3,696 million, driven by $5,710 million of proceeds from issuance of long-term debt primarily to fund the Carrier acquisition, partially offset by $703 million of cash dividends paid, $671 million of repurchases of common stock, and $573 million of payments of long-term debt.</w:t>
      </w:r>
    </w:p>
    <w:p>
      <w:pPr>
        <w:spacing w:after="0" w:line="395" w:lineRule="exact"/>
        <w:rPr>
          <w:sz w:val="20"/>
          <w:szCs w:val="20"/>
          <w:color w:val="auto"/>
        </w:rPr>
      </w:pPr>
    </w:p>
    <w:p>
      <w:pPr>
        <w:ind w:left="400" w:hanging="392"/>
        <w:spacing w:after="0"/>
        <w:tabs>
          <w:tab w:leader="none" w:pos="400" w:val="left"/>
        </w:tabs>
        <w:numPr>
          <w:ilvl w:val="0"/>
          <w:numId w:val="48"/>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Three months ended March 31, 2024 compared with three months ended March 31, 2023</w:t>
      </w:r>
    </w:p>
    <w:p>
      <w:pPr>
        <w:spacing w:after="0" w:line="21"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Net cash provided by operating activities increased by $1,232 million due to the $1,325 million payment made by the Company pursuant to the NARCO Amended Buyout Agreement in 2023, partially offset by $283 million decrease of noncash adjustments, driven by a $222 million decline in deferred income taxes.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Net cash used for investing activities increased by $244 million due to a $243 million net increase in investments.</w:t>
      </w:r>
    </w:p>
    <w:p>
      <w:pPr>
        <w:spacing w:after="0" w:line="11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Net cash provided by financing activities increased by $5,669 million due to a $5,710 million increase of proceeds from issuance of long-term debt, $790 million decrease in payments of long-term debt, and $107 million increase in proceeds from the issuance of common stock, partially offset by $1,058 million decrease in net proceeds of commercial paper.</w:t>
      </w:r>
    </w:p>
    <w:p>
      <w:pPr>
        <w:spacing w:after="0" w:line="214" w:lineRule="exact"/>
        <w:rPr>
          <w:sz w:val="20"/>
          <w:szCs w:val="20"/>
          <w:color w:val="auto"/>
        </w:rPr>
      </w:pPr>
    </w:p>
    <w:p>
      <w:pPr>
        <w:spacing w:after="0"/>
        <w:rPr>
          <w:sz w:val="20"/>
          <w:szCs w:val="20"/>
          <w:color w:val="auto"/>
        </w:rPr>
      </w:pPr>
      <w:r>
        <w:rPr>
          <w:rFonts w:ascii="Arial" w:cs="Arial" w:eastAsia="Arial" w:hAnsi="Arial"/>
          <w:sz w:val="29"/>
          <w:szCs w:val="29"/>
          <w:color w:val="D7282F"/>
        </w:rPr>
        <w:t>CASH REQUIREMENTS AND ASSESSMENT OF CURRENT LIQUIDITY</w:t>
      </w:r>
    </w:p>
    <w:p>
      <w:pPr>
        <w:spacing w:after="0" w:line="25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addition to our normal operating cash requirements, we expect our principal future cash requirements will be to fund capital expenditures, share repurchases, dividends, strategic acquisitions, and debt repayments. On April 24, 2023, the Board of Directors authorized the repurchase of up to $10 billion of Honeywell common stock, including approximately $2.1 billion of remaining availability under the previously announced $10 billion share repurchase authorization. During the three months ended March 31, 2024, we repurchased common stock of $671 million. Refer to the section titled Liquidity and Capital Resources of our 2023 Form 10-K for a discussion of our expected capital expenditures, share repurchases, mergers and acquisitions activity, and dividends for 2024.</w:t>
      </w:r>
    </w:p>
    <w:p>
      <w:pPr>
        <w:spacing w:after="0" w:line="6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continually seek opportunities to improve our liquidity and working capital efficiency, which includes the extension of payment terms with our suppliers and transfer of our trade receivables to unaffiliated financial institutions on a true sale basis. The impact of these programs is not material to our overall liquidity.</w:t>
      </w:r>
    </w:p>
    <w:p>
      <w:pPr>
        <w:spacing w:after="0" w:line="26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continue to assess the relative strength of each business in our portfolio as to strategic fit, market position, profit, and cash flow contribution in order to identify target investment and acquisition opportunities in order to upgrade our combined portfolio. We identify acquisition candidates that will further our strategic plan and strengthen our existing core businesses. We also identify businesses that do not fit into our long-term strategic plan based on their market position, relative profitability, or growth potential. These businesses are considered for potential divestiture, restructuring, or other repositioning actions, subject to regulatory constraints.</w:t>
      </w:r>
    </w:p>
    <w:p>
      <w:pPr>
        <w:spacing w:after="0" w:line="8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early 2023, we made payments of approximately $1.5 billion in connection with the NARCO Buyout and UOP Matters. Pursuant to the NARCO Amended Buyout Agreement, we received proceeds of $275 million from the HWI Sale during the year ended December 31, 2023, and may receive additional consideration in future periods if certain conditions under the definitive sale agreement for the HWI Sale are met. These payments and receipts have not materially impacted our liquidity position. See Note 12 Fair Value Measurements of Notes to Consolidated Financial Statements for additional discussion related to the fair value of future proceeds from the HWI Sale.</w:t>
      </w:r>
    </w:p>
    <w:p>
      <w:pPr>
        <w:spacing w:after="0" w:line="7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Based on past performance and current expectations, we believe that our operating cash flows will be sufficient to meet our future operating cash needs. Our available cash, committed credit lines, and access to the public debt and equity markets provide additional sources of short-term and long-term liquidity to fund current operations, debt maturities, and future investment opportunities.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See Note 9 Long-term Debt and Credit Agreements of Notes to Consolidated Financial Statements for additional discussion of items impacting our liquidity.</w:t>
      </w:r>
    </w:p>
    <w:p>
      <w:pPr>
        <w:spacing w:after="0" w:line="271" w:lineRule="exact"/>
        <w:rPr>
          <w:sz w:val="20"/>
          <w:szCs w:val="20"/>
          <w:color w:val="auto"/>
        </w:rPr>
      </w:pPr>
    </w:p>
    <w:p>
      <w:pPr>
        <w:spacing w:after="0"/>
        <w:rPr>
          <w:sz w:val="20"/>
          <w:szCs w:val="20"/>
          <w:color w:val="auto"/>
        </w:rPr>
      </w:pPr>
      <w:r>
        <w:rPr>
          <w:rFonts w:ascii="Arial" w:cs="Arial" w:eastAsia="Arial" w:hAnsi="Arial"/>
          <w:sz w:val="29"/>
          <w:szCs w:val="29"/>
          <w:color w:val="D7282F"/>
        </w:rPr>
        <w:t>BORROWINGS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leverage a variety of debt instruments to manage our overall borrowing costs. As of March 31, 2024, and December 31, 2023, our total borrowings were $25.3 billion and $20.4 billion, respectively.</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20" w:type="dxa"/>
            <w:vAlign w:val="bottom"/>
            <w:tcBorders>
              <w:bottom w:val="single" w:sz="8" w:color="D7282F"/>
            </w:tcBorders>
          </w:tcPr>
          <w:p>
            <w:pPr>
              <w:spacing w:after="0"/>
              <w:rPr>
                <w:sz w:val="17"/>
                <w:szCs w:val="17"/>
                <w:color w:val="auto"/>
              </w:rPr>
            </w:pPr>
          </w:p>
        </w:tc>
        <w:tc>
          <w:tcPr>
            <w:tcW w:w="2880" w:type="dxa"/>
            <w:vAlign w:val="bottom"/>
            <w:tcBorders>
              <w:bottom w:val="single" w:sz="8" w:color="D7282F"/>
            </w:tcBorders>
          </w:tcPr>
          <w:p>
            <w:pPr>
              <w:spacing w:after="0"/>
              <w:rPr>
                <w:sz w:val="17"/>
                <w:szCs w:val="17"/>
                <w:color w:val="auto"/>
              </w:rPr>
            </w:pPr>
          </w:p>
        </w:tc>
        <w:tc>
          <w:tcPr>
            <w:tcW w:w="1660" w:type="dxa"/>
            <w:vAlign w:val="bottom"/>
            <w:tcBorders>
              <w:bottom w:val="single" w:sz="8" w:color="D7282F"/>
            </w:tcBorders>
          </w:tcPr>
          <w:p>
            <w:pPr>
              <w:jc w:val="right"/>
              <w:ind w:right="428"/>
              <w:spacing w:after="0"/>
              <w:rPr>
                <w:sz w:val="20"/>
                <w:szCs w:val="20"/>
                <w:color w:val="auto"/>
              </w:rPr>
            </w:pPr>
            <w:r>
              <w:rPr>
                <w:rFonts w:ascii="Arial" w:cs="Arial" w:eastAsia="Arial" w:hAnsi="Arial"/>
                <w:sz w:val="14"/>
                <w:szCs w:val="14"/>
                <w:b w:val="1"/>
                <w:bCs w:val="1"/>
                <w:color w:val="auto"/>
              </w:rPr>
              <w:t>March 31, 2024</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December 31, 2023</w:t>
            </w:r>
          </w:p>
        </w:tc>
      </w:tr>
      <w:tr>
        <w:trPr>
          <w:trHeight w:val="193"/>
        </w:trPr>
        <w:tc>
          <w:tcPr>
            <w:tcW w:w="48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Commercial paper</w:t>
            </w:r>
          </w:p>
        </w:tc>
        <w:tc>
          <w:tcPr>
            <w:tcW w:w="288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1,817</w:t>
            </w:r>
          </w:p>
        </w:tc>
        <w:tc>
          <w:tcPr>
            <w:tcW w:w="2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2,083</w:t>
            </w:r>
          </w:p>
        </w:tc>
      </w:tr>
      <w:tr>
        <w:trPr>
          <w:trHeight w:val="196"/>
        </w:trPr>
        <w:tc>
          <w:tcPr>
            <w:tcW w:w="48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Variable rate notes</w:t>
            </w:r>
          </w:p>
        </w:tc>
        <w:tc>
          <w:tcPr>
            <w:tcW w:w="288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22</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22</w:t>
            </w:r>
          </w:p>
        </w:tc>
      </w:tr>
      <w:tr>
        <w:trPr>
          <w:trHeight w:val="196"/>
        </w:trPr>
        <w:tc>
          <w:tcPr>
            <w:tcW w:w="48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Fixed rate notes</w:t>
            </w:r>
          </w:p>
        </w:tc>
        <w:tc>
          <w:tcPr>
            <w:tcW w:w="288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23,714</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18,530</w:t>
            </w:r>
          </w:p>
        </w:tc>
      </w:tr>
      <w:tr>
        <w:trPr>
          <w:trHeight w:val="196"/>
        </w:trPr>
        <w:tc>
          <w:tcPr>
            <w:tcW w:w="48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Other</w:t>
            </w:r>
          </w:p>
        </w:tc>
        <w:tc>
          <w:tcPr>
            <w:tcW w:w="288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215</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219</w:t>
            </w:r>
          </w:p>
        </w:tc>
      </w:tr>
      <w:tr>
        <w:trPr>
          <w:trHeight w:val="196"/>
        </w:trPr>
        <w:tc>
          <w:tcPr>
            <w:tcW w:w="48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Fair value of hedging instruments</w:t>
            </w:r>
          </w:p>
        </w:tc>
        <w:tc>
          <w:tcPr>
            <w:tcW w:w="288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(208)</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(166)</w:t>
            </w:r>
          </w:p>
        </w:tc>
      </w:tr>
      <w:tr>
        <w:trPr>
          <w:trHeight w:val="196"/>
        </w:trPr>
        <w:tc>
          <w:tcPr>
            <w:tcW w:w="48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Debt issuance costs</w:t>
            </w:r>
          </w:p>
        </w:tc>
        <w:tc>
          <w:tcPr>
            <w:tcW w:w="2880" w:type="dxa"/>
            <w:vAlign w:val="bottom"/>
            <w:tcBorders>
              <w:bottom w:val="single" w:sz="8" w:color="D7282F"/>
            </w:tcBorders>
          </w:tcPr>
          <w:p>
            <w:pPr>
              <w:spacing w:after="0"/>
              <w:rPr>
                <w:sz w:val="17"/>
                <w:szCs w:val="17"/>
                <w:color w:val="auto"/>
              </w:rPr>
            </w:pPr>
          </w:p>
        </w:tc>
        <w:tc>
          <w:tcPr>
            <w:tcW w:w="16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(304)</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(245)</w:t>
            </w:r>
          </w:p>
        </w:tc>
      </w:tr>
      <w:tr>
        <w:trPr>
          <w:trHeight w:val="199"/>
        </w:trPr>
        <w:tc>
          <w:tcPr>
            <w:tcW w:w="482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borrowings</w:t>
            </w:r>
          </w:p>
        </w:tc>
        <w:tc>
          <w:tcPr>
            <w:tcW w:w="288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6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25,256</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20,443</w:t>
            </w:r>
          </w:p>
        </w:tc>
      </w:tr>
    </w:tbl>
    <w:p>
      <w:pPr>
        <w:spacing w:after="0" w:line="200" w:lineRule="exact"/>
        <w:rPr>
          <w:sz w:val="20"/>
          <w:szCs w:val="20"/>
          <w:color w:val="auto"/>
        </w:rPr>
      </w:pPr>
    </w:p>
    <w:p>
      <w:pPr>
        <w:spacing w:after="0" w:line="314" w:lineRule="exact"/>
        <w:rPr>
          <w:sz w:val="20"/>
          <w:szCs w:val="20"/>
          <w:color w:val="auto"/>
        </w:rPr>
      </w:pPr>
    </w:p>
    <w:p>
      <w:pPr>
        <w:ind w:left="400" w:hanging="392"/>
        <w:spacing w:after="0"/>
        <w:tabs>
          <w:tab w:leader="none" w:pos="400" w:val="left"/>
        </w:tabs>
        <w:numPr>
          <w:ilvl w:val="0"/>
          <w:numId w:val="49"/>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A primary source of liquidity is our ability to access the corporate bond markets. Through these markets, we issue a variety of long-term fixed rate notes, in a variety of currencies, to manage our overall funding costs.</w:t>
      </w:r>
    </w:p>
    <w:p>
      <w:pPr>
        <w:spacing w:after="0" w:line="6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Another primary source of liquidity is our ability to access the commercial paper market. Commercial paper notes are sold at a discount or premium and have a maturity of 365 days or less from date of issuance. Borrowings under the commercial paper program are available for general corporate purposes as well as for financing acquisitions.</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We also have the following revolving credit agreements:</w:t>
      </w:r>
    </w:p>
    <w:p>
      <w:pPr>
        <w:spacing w:after="0" w:line="113" w:lineRule="exact"/>
        <w:rPr>
          <w:sz w:val="20"/>
          <w:szCs w:val="20"/>
          <w:color w:val="auto"/>
        </w:rPr>
      </w:pPr>
    </w:p>
    <w:p>
      <w:pPr>
        <w:jc w:val="both"/>
        <w:ind w:left="200" w:hanging="192"/>
        <w:spacing w:after="0" w:line="261" w:lineRule="auto"/>
        <w:tabs>
          <w:tab w:leader="none" w:pos="197" w:val="left"/>
        </w:tabs>
        <w:numPr>
          <w:ilvl w:val="0"/>
          <w:numId w:val="50"/>
        </w:numPr>
        <w:rPr>
          <w:rFonts w:ascii="Arial" w:cs="Arial" w:eastAsia="Arial" w:hAnsi="Arial"/>
          <w:sz w:val="16"/>
          <w:szCs w:val="16"/>
          <w:color w:val="D7282F"/>
        </w:rPr>
      </w:pPr>
      <w:r>
        <w:rPr>
          <w:rFonts w:ascii="Arial" w:cs="Arial" w:eastAsia="Arial" w:hAnsi="Arial"/>
          <w:sz w:val="16"/>
          <w:szCs w:val="16"/>
          <w:color w:val="auto"/>
        </w:rPr>
        <w:t>A $1.5 billion 364-day credit agreement (the 364-Day Credit Agreement) with a syndicate of banks, dated as of March 18, 2024. Amounts borrowed under the 364-Day Credit Agreement are required to be repaid no later than March 17, 2025, unless (i) we elect to convert all then outstanding amounts into a term loan, upon which such amounts shall be repaid in full on March 17, 2026, or (ii) the 364-Day Credit Agreement is terminated earlier pursuant to its terms. The 364-Day Credit Agreement replaced the previously reported $1.5 billion 364-day credit agreement dated as of March 20, 2023, which was terminated in accordance with its terms effective March 18, 2024. As of March 31, 2024, there were no outstanding borrowings under our 364-Day Credit Agreement.</w:t>
      </w:r>
    </w:p>
    <w:p>
      <w:pPr>
        <w:spacing w:after="0" w:line="41" w:lineRule="exact"/>
        <w:rPr>
          <w:rFonts w:ascii="Arial" w:cs="Arial" w:eastAsia="Arial" w:hAnsi="Arial"/>
          <w:sz w:val="16"/>
          <w:szCs w:val="16"/>
          <w:color w:val="D7282F"/>
        </w:rPr>
      </w:pPr>
    </w:p>
    <w:p>
      <w:pPr>
        <w:jc w:val="both"/>
        <w:ind w:left="200" w:hanging="192"/>
        <w:spacing w:after="0" w:line="265" w:lineRule="auto"/>
        <w:tabs>
          <w:tab w:leader="none" w:pos="197" w:val="left"/>
        </w:tabs>
        <w:numPr>
          <w:ilvl w:val="0"/>
          <w:numId w:val="50"/>
        </w:numPr>
        <w:rPr>
          <w:rFonts w:ascii="Arial" w:cs="Arial" w:eastAsia="Arial" w:hAnsi="Arial"/>
          <w:sz w:val="16"/>
          <w:szCs w:val="16"/>
          <w:color w:val="D7282F"/>
        </w:rPr>
      </w:pPr>
      <w:r>
        <w:rPr>
          <w:rFonts w:ascii="Arial" w:cs="Arial" w:eastAsia="Arial" w:hAnsi="Arial"/>
          <w:sz w:val="16"/>
          <w:szCs w:val="16"/>
          <w:color w:val="auto"/>
        </w:rPr>
        <w:t>A $4.0 billion five-year credit agreement (the 5-Year Credit Agreement) with a syndicate of banks, dated as of March 18, 2024. Commitments under the 5-Year Credit Agreement can be increased pursuant to the terms of the 5-Year Credit Agreement to an aggregate amount not to exceed $4.5 billion. The 5-Year Credit Agreement amended and restated the previously reported $4.0 billion amended and restated five-year credit agreement dated as of March 20, 2023. As of March 31, 2024, there were no outstanding borrowings under our 5-Year Credit Agreement.</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See Note 9 Long-Term Debt and Credit Agreements of Notes to Consolidated Financial Statements for additional information regarding our debt instruments.</w:t>
      </w:r>
    </w:p>
    <w:p>
      <w:pPr>
        <w:spacing w:after="0" w:line="11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also have a current shelf registration statement filed with the SEC under which we may issue additional debt securities, common stock, and preferred stock that may be offered in one or more offerings on terms to be determined at the time of the offering. We anticipate that net proceeds of any offering would be used for general corporate purposes, including repayment of existing indebtedness, share repurchases, capital expenditures, and acquisitions.</w:t>
      </w:r>
    </w:p>
    <w:p>
      <w:pPr>
        <w:spacing w:after="0" w:line="214" w:lineRule="exact"/>
        <w:rPr>
          <w:sz w:val="20"/>
          <w:szCs w:val="20"/>
          <w:color w:val="auto"/>
        </w:rPr>
      </w:pPr>
    </w:p>
    <w:p>
      <w:pPr>
        <w:spacing w:after="0"/>
        <w:rPr>
          <w:sz w:val="20"/>
          <w:szCs w:val="20"/>
          <w:color w:val="auto"/>
        </w:rPr>
      </w:pPr>
      <w:r>
        <w:rPr>
          <w:rFonts w:ascii="Arial" w:cs="Arial" w:eastAsia="Arial" w:hAnsi="Arial"/>
          <w:sz w:val="29"/>
          <w:szCs w:val="29"/>
          <w:color w:val="D7282F"/>
        </w:rPr>
        <w:t>CREDIT RATINGS</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Our ability to access the global debt capital markets and the related cost of these borrowings is affected by the strength of our credit rating and market conditions. Our credit ratings are periodically reviewed by the major independent debt-rating agencies. As of March 31, 2024, S&amp;P Global Inc. (S&amp;P), Fitch Ratings Inc. (Fitch), and Moody’s Investor Service (Moody's) have ratings on our debt set forth in the table below:</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880" w:type="dxa"/>
            <w:vAlign w:val="bottom"/>
            <w:tcBorders>
              <w:bottom w:val="single" w:sz="8" w:color="D7282F"/>
            </w:tcBorders>
          </w:tcPr>
          <w:p>
            <w:pPr>
              <w:spacing w:after="0"/>
              <w:rPr>
                <w:sz w:val="17"/>
                <w:szCs w:val="17"/>
                <w:color w:val="auto"/>
              </w:rPr>
            </w:pPr>
          </w:p>
        </w:tc>
        <w:tc>
          <w:tcPr>
            <w:tcW w:w="4200" w:type="dxa"/>
            <w:vAlign w:val="bottom"/>
            <w:tcBorders>
              <w:bottom w:val="single" w:sz="8" w:color="D7282F"/>
            </w:tcBorders>
          </w:tcPr>
          <w:p>
            <w:pPr>
              <w:jc w:val="center"/>
              <w:ind w:left="2508"/>
              <w:spacing w:after="0"/>
              <w:rPr>
                <w:sz w:val="20"/>
                <w:szCs w:val="20"/>
                <w:color w:val="auto"/>
              </w:rPr>
            </w:pPr>
            <w:r>
              <w:rPr>
                <w:rFonts w:ascii="Arial" w:cs="Arial" w:eastAsia="Arial" w:hAnsi="Arial"/>
                <w:sz w:val="14"/>
                <w:szCs w:val="14"/>
                <w:b w:val="1"/>
                <w:bCs w:val="1"/>
                <w:color w:val="auto"/>
              </w:rPr>
              <w:t>S&amp;P</w:t>
            </w:r>
          </w:p>
        </w:tc>
        <w:tc>
          <w:tcPr>
            <w:tcW w:w="1600" w:type="dxa"/>
            <w:vAlign w:val="bottom"/>
            <w:tcBorders>
              <w:bottom w:val="single" w:sz="8" w:color="D7282F"/>
            </w:tcBorders>
          </w:tcPr>
          <w:p>
            <w:pPr>
              <w:jc w:val="center"/>
              <w:spacing w:after="0"/>
              <w:rPr>
                <w:sz w:val="20"/>
                <w:szCs w:val="20"/>
                <w:color w:val="auto"/>
              </w:rPr>
            </w:pPr>
            <w:r>
              <w:rPr>
                <w:rFonts w:ascii="Arial" w:cs="Arial" w:eastAsia="Arial" w:hAnsi="Arial"/>
                <w:sz w:val="14"/>
                <w:szCs w:val="14"/>
                <w:b w:val="1"/>
                <w:bCs w:val="1"/>
                <w:color w:val="auto"/>
              </w:rPr>
              <w:t>Fitch</w:t>
            </w:r>
          </w:p>
        </w:tc>
        <w:tc>
          <w:tcPr>
            <w:tcW w:w="1560" w:type="dxa"/>
            <w:vAlign w:val="bottom"/>
            <w:tcBorders>
              <w:bottom w:val="single" w:sz="8" w:color="D7282F"/>
            </w:tcBorders>
          </w:tcPr>
          <w:p>
            <w:pPr>
              <w:jc w:val="center"/>
              <w:ind w:left="68"/>
              <w:spacing w:after="0"/>
              <w:rPr>
                <w:sz w:val="20"/>
                <w:szCs w:val="20"/>
                <w:color w:val="auto"/>
              </w:rPr>
            </w:pPr>
            <w:r>
              <w:rPr>
                <w:rFonts w:ascii="Arial" w:cs="Arial" w:eastAsia="Arial" w:hAnsi="Arial"/>
                <w:sz w:val="14"/>
                <w:szCs w:val="14"/>
                <w:b w:val="1"/>
                <w:bCs w:val="1"/>
                <w:color w:val="auto"/>
              </w:rPr>
              <w:t>Moody's</w:t>
            </w:r>
          </w:p>
        </w:tc>
      </w:tr>
      <w:tr>
        <w:trPr>
          <w:trHeight w:val="193"/>
        </w:trPr>
        <w:tc>
          <w:tcPr>
            <w:tcW w:w="38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Outlook</w:t>
            </w:r>
          </w:p>
        </w:tc>
        <w:tc>
          <w:tcPr>
            <w:tcW w:w="4200" w:type="dxa"/>
            <w:vAlign w:val="bottom"/>
            <w:tcBorders>
              <w:bottom w:val="single" w:sz="8" w:color="61656A"/>
            </w:tcBorders>
          </w:tcPr>
          <w:p>
            <w:pPr>
              <w:jc w:val="center"/>
              <w:ind w:left="2508"/>
              <w:spacing w:after="0"/>
              <w:rPr>
                <w:sz w:val="20"/>
                <w:szCs w:val="20"/>
                <w:color w:val="auto"/>
              </w:rPr>
            </w:pPr>
            <w:r>
              <w:rPr>
                <w:rFonts w:ascii="Arial" w:cs="Arial" w:eastAsia="Arial" w:hAnsi="Arial"/>
                <w:sz w:val="14"/>
                <w:szCs w:val="14"/>
                <w:color w:val="auto"/>
              </w:rPr>
              <w:t>Stable</w:t>
            </w:r>
          </w:p>
        </w:tc>
        <w:tc>
          <w:tcPr>
            <w:tcW w:w="1600" w:type="dxa"/>
            <w:vAlign w:val="bottom"/>
            <w:tcBorders>
              <w:bottom w:val="single" w:sz="8" w:color="61656A"/>
            </w:tcBorders>
          </w:tcPr>
          <w:p>
            <w:pPr>
              <w:jc w:val="center"/>
              <w:spacing w:after="0"/>
              <w:rPr>
                <w:sz w:val="20"/>
                <w:szCs w:val="20"/>
                <w:color w:val="auto"/>
              </w:rPr>
            </w:pPr>
            <w:r>
              <w:rPr>
                <w:rFonts w:ascii="Arial" w:cs="Arial" w:eastAsia="Arial" w:hAnsi="Arial"/>
                <w:sz w:val="14"/>
                <w:szCs w:val="14"/>
                <w:color w:val="auto"/>
              </w:rPr>
              <w:t>Stable</w:t>
            </w:r>
          </w:p>
        </w:tc>
        <w:tc>
          <w:tcPr>
            <w:tcW w:w="1560" w:type="dxa"/>
            <w:vAlign w:val="bottom"/>
            <w:tcBorders>
              <w:bottom w:val="single" w:sz="8" w:color="61656A"/>
            </w:tcBorders>
          </w:tcPr>
          <w:p>
            <w:pPr>
              <w:jc w:val="center"/>
              <w:ind w:left="68"/>
              <w:spacing w:after="0"/>
              <w:rPr>
                <w:sz w:val="20"/>
                <w:szCs w:val="20"/>
                <w:color w:val="auto"/>
              </w:rPr>
            </w:pPr>
            <w:r>
              <w:rPr>
                <w:rFonts w:ascii="Arial" w:cs="Arial" w:eastAsia="Arial" w:hAnsi="Arial"/>
                <w:sz w:val="14"/>
                <w:szCs w:val="14"/>
                <w:color w:val="auto"/>
              </w:rPr>
              <w:t>Positive</w:t>
            </w:r>
          </w:p>
        </w:tc>
      </w:tr>
      <w:tr>
        <w:trPr>
          <w:trHeight w:val="196"/>
        </w:trPr>
        <w:tc>
          <w:tcPr>
            <w:tcW w:w="38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Short-term</w:t>
            </w:r>
          </w:p>
        </w:tc>
        <w:tc>
          <w:tcPr>
            <w:tcW w:w="4200" w:type="dxa"/>
            <w:vAlign w:val="bottom"/>
            <w:tcBorders>
              <w:bottom w:val="single" w:sz="8" w:color="61656A"/>
            </w:tcBorders>
          </w:tcPr>
          <w:p>
            <w:pPr>
              <w:jc w:val="center"/>
              <w:ind w:left="2508"/>
              <w:spacing w:after="0"/>
              <w:rPr>
                <w:sz w:val="20"/>
                <w:szCs w:val="20"/>
                <w:color w:val="auto"/>
              </w:rPr>
            </w:pPr>
            <w:r>
              <w:rPr>
                <w:rFonts w:ascii="Arial" w:cs="Arial" w:eastAsia="Arial" w:hAnsi="Arial"/>
                <w:sz w:val="14"/>
                <w:szCs w:val="14"/>
                <w:color w:val="auto"/>
              </w:rPr>
              <w:t>A-1</w:t>
            </w:r>
          </w:p>
        </w:tc>
        <w:tc>
          <w:tcPr>
            <w:tcW w:w="1600" w:type="dxa"/>
            <w:vAlign w:val="bottom"/>
            <w:tcBorders>
              <w:bottom w:val="single" w:sz="8" w:color="61656A"/>
            </w:tcBorders>
          </w:tcPr>
          <w:p>
            <w:pPr>
              <w:jc w:val="center"/>
              <w:spacing w:after="0"/>
              <w:rPr>
                <w:sz w:val="20"/>
                <w:szCs w:val="20"/>
                <w:color w:val="auto"/>
              </w:rPr>
            </w:pPr>
            <w:r>
              <w:rPr>
                <w:rFonts w:ascii="Arial" w:cs="Arial" w:eastAsia="Arial" w:hAnsi="Arial"/>
                <w:sz w:val="14"/>
                <w:szCs w:val="14"/>
                <w:color w:val="auto"/>
                <w:w w:val="97"/>
              </w:rPr>
              <w:t>F1</w:t>
            </w:r>
          </w:p>
        </w:tc>
        <w:tc>
          <w:tcPr>
            <w:tcW w:w="1560" w:type="dxa"/>
            <w:vAlign w:val="bottom"/>
            <w:tcBorders>
              <w:bottom w:val="single" w:sz="8" w:color="61656A"/>
            </w:tcBorders>
          </w:tcPr>
          <w:p>
            <w:pPr>
              <w:jc w:val="center"/>
              <w:ind w:left="88"/>
              <w:spacing w:after="0"/>
              <w:rPr>
                <w:sz w:val="20"/>
                <w:szCs w:val="20"/>
                <w:color w:val="auto"/>
              </w:rPr>
            </w:pPr>
            <w:r>
              <w:rPr>
                <w:rFonts w:ascii="Arial" w:cs="Arial" w:eastAsia="Arial" w:hAnsi="Arial"/>
                <w:sz w:val="14"/>
                <w:szCs w:val="14"/>
                <w:color w:val="auto"/>
                <w:w w:val="93"/>
              </w:rPr>
              <w:t>P1</w:t>
            </w:r>
          </w:p>
        </w:tc>
      </w:tr>
      <w:tr>
        <w:trPr>
          <w:trHeight w:val="196"/>
        </w:trPr>
        <w:tc>
          <w:tcPr>
            <w:tcW w:w="38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Long-term</w:t>
            </w:r>
          </w:p>
        </w:tc>
        <w:tc>
          <w:tcPr>
            <w:tcW w:w="4200" w:type="dxa"/>
            <w:vAlign w:val="bottom"/>
            <w:tcBorders>
              <w:bottom w:val="single" w:sz="8" w:color="D7282F"/>
            </w:tcBorders>
          </w:tcPr>
          <w:p>
            <w:pPr>
              <w:jc w:val="center"/>
              <w:ind w:left="2508"/>
              <w:spacing w:after="0"/>
              <w:rPr>
                <w:sz w:val="20"/>
                <w:szCs w:val="20"/>
                <w:color w:val="auto"/>
              </w:rPr>
            </w:pPr>
            <w:r>
              <w:rPr>
                <w:rFonts w:ascii="Arial" w:cs="Arial" w:eastAsia="Arial" w:hAnsi="Arial"/>
                <w:sz w:val="14"/>
                <w:szCs w:val="14"/>
                <w:color w:val="auto"/>
              </w:rPr>
              <w:t>A</w:t>
            </w:r>
          </w:p>
        </w:tc>
        <w:tc>
          <w:tcPr>
            <w:tcW w:w="1600" w:type="dxa"/>
            <w:vAlign w:val="bottom"/>
            <w:tcBorders>
              <w:bottom w:val="single" w:sz="8" w:color="D7282F"/>
            </w:tcBorders>
          </w:tcPr>
          <w:p>
            <w:pPr>
              <w:jc w:val="center"/>
              <w:spacing w:after="0"/>
              <w:rPr>
                <w:sz w:val="20"/>
                <w:szCs w:val="20"/>
                <w:color w:val="auto"/>
              </w:rPr>
            </w:pPr>
            <w:r>
              <w:rPr>
                <w:rFonts w:ascii="Arial" w:cs="Arial" w:eastAsia="Arial" w:hAnsi="Arial"/>
                <w:sz w:val="14"/>
                <w:szCs w:val="14"/>
                <w:color w:val="auto"/>
              </w:rPr>
              <w:t>A</w:t>
            </w:r>
          </w:p>
        </w:tc>
        <w:tc>
          <w:tcPr>
            <w:tcW w:w="1560" w:type="dxa"/>
            <w:vAlign w:val="bottom"/>
            <w:tcBorders>
              <w:bottom w:val="single" w:sz="8" w:color="D7282F"/>
            </w:tcBorders>
          </w:tcPr>
          <w:p>
            <w:pPr>
              <w:jc w:val="center"/>
              <w:ind w:left="88"/>
              <w:spacing w:after="0"/>
              <w:rPr>
                <w:sz w:val="20"/>
                <w:szCs w:val="20"/>
                <w:color w:val="auto"/>
              </w:rPr>
            </w:pPr>
            <w:r>
              <w:rPr>
                <w:rFonts w:ascii="Arial" w:cs="Arial" w:eastAsia="Arial" w:hAnsi="Arial"/>
                <w:sz w:val="14"/>
                <w:szCs w:val="14"/>
                <w:color w:val="auto"/>
                <w:w w:val="93"/>
              </w:rPr>
              <w:t>A2</w:t>
            </w:r>
          </w:p>
        </w:tc>
      </w:tr>
    </w:tbl>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OTHER MATTERS</w:t>
      </w:r>
    </w:p>
    <w:p>
      <w:pPr>
        <w:spacing w:after="0" w:line="361" w:lineRule="exact"/>
        <w:rPr>
          <w:sz w:val="20"/>
          <w:szCs w:val="20"/>
          <w:color w:val="auto"/>
        </w:rPr>
      </w:pPr>
    </w:p>
    <w:p>
      <w:pPr>
        <w:spacing w:after="0"/>
        <w:rPr>
          <w:sz w:val="20"/>
          <w:szCs w:val="20"/>
          <w:color w:val="auto"/>
        </w:rPr>
      </w:pPr>
      <w:r>
        <w:rPr>
          <w:rFonts w:ascii="Arial" w:cs="Arial" w:eastAsia="Arial" w:hAnsi="Arial"/>
          <w:sz w:val="29"/>
          <w:szCs w:val="29"/>
          <w:color w:val="D7282F"/>
        </w:rPr>
        <w:t>LITIGATION</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are subject to a number of lawsuits, investigations, and claims (some of which involve substantial amounts) arising out of the conduct of our business. See Note 15 Commitments and Contingencies of Notes to Consolidated Financial Statements for further discussion of environmental, asbestos, and other litigation matters.</w:t>
      </w:r>
    </w:p>
    <w:p>
      <w:pPr>
        <w:spacing w:after="0" w:line="214" w:lineRule="exact"/>
        <w:rPr>
          <w:sz w:val="20"/>
          <w:szCs w:val="20"/>
          <w:color w:val="auto"/>
        </w:rPr>
      </w:pPr>
    </w:p>
    <w:p>
      <w:pPr>
        <w:spacing w:after="0"/>
        <w:rPr>
          <w:sz w:val="20"/>
          <w:szCs w:val="20"/>
          <w:color w:val="auto"/>
        </w:rPr>
      </w:pPr>
      <w:r>
        <w:rPr>
          <w:rFonts w:ascii="Arial" w:cs="Arial" w:eastAsia="Arial" w:hAnsi="Arial"/>
          <w:sz w:val="29"/>
          <w:szCs w:val="29"/>
          <w:color w:val="D7282F"/>
        </w:rPr>
        <w:t>CRITICAL ACCOUNTING ESTIMATES</w:t>
      </w:r>
    </w:p>
    <w:p>
      <w:pPr>
        <w:spacing w:after="0" w:line="252"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There have been no material changes to our Critical Accounting Estimates presented in our 2023 Annual Report on Form 10-K. For a discussion of the Company’s Critical Accounting Estimates, see the section titled Critical Accounting Estimates in our 2023 Annual Report on Form 10-K.</w:t>
      </w:r>
    </w:p>
    <w:p>
      <w:pPr>
        <w:spacing w:after="0" w:line="400" w:lineRule="exact"/>
        <w:rPr>
          <w:sz w:val="20"/>
          <w:szCs w:val="20"/>
          <w:color w:val="auto"/>
        </w:rPr>
      </w:pPr>
    </w:p>
    <w:p>
      <w:pPr>
        <w:ind w:left="400" w:hanging="392"/>
        <w:spacing w:after="0"/>
        <w:tabs>
          <w:tab w:leader="none" w:pos="400" w:val="left"/>
        </w:tabs>
        <w:numPr>
          <w:ilvl w:val="0"/>
          <w:numId w:val="51"/>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9"/>
          <w:szCs w:val="29"/>
          <w:color w:val="D7282F"/>
        </w:rPr>
        <w:t>RECENT ACCOUNTING PRONOUNCEMENTS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See Note 2 Summary of Significant Accounting Policies of Notes to Consolidated Financial Statements for a discussion of recent accounting pronouncements.</w:t>
      </w:r>
    </w:p>
    <w:p>
      <w:pPr>
        <w:spacing w:after="0" w:line="200" w:lineRule="exact"/>
        <w:rPr>
          <w:sz w:val="20"/>
          <w:szCs w:val="20"/>
          <w:color w:val="auto"/>
        </w:rPr>
      </w:pPr>
    </w:p>
    <w:p>
      <w:pPr>
        <w:spacing w:after="0" w:line="331" w:lineRule="exact"/>
        <w:rPr>
          <w:sz w:val="20"/>
          <w:szCs w:val="20"/>
          <w:color w:val="auto"/>
        </w:rPr>
      </w:pPr>
    </w:p>
    <w:p>
      <w:pPr>
        <w:ind w:right="1240"/>
        <w:spacing w:after="0" w:line="297" w:lineRule="auto"/>
        <w:rPr>
          <w:sz w:val="20"/>
          <w:szCs w:val="20"/>
          <w:color w:val="auto"/>
        </w:rPr>
      </w:pPr>
      <w:r>
        <w:rPr>
          <w:rFonts w:ascii="Arial" w:cs="Arial" w:eastAsia="Arial" w:hAnsi="Arial"/>
          <w:sz w:val="36"/>
          <w:szCs w:val="36"/>
          <w:b w:val="1"/>
          <w:bCs w:val="1"/>
          <w:color w:val="auto"/>
        </w:rPr>
        <w:t>ITEM 3. QUANTITATIVE AND QUALITATIVE DISCLOSURES ABOUT MARKET RISKS</w:t>
      </w:r>
    </w:p>
    <w:p>
      <w:pPr>
        <w:spacing w:after="0" w:line="214"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For a discussion of the Company’s quantitative and qualitative disclosures about market risks, see the section titled Quantitative and Qualitative Disclosures About Market Risks in our 2023 Annual Report on Form 10-K. As of March 31, 2024, there has been no material change in this information.</w:t>
      </w:r>
    </w:p>
    <w:p>
      <w:pPr>
        <w:spacing w:after="0" w:line="29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ITEM 4. CONTROLS AND PROCEDURES</w:t>
      </w:r>
    </w:p>
    <w:p>
      <w:pPr>
        <w:spacing w:after="0" w:line="393"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Honeywell management, including the Chief Executive Officer and Chief Financial Officer, conducted an evaluation of the effectiveness of our disclosure controls and procedures (as defined in Rules 13a-15(e) or 15d-15(e) promulgated under the Securities Exchange Act of 1934, as amended (Exchange Act)) as of the end of the period covered by this Quarterly Report on Form 10-Q. Based upon that evaluation, the Chief Executive Officer and the Chief Financial Officer concluded that such disclosure controls and procedures were effective as of the end of the period covered by this Quarterly Report on Form 10-Q to ensure information required to be disclosed in the reports that Honeywell files or submits under the Exchange Act is recorded, processed, summarized, and reported within the time periods specified in the SEC's rules and forms, and that it is accumulated and communicated to our management, including our Chief Executive Officer, our Chief Financial Officer, and our Controller, as appropriate, to allow timely decisions regarding required disclosure. There were no changes that materially affected, or are reasonably likely to materially affect, Honeywell’s internal control over financial reporting that occurred during the period covered by this Quarterly Report on Form 10-Q.</w:t>
      </w:r>
    </w:p>
    <w:p>
      <w:pPr>
        <w:spacing w:after="0" w:line="200" w:lineRule="exact"/>
        <w:rPr>
          <w:sz w:val="20"/>
          <w:szCs w:val="20"/>
          <w:color w:val="auto"/>
        </w:rPr>
      </w:pPr>
    </w:p>
    <w:p>
      <w:pPr>
        <w:spacing w:after="0" w:line="222" w:lineRule="exact"/>
        <w:rPr>
          <w:sz w:val="20"/>
          <w:szCs w:val="20"/>
          <w:color w:val="auto"/>
        </w:rPr>
      </w:pPr>
    </w:p>
    <w:p>
      <w:pPr>
        <w:ind w:left="400" w:hanging="392"/>
        <w:spacing w:after="0"/>
        <w:tabs>
          <w:tab w:leader="none" w:pos="400" w:val="left"/>
        </w:tabs>
        <w:numPr>
          <w:ilvl w:val="0"/>
          <w:numId w:val="52"/>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PART II. OTHER INFORMATION</w:t>
      </w:r>
    </w:p>
    <w:p>
      <w:pPr>
        <w:spacing w:after="0" w:line="383"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ITEM 1. LEGAL PROCEEDINGS</w:t>
      </w:r>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color w:val="auto"/>
        </w:rPr>
        <w:t>We are subject to a number of lawsuits, investigations, and claims (some of which involve substantial amounts) arising out of the conduct of our business.</w:t>
      </w:r>
    </w:p>
    <w:p>
      <w:pPr>
        <w:spacing w:after="0" w:line="31" w:lineRule="exact"/>
        <w:rPr>
          <w:sz w:val="20"/>
          <w:szCs w:val="20"/>
          <w:color w:val="auto"/>
        </w:rPr>
      </w:pPr>
    </w:p>
    <w:p>
      <w:pPr>
        <w:jc w:val="both"/>
        <w:ind w:right="20"/>
        <w:spacing w:after="0" w:line="281" w:lineRule="auto"/>
        <w:rPr>
          <w:sz w:val="20"/>
          <w:szCs w:val="20"/>
          <w:color w:val="auto"/>
        </w:rPr>
      </w:pPr>
      <w:r>
        <w:rPr>
          <w:rFonts w:ascii="Arial" w:cs="Arial" w:eastAsia="Arial" w:hAnsi="Arial"/>
          <w:sz w:val="16"/>
          <w:szCs w:val="16"/>
          <w:color w:val="auto"/>
        </w:rPr>
        <w:t xml:space="preserve">See a discussion of environmental, asbestos, and other litigation matters in </w:t>
      </w:r>
      <w:r>
        <w:rPr>
          <w:rFonts w:ascii="Arial" w:cs="Arial" w:eastAsia="Arial" w:hAnsi="Arial"/>
          <w:sz w:val="16"/>
          <w:szCs w:val="16"/>
          <w:b w:val="1"/>
          <w:bCs w:val="1"/>
          <w:color w:val="auto"/>
        </w:rPr>
        <w:t>Note 15 Commitments and Contingencies of Notes to Consolidated</w:t>
      </w:r>
      <w:r>
        <w:rPr>
          <w:rFonts w:ascii="Arial" w:cs="Arial" w:eastAsia="Arial" w:hAnsi="Arial"/>
          <w:sz w:val="16"/>
          <w:szCs w:val="16"/>
          <w:color w:val="auto"/>
        </w:rPr>
        <w:t xml:space="preserve"> </w:t>
      </w:r>
      <w:r>
        <w:rPr>
          <w:rFonts w:ascii="Arial" w:cs="Arial" w:eastAsia="Arial" w:hAnsi="Arial"/>
          <w:sz w:val="16"/>
          <w:szCs w:val="16"/>
          <w:b w:val="1"/>
          <w:bCs w:val="1"/>
          <w:color w:val="auto"/>
        </w:rPr>
        <w:t>Financial Statements</w:t>
      </w:r>
      <w:r>
        <w:rPr>
          <w:rFonts w:ascii="Arial" w:cs="Arial" w:eastAsia="Arial" w:hAnsi="Arial"/>
          <w:sz w:val="16"/>
          <w:szCs w:val="16"/>
          <w:color w:val="auto"/>
        </w:rPr>
        <w:t>.</w:t>
      </w:r>
    </w:p>
    <w:p>
      <w:pPr>
        <w:spacing w:after="0" w:line="43"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There were no matters requiring disclosure pursuant to the requirement to disclose certain environmental matters involving potential monetary sanctions in excess of $300,000.</w:t>
      </w:r>
    </w:p>
    <w:p>
      <w:pPr>
        <w:spacing w:after="0" w:line="280"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ITEM 1A. RISK FACTORS</w:t>
      </w:r>
    </w:p>
    <w:p>
      <w:pPr>
        <w:spacing w:after="0" w:line="39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There have been no material changes to our Risk Factors presented in our 2023 Annual Report on Form 10-K under the section titled Risk Factors. For further discussion of our Risk Factors, refer to the section titled Risk Factors in our 2023 Annual Report on Form 10-K.</w:t>
      </w:r>
    </w:p>
    <w:p>
      <w:pPr>
        <w:spacing w:after="0" w:line="294" w:lineRule="exact"/>
        <w:rPr>
          <w:sz w:val="20"/>
          <w:szCs w:val="20"/>
          <w:color w:val="auto"/>
        </w:rPr>
      </w:pPr>
    </w:p>
    <w:p>
      <w:pPr>
        <w:ind w:right="540"/>
        <w:spacing w:after="0" w:line="297" w:lineRule="auto"/>
        <w:rPr>
          <w:sz w:val="20"/>
          <w:szCs w:val="20"/>
          <w:color w:val="auto"/>
        </w:rPr>
      </w:pPr>
      <w:r>
        <w:rPr>
          <w:rFonts w:ascii="Arial" w:cs="Arial" w:eastAsia="Arial" w:hAnsi="Arial"/>
          <w:sz w:val="36"/>
          <w:szCs w:val="36"/>
          <w:b w:val="1"/>
          <w:bCs w:val="1"/>
          <w:color w:val="auto"/>
        </w:rPr>
        <w:t>ITEM 2. UNREGISTERED SALES OF EQUITY SECURITIES AND USE OF PROCEEDS</w:t>
      </w:r>
    </w:p>
    <w:p>
      <w:pPr>
        <w:spacing w:after="0" w:line="214"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On April 24, 2023, the Board of Directors authorized the repurchase of up to $10 billion of Honeywell common stock, including approximately $2.1 billion of remaining availability under the previously announced $10 billion share repurchase authorization. The repurchase authorization does not have an expiration date and may be amended or terminated by the Board of Directors at any time without prior notice.</w:t>
      </w:r>
    </w:p>
    <w:p>
      <w:pPr>
        <w:spacing w:after="0" w:line="7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Repurchases may be made through a variety of methods, which could include open market purchases, accelerated share repurchase transactions, negotiated block transactions, 10b5-1 plans, other transactions that may be structured through investment banking institutions or privately negotiated, or a combination of the foregoing. Honeywell presently expects to repurchase outstanding shares from time to time (i) to offset the dilutive impact of employee stock-based compensation plans, including option exercises, restricted unit vesting, and matching contributions under our savings plans, and (ii) to reduce share count via share repurchases as and when attractive opportunities arise. The amount and timing of future repurchases may vary depending on market conditions and the level of operating, financing, and other investing activities.</w:t>
      </w:r>
    </w:p>
    <w:p>
      <w:pPr>
        <w:spacing w:after="0" w:line="6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During the three months ended March 31, 2024, Honeywell purchased 3,373,966 shares of its common stock, par value $1 per share. As of March 31, 2024, $6.4 billion remained available for additional share repurchases. The following table summarizes our purchases of Honeywell's common stock for the three months ended March 31, 2024:</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Issuer Purchases of Equity Securities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3560" w:type="dxa"/>
            <w:vAlign w:val="bottom"/>
            <w:tcBorders>
              <w:top w:val="single" w:sz="8" w:color="D7282F"/>
            </w:tcBorders>
          </w:tcPr>
          <w:p>
            <w:pPr>
              <w:spacing w:after="0"/>
              <w:rPr>
                <w:sz w:val="12"/>
                <w:szCs w:val="12"/>
                <w:color w:val="auto"/>
              </w:rPr>
            </w:pPr>
          </w:p>
        </w:tc>
        <w:tc>
          <w:tcPr>
            <w:tcW w:w="2380" w:type="dxa"/>
            <w:vAlign w:val="bottom"/>
            <w:tcBorders>
              <w:top w:val="single" w:sz="8" w:color="D7282F"/>
            </w:tcBorders>
          </w:tcPr>
          <w:p>
            <w:pPr>
              <w:spacing w:after="0"/>
              <w:rPr>
                <w:sz w:val="12"/>
                <w:szCs w:val="12"/>
                <w:color w:val="auto"/>
              </w:rPr>
            </w:pPr>
          </w:p>
        </w:tc>
        <w:tc>
          <w:tcPr>
            <w:tcW w:w="1680" w:type="dxa"/>
            <w:vAlign w:val="bottom"/>
            <w:tcBorders>
              <w:top w:val="single" w:sz="8" w:color="D7282F"/>
            </w:tcBorders>
          </w:tcPr>
          <w:p>
            <w:pPr>
              <w:spacing w:after="0"/>
              <w:rPr>
                <w:sz w:val="12"/>
                <w:szCs w:val="12"/>
                <w:color w:val="auto"/>
              </w:rPr>
            </w:pPr>
          </w:p>
        </w:tc>
        <w:tc>
          <w:tcPr>
            <w:tcW w:w="1700" w:type="dxa"/>
            <w:vAlign w:val="bottom"/>
            <w:tcBorders>
              <w:top w:val="single" w:sz="8" w:color="D7282F"/>
            </w:tcBorders>
          </w:tcPr>
          <w:p>
            <w:pPr>
              <w:jc w:val="center"/>
              <w:ind w:left="148"/>
              <w:spacing w:after="0" w:line="149" w:lineRule="exact"/>
              <w:rPr>
                <w:sz w:val="20"/>
                <w:szCs w:val="20"/>
                <w:color w:val="auto"/>
              </w:rPr>
            </w:pPr>
            <w:r>
              <w:rPr>
                <w:rFonts w:ascii="Arial" w:cs="Arial" w:eastAsia="Arial" w:hAnsi="Arial"/>
                <w:sz w:val="14"/>
                <w:szCs w:val="14"/>
                <w:b w:val="1"/>
                <w:bCs w:val="1"/>
                <w:color w:val="auto"/>
              </w:rPr>
              <w:t>Total Number</w:t>
            </w:r>
          </w:p>
        </w:tc>
        <w:tc>
          <w:tcPr>
            <w:tcW w:w="1920" w:type="dxa"/>
            <w:vAlign w:val="bottom"/>
            <w:tcBorders>
              <w:top w:val="single" w:sz="8" w:color="D7282F"/>
            </w:tcBorders>
          </w:tcPr>
          <w:p>
            <w:pPr>
              <w:jc w:val="center"/>
              <w:ind w:left="88"/>
              <w:spacing w:after="0" w:line="149" w:lineRule="exact"/>
              <w:rPr>
                <w:sz w:val="20"/>
                <w:szCs w:val="20"/>
                <w:color w:val="auto"/>
              </w:rPr>
            </w:pPr>
            <w:r>
              <w:rPr>
                <w:rFonts w:ascii="Arial" w:cs="Arial" w:eastAsia="Arial" w:hAnsi="Arial"/>
                <w:sz w:val="14"/>
                <w:szCs w:val="14"/>
                <w:b w:val="1"/>
                <w:bCs w:val="1"/>
                <w:color w:val="auto"/>
              </w:rPr>
              <w:t>Approximate Dollar</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700" w:type="dxa"/>
            <w:vAlign w:val="bottom"/>
          </w:tcPr>
          <w:p>
            <w:pPr>
              <w:jc w:val="center"/>
              <w:ind w:left="168"/>
              <w:spacing w:after="0" w:line="149" w:lineRule="exact"/>
              <w:rPr>
                <w:sz w:val="20"/>
                <w:szCs w:val="20"/>
                <w:color w:val="auto"/>
              </w:rPr>
            </w:pPr>
            <w:r>
              <w:rPr>
                <w:rFonts w:ascii="Arial" w:cs="Arial" w:eastAsia="Arial" w:hAnsi="Arial"/>
                <w:sz w:val="14"/>
                <w:szCs w:val="14"/>
                <w:b w:val="1"/>
                <w:bCs w:val="1"/>
                <w:color w:val="auto"/>
              </w:rPr>
              <w:t>of Shares</w:t>
            </w:r>
          </w:p>
        </w:tc>
        <w:tc>
          <w:tcPr>
            <w:tcW w:w="1920" w:type="dxa"/>
            <w:vAlign w:val="bottom"/>
          </w:tcPr>
          <w:p>
            <w:pPr>
              <w:jc w:val="center"/>
              <w:ind w:left="68"/>
              <w:spacing w:after="0" w:line="149" w:lineRule="exact"/>
              <w:rPr>
                <w:sz w:val="20"/>
                <w:szCs w:val="20"/>
                <w:color w:val="auto"/>
              </w:rPr>
            </w:pPr>
            <w:r>
              <w:rPr>
                <w:rFonts w:ascii="Arial" w:cs="Arial" w:eastAsia="Arial" w:hAnsi="Arial"/>
                <w:sz w:val="14"/>
                <w:szCs w:val="14"/>
                <w:b w:val="1"/>
                <w:bCs w:val="1"/>
                <w:color w:val="auto"/>
              </w:rPr>
              <w:t>Value of Shares that</w:t>
            </w:r>
          </w:p>
        </w:tc>
        <w:tc>
          <w:tcPr>
            <w:tcW w:w="0" w:type="dxa"/>
            <w:vAlign w:val="bottom"/>
          </w:tcPr>
          <w:p>
            <w:pPr>
              <w:spacing w:after="0"/>
              <w:rPr>
                <w:sz w:val="1"/>
                <w:szCs w:val="1"/>
                <w:color w:val="auto"/>
              </w:rPr>
            </w:pPr>
          </w:p>
        </w:tc>
      </w:tr>
      <w:tr>
        <w:trPr>
          <w:trHeight w:val="144"/>
        </w:trPr>
        <w:tc>
          <w:tcPr>
            <w:tcW w:w="3560" w:type="dxa"/>
            <w:vAlign w:val="bottom"/>
          </w:tcPr>
          <w:p>
            <w:pPr>
              <w:spacing w:after="0"/>
              <w:rPr>
                <w:sz w:val="12"/>
                <w:szCs w:val="12"/>
                <w:color w:val="auto"/>
              </w:rPr>
            </w:pPr>
          </w:p>
        </w:tc>
        <w:tc>
          <w:tcPr>
            <w:tcW w:w="2380" w:type="dxa"/>
            <w:vAlign w:val="bottom"/>
            <w:vMerge w:val="restart"/>
          </w:tcPr>
          <w:p>
            <w:pPr>
              <w:jc w:val="center"/>
              <w:ind w:left="528"/>
              <w:spacing w:after="0"/>
              <w:rPr>
                <w:sz w:val="20"/>
                <w:szCs w:val="20"/>
                <w:color w:val="auto"/>
              </w:rPr>
            </w:pPr>
            <w:r>
              <w:rPr>
                <w:rFonts w:ascii="Arial" w:cs="Arial" w:eastAsia="Arial" w:hAnsi="Arial"/>
                <w:sz w:val="14"/>
                <w:szCs w:val="14"/>
                <w:b w:val="1"/>
                <w:bCs w:val="1"/>
                <w:color w:val="auto"/>
              </w:rPr>
              <w:t>Total</w:t>
            </w:r>
          </w:p>
        </w:tc>
        <w:tc>
          <w:tcPr>
            <w:tcW w:w="1680" w:type="dxa"/>
            <w:vAlign w:val="bottom"/>
          </w:tcPr>
          <w:p>
            <w:pPr>
              <w:spacing w:after="0"/>
              <w:rPr>
                <w:sz w:val="12"/>
                <w:szCs w:val="12"/>
                <w:color w:val="auto"/>
              </w:rPr>
            </w:pPr>
          </w:p>
        </w:tc>
        <w:tc>
          <w:tcPr>
            <w:tcW w:w="1700" w:type="dxa"/>
            <w:vAlign w:val="bottom"/>
          </w:tcPr>
          <w:p>
            <w:pPr>
              <w:jc w:val="center"/>
              <w:ind w:left="168"/>
              <w:spacing w:after="0" w:line="145" w:lineRule="exact"/>
              <w:rPr>
                <w:sz w:val="20"/>
                <w:szCs w:val="20"/>
                <w:color w:val="auto"/>
              </w:rPr>
            </w:pPr>
            <w:r>
              <w:rPr>
                <w:rFonts w:ascii="Arial" w:cs="Arial" w:eastAsia="Arial" w:hAnsi="Arial"/>
                <w:sz w:val="14"/>
                <w:szCs w:val="14"/>
                <w:b w:val="1"/>
                <w:bCs w:val="1"/>
                <w:color w:val="auto"/>
              </w:rPr>
              <w:t>Purchased as</w:t>
            </w:r>
          </w:p>
        </w:tc>
        <w:tc>
          <w:tcPr>
            <w:tcW w:w="1920" w:type="dxa"/>
            <w:vAlign w:val="bottom"/>
          </w:tcPr>
          <w:p>
            <w:pPr>
              <w:jc w:val="center"/>
              <w:ind w:left="88"/>
              <w:spacing w:after="0" w:line="145" w:lineRule="exact"/>
              <w:rPr>
                <w:sz w:val="20"/>
                <w:szCs w:val="20"/>
                <w:color w:val="auto"/>
              </w:rPr>
            </w:pPr>
            <w:r>
              <w:rPr>
                <w:rFonts w:ascii="Arial" w:cs="Arial" w:eastAsia="Arial" w:hAnsi="Arial"/>
                <w:sz w:val="14"/>
                <w:szCs w:val="14"/>
                <w:b w:val="1"/>
                <w:bCs w:val="1"/>
                <w:color w:val="auto"/>
              </w:rPr>
              <w:t>May Yet Be</w:t>
            </w:r>
          </w:p>
        </w:tc>
        <w:tc>
          <w:tcPr>
            <w:tcW w:w="0" w:type="dxa"/>
            <w:vAlign w:val="bottom"/>
          </w:tcPr>
          <w:p>
            <w:pPr>
              <w:spacing w:after="0"/>
              <w:rPr>
                <w:sz w:val="1"/>
                <w:szCs w:val="1"/>
                <w:color w:val="auto"/>
              </w:rPr>
            </w:pPr>
          </w:p>
        </w:tc>
      </w:tr>
      <w:tr>
        <w:trPr>
          <w:trHeight w:val="139"/>
        </w:trPr>
        <w:tc>
          <w:tcPr>
            <w:tcW w:w="3560" w:type="dxa"/>
            <w:vAlign w:val="bottom"/>
          </w:tcPr>
          <w:p>
            <w:pPr>
              <w:spacing w:after="0"/>
              <w:rPr>
                <w:sz w:val="12"/>
                <w:szCs w:val="12"/>
                <w:color w:val="auto"/>
              </w:rPr>
            </w:pPr>
          </w:p>
        </w:tc>
        <w:tc>
          <w:tcPr>
            <w:tcW w:w="2380" w:type="dxa"/>
            <w:vAlign w:val="bottom"/>
            <w:vMerge w:val="continue"/>
          </w:tcPr>
          <w:p>
            <w:pPr>
              <w:spacing w:after="0"/>
              <w:rPr>
                <w:sz w:val="12"/>
                <w:szCs w:val="12"/>
                <w:color w:val="auto"/>
              </w:rPr>
            </w:pPr>
          </w:p>
        </w:tc>
        <w:tc>
          <w:tcPr>
            <w:tcW w:w="168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auto"/>
              </w:rPr>
              <w:t>Average</w:t>
            </w:r>
          </w:p>
        </w:tc>
        <w:tc>
          <w:tcPr>
            <w:tcW w:w="1700" w:type="dxa"/>
            <w:vAlign w:val="bottom"/>
          </w:tcPr>
          <w:p>
            <w:pPr>
              <w:jc w:val="center"/>
              <w:ind w:left="168"/>
              <w:spacing w:after="0" w:line="139" w:lineRule="exact"/>
              <w:rPr>
                <w:sz w:val="20"/>
                <w:szCs w:val="20"/>
                <w:color w:val="auto"/>
              </w:rPr>
            </w:pPr>
            <w:r>
              <w:rPr>
                <w:rFonts w:ascii="Arial" w:cs="Arial" w:eastAsia="Arial" w:hAnsi="Arial"/>
                <w:sz w:val="14"/>
                <w:szCs w:val="14"/>
                <w:b w:val="1"/>
                <w:bCs w:val="1"/>
                <w:color w:val="auto"/>
              </w:rPr>
              <w:t>Part of Publicly</w:t>
            </w:r>
          </w:p>
        </w:tc>
        <w:tc>
          <w:tcPr>
            <w:tcW w:w="1920" w:type="dxa"/>
            <w:vAlign w:val="bottom"/>
          </w:tcPr>
          <w:p>
            <w:pPr>
              <w:jc w:val="center"/>
              <w:ind w:left="68"/>
              <w:spacing w:after="0" w:line="139" w:lineRule="exact"/>
              <w:rPr>
                <w:sz w:val="20"/>
                <w:szCs w:val="20"/>
                <w:color w:val="auto"/>
              </w:rPr>
            </w:pPr>
            <w:r>
              <w:rPr>
                <w:rFonts w:ascii="Arial" w:cs="Arial" w:eastAsia="Arial" w:hAnsi="Arial"/>
                <w:sz w:val="14"/>
                <w:szCs w:val="14"/>
                <w:b w:val="1"/>
                <w:bCs w:val="1"/>
                <w:color w:val="auto"/>
              </w:rPr>
              <w:t>Purchased Under Plans</w:t>
            </w: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2380" w:type="dxa"/>
            <w:vAlign w:val="bottom"/>
          </w:tcPr>
          <w:p>
            <w:pPr>
              <w:jc w:val="center"/>
              <w:ind w:left="548"/>
              <w:spacing w:after="0" w:line="149" w:lineRule="exact"/>
              <w:rPr>
                <w:sz w:val="20"/>
                <w:szCs w:val="20"/>
                <w:color w:val="auto"/>
              </w:rPr>
            </w:pPr>
            <w:r>
              <w:rPr>
                <w:rFonts w:ascii="Arial" w:cs="Arial" w:eastAsia="Arial" w:hAnsi="Arial"/>
                <w:sz w:val="14"/>
                <w:szCs w:val="14"/>
                <w:b w:val="1"/>
                <w:bCs w:val="1"/>
                <w:color w:val="auto"/>
              </w:rPr>
              <w:t>Number of</w:t>
            </w:r>
          </w:p>
        </w:tc>
        <w:tc>
          <w:tcPr>
            <w:tcW w:w="1680" w:type="dxa"/>
            <w:vAlign w:val="bottom"/>
            <w:vMerge w:val="continue"/>
          </w:tcPr>
          <w:p>
            <w:pPr>
              <w:spacing w:after="0"/>
              <w:rPr>
                <w:sz w:val="12"/>
                <w:szCs w:val="12"/>
                <w:color w:val="auto"/>
              </w:rPr>
            </w:pPr>
          </w:p>
        </w:tc>
        <w:tc>
          <w:tcPr>
            <w:tcW w:w="1700" w:type="dxa"/>
            <w:vAlign w:val="bottom"/>
          </w:tcPr>
          <w:p>
            <w:pPr>
              <w:jc w:val="center"/>
              <w:ind w:left="168"/>
              <w:spacing w:after="0" w:line="149" w:lineRule="exact"/>
              <w:rPr>
                <w:sz w:val="20"/>
                <w:szCs w:val="20"/>
                <w:color w:val="auto"/>
              </w:rPr>
            </w:pPr>
            <w:r>
              <w:rPr>
                <w:rFonts w:ascii="Arial" w:cs="Arial" w:eastAsia="Arial" w:hAnsi="Arial"/>
                <w:sz w:val="14"/>
                <w:szCs w:val="14"/>
                <w:b w:val="1"/>
                <w:bCs w:val="1"/>
                <w:color w:val="auto"/>
              </w:rPr>
              <w:t>Announced</w:t>
            </w:r>
          </w:p>
        </w:tc>
        <w:tc>
          <w:tcPr>
            <w:tcW w:w="1920" w:type="dxa"/>
            <w:vAlign w:val="bottom"/>
          </w:tcPr>
          <w:p>
            <w:pPr>
              <w:jc w:val="center"/>
              <w:ind w:left="68"/>
              <w:spacing w:after="0" w:line="149" w:lineRule="exact"/>
              <w:rPr>
                <w:sz w:val="20"/>
                <w:szCs w:val="20"/>
                <w:color w:val="auto"/>
              </w:rPr>
            </w:pPr>
            <w:r>
              <w:rPr>
                <w:rFonts w:ascii="Arial" w:cs="Arial" w:eastAsia="Arial" w:hAnsi="Arial"/>
                <w:sz w:val="14"/>
                <w:szCs w:val="14"/>
                <w:b w:val="1"/>
                <w:bCs w:val="1"/>
                <w:color w:val="auto"/>
                <w:w w:val="99"/>
              </w:rPr>
              <w:t>or</w:t>
            </w:r>
          </w:p>
        </w:tc>
        <w:tc>
          <w:tcPr>
            <w:tcW w:w="0" w:type="dxa"/>
            <w:vAlign w:val="bottom"/>
          </w:tcPr>
          <w:p>
            <w:pPr>
              <w:spacing w:after="0"/>
              <w:rPr>
                <w:sz w:val="1"/>
                <w:szCs w:val="1"/>
                <w:color w:val="auto"/>
              </w:rPr>
            </w:pPr>
          </w:p>
        </w:tc>
      </w:tr>
      <w:tr>
        <w:trPr>
          <w:trHeight w:val="144"/>
        </w:trPr>
        <w:tc>
          <w:tcPr>
            <w:tcW w:w="35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2380" w:type="dxa"/>
            <w:vAlign w:val="bottom"/>
          </w:tcPr>
          <w:p>
            <w:pPr>
              <w:jc w:val="center"/>
              <w:ind w:left="548"/>
              <w:spacing w:after="0" w:line="145" w:lineRule="exact"/>
              <w:rPr>
                <w:sz w:val="20"/>
                <w:szCs w:val="20"/>
                <w:color w:val="auto"/>
              </w:rPr>
            </w:pPr>
            <w:r>
              <w:rPr>
                <w:rFonts w:ascii="Arial" w:cs="Arial" w:eastAsia="Arial" w:hAnsi="Arial"/>
                <w:sz w:val="14"/>
                <w:szCs w:val="14"/>
                <w:b w:val="1"/>
                <w:bCs w:val="1"/>
                <w:color w:val="auto"/>
              </w:rPr>
              <w:t>Shares</w:t>
            </w:r>
          </w:p>
        </w:tc>
        <w:tc>
          <w:tcPr>
            <w:tcW w:w="1680" w:type="dxa"/>
            <w:vAlign w:val="bottom"/>
          </w:tcPr>
          <w:p>
            <w:pPr>
              <w:jc w:val="center"/>
              <w:ind w:left="8"/>
              <w:spacing w:after="0" w:line="145" w:lineRule="exact"/>
              <w:rPr>
                <w:sz w:val="20"/>
                <w:szCs w:val="20"/>
                <w:color w:val="auto"/>
              </w:rPr>
            </w:pPr>
            <w:r>
              <w:rPr>
                <w:rFonts w:ascii="Arial" w:cs="Arial" w:eastAsia="Arial" w:hAnsi="Arial"/>
                <w:sz w:val="14"/>
                <w:szCs w:val="14"/>
                <w:b w:val="1"/>
                <w:bCs w:val="1"/>
                <w:color w:val="auto"/>
              </w:rPr>
              <w:t>Price Paid</w:t>
            </w:r>
          </w:p>
        </w:tc>
        <w:tc>
          <w:tcPr>
            <w:tcW w:w="1700" w:type="dxa"/>
            <w:vAlign w:val="bottom"/>
          </w:tcPr>
          <w:p>
            <w:pPr>
              <w:jc w:val="center"/>
              <w:ind w:left="168"/>
              <w:spacing w:after="0" w:line="145" w:lineRule="exact"/>
              <w:rPr>
                <w:sz w:val="20"/>
                <w:szCs w:val="20"/>
                <w:color w:val="auto"/>
              </w:rPr>
            </w:pPr>
            <w:r>
              <w:rPr>
                <w:rFonts w:ascii="Arial" w:cs="Arial" w:eastAsia="Arial" w:hAnsi="Arial"/>
                <w:sz w:val="14"/>
                <w:szCs w:val="14"/>
                <w:b w:val="1"/>
                <w:bCs w:val="1"/>
                <w:color w:val="auto"/>
              </w:rPr>
              <w:t>Plans</w:t>
            </w:r>
          </w:p>
        </w:tc>
        <w:tc>
          <w:tcPr>
            <w:tcW w:w="1920" w:type="dxa"/>
            <w:vAlign w:val="bottom"/>
          </w:tcPr>
          <w:p>
            <w:pPr>
              <w:jc w:val="center"/>
              <w:ind w:left="88"/>
              <w:spacing w:after="0" w:line="145" w:lineRule="exact"/>
              <w:rPr>
                <w:sz w:val="20"/>
                <w:szCs w:val="20"/>
                <w:color w:val="auto"/>
              </w:rPr>
            </w:pPr>
            <w:r>
              <w:rPr>
                <w:rFonts w:ascii="Arial" w:cs="Arial" w:eastAsia="Arial" w:hAnsi="Arial"/>
                <w:sz w:val="14"/>
                <w:szCs w:val="14"/>
                <w:b w:val="1"/>
                <w:bCs w:val="1"/>
                <w:color w:val="auto"/>
              </w:rPr>
              <w:t>Programs</w:t>
            </w:r>
          </w:p>
        </w:tc>
        <w:tc>
          <w:tcPr>
            <w:tcW w:w="0" w:type="dxa"/>
            <w:vAlign w:val="bottom"/>
          </w:tcPr>
          <w:p>
            <w:pPr>
              <w:spacing w:after="0"/>
              <w:rPr>
                <w:sz w:val="1"/>
                <w:szCs w:val="1"/>
                <w:color w:val="auto"/>
              </w:rPr>
            </w:pPr>
          </w:p>
        </w:tc>
      </w:tr>
      <w:tr>
        <w:trPr>
          <w:trHeight w:val="189"/>
        </w:trPr>
        <w:tc>
          <w:tcPr>
            <w:tcW w:w="3560" w:type="dxa"/>
            <w:vAlign w:val="bottom"/>
            <w:tcBorders>
              <w:bottom w:val="single" w:sz="8" w:color="D7282F"/>
            </w:tcBorders>
            <w:vMerge w:val="continue"/>
          </w:tcPr>
          <w:p>
            <w:pPr>
              <w:spacing w:after="0"/>
              <w:rPr>
                <w:sz w:val="16"/>
                <w:szCs w:val="16"/>
                <w:color w:val="auto"/>
              </w:rPr>
            </w:pPr>
          </w:p>
        </w:tc>
        <w:tc>
          <w:tcPr>
            <w:tcW w:w="2380" w:type="dxa"/>
            <w:vAlign w:val="bottom"/>
            <w:tcBorders>
              <w:bottom w:val="single" w:sz="8" w:color="D7282F"/>
            </w:tcBorders>
          </w:tcPr>
          <w:p>
            <w:pPr>
              <w:jc w:val="center"/>
              <w:ind w:left="528"/>
              <w:spacing w:after="0"/>
              <w:rPr>
                <w:sz w:val="20"/>
                <w:szCs w:val="20"/>
                <w:color w:val="auto"/>
              </w:rPr>
            </w:pPr>
            <w:r>
              <w:rPr>
                <w:rFonts w:ascii="Arial" w:cs="Arial" w:eastAsia="Arial" w:hAnsi="Arial"/>
                <w:sz w:val="14"/>
                <w:szCs w:val="14"/>
                <w:b w:val="1"/>
                <w:bCs w:val="1"/>
                <w:color w:val="auto"/>
              </w:rPr>
              <w:t>Purchased</w:t>
            </w:r>
          </w:p>
        </w:tc>
        <w:tc>
          <w:tcPr>
            <w:tcW w:w="1680" w:type="dxa"/>
            <w:vAlign w:val="bottom"/>
            <w:tcBorders>
              <w:bottom w:val="single" w:sz="8" w:color="D7282F"/>
            </w:tcBorders>
          </w:tcPr>
          <w:p>
            <w:pPr>
              <w:jc w:val="center"/>
              <w:ind w:left="8"/>
              <w:spacing w:after="0"/>
              <w:rPr>
                <w:sz w:val="20"/>
                <w:szCs w:val="20"/>
                <w:color w:val="auto"/>
              </w:rPr>
            </w:pPr>
            <w:r>
              <w:rPr>
                <w:rFonts w:ascii="Arial" w:cs="Arial" w:eastAsia="Arial" w:hAnsi="Arial"/>
                <w:sz w:val="14"/>
                <w:szCs w:val="14"/>
                <w:b w:val="1"/>
                <w:bCs w:val="1"/>
                <w:color w:val="auto"/>
              </w:rPr>
              <w:t>per Share</w:t>
            </w:r>
          </w:p>
        </w:tc>
        <w:tc>
          <w:tcPr>
            <w:tcW w:w="1700" w:type="dxa"/>
            <w:vAlign w:val="bottom"/>
            <w:tcBorders>
              <w:bottom w:val="single" w:sz="8" w:color="D7282F"/>
            </w:tcBorders>
          </w:tcPr>
          <w:p>
            <w:pPr>
              <w:jc w:val="center"/>
              <w:ind w:left="168"/>
              <w:spacing w:after="0"/>
              <w:rPr>
                <w:sz w:val="20"/>
                <w:szCs w:val="20"/>
                <w:color w:val="auto"/>
              </w:rPr>
            </w:pPr>
            <w:r>
              <w:rPr>
                <w:rFonts w:ascii="Arial" w:cs="Arial" w:eastAsia="Arial" w:hAnsi="Arial"/>
                <w:sz w:val="14"/>
                <w:szCs w:val="14"/>
                <w:b w:val="1"/>
                <w:bCs w:val="1"/>
                <w:color w:val="auto"/>
              </w:rPr>
              <w:t>or Programs</w:t>
            </w:r>
          </w:p>
        </w:tc>
        <w:tc>
          <w:tcPr>
            <w:tcW w:w="1920" w:type="dxa"/>
            <w:vAlign w:val="bottom"/>
            <w:tcBorders>
              <w:bottom w:val="single" w:sz="8" w:color="D7282F"/>
            </w:tcBorders>
          </w:tcPr>
          <w:p>
            <w:pPr>
              <w:jc w:val="center"/>
              <w:ind w:left="68"/>
              <w:spacing w:after="0"/>
              <w:rPr>
                <w:sz w:val="20"/>
                <w:szCs w:val="20"/>
                <w:color w:val="auto"/>
              </w:rPr>
            </w:pPr>
            <w:r>
              <w:rPr>
                <w:rFonts w:ascii="Arial" w:cs="Arial" w:eastAsia="Arial" w:hAnsi="Arial"/>
                <w:sz w:val="14"/>
                <w:szCs w:val="14"/>
                <w:b w:val="1"/>
                <w:bCs w:val="1"/>
                <w:color w:val="auto"/>
              </w:rPr>
              <w:t>(Dollars in millions)</w:t>
            </w:r>
          </w:p>
        </w:tc>
        <w:tc>
          <w:tcPr>
            <w:tcW w:w="0" w:type="dxa"/>
            <w:vAlign w:val="bottom"/>
          </w:tcPr>
          <w:p>
            <w:pPr>
              <w:spacing w:after="0"/>
              <w:rPr>
                <w:sz w:val="1"/>
                <w:szCs w:val="1"/>
                <w:color w:val="auto"/>
              </w:rPr>
            </w:pPr>
          </w:p>
        </w:tc>
      </w:tr>
      <w:tr>
        <w:trPr>
          <w:trHeight w:val="192"/>
        </w:trPr>
        <w:tc>
          <w:tcPr>
            <w:tcW w:w="35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January 1, 2024 - January 27, 2024</w:t>
            </w:r>
          </w:p>
        </w:tc>
        <w:tc>
          <w:tcPr>
            <w:tcW w:w="2380" w:type="dxa"/>
            <w:vAlign w:val="bottom"/>
            <w:tcBorders>
              <w:bottom w:val="single" w:sz="8" w:color="61656A"/>
            </w:tcBorders>
          </w:tcPr>
          <w:p>
            <w:pPr>
              <w:jc w:val="center"/>
              <w:ind w:left="548"/>
              <w:spacing w:after="0"/>
              <w:rPr>
                <w:sz w:val="20"/>
                <w:szCs w:val="20"/>
                <w:color w:val="auto"/>
              </w:rPr>
            </w:pPr>
            <w:r>
              <w:rPr>
                <w:rFonts w:ascii="Arial" w:cs="Arial" w:eastAsia="Arial" w:hAnsi="Arial"/>
                <w:sz w:val="14"/>
                <w:szCs w:val="14"/>
                <w:color w:val="auto"/>
              </w:rPr>
              <w:t>888,018</w:t>
            </w:r>
          </w:p>
        </w:tc>
        <w:tc>
          <w:tcPr>
            <w:tcW w:w="1680" w:type="dxa"/>
            <w:vAlign w:val="bottom"/>
            <w:tcBorders>
              <w:bottom w:val="single" w:sz="8" w:color="61656A"/>
            </w:tcBorders>
          </w:tcPr>
          <w:p>
            <w:pPr>
              <w:jc w:val="center"/>
              <w:ind w:left="8"/>
              <w:spacing w:after="0"/>
              <w:rPr>
                <w:sz w:val="20"/>
                <w:szCs w:val="20"/>
                <w:color w:val="auto"/>
              </w:rPr>
            </w:pPr>
            <w:r>
              <w:rPr>
                <w:rFonts w:ascii="Arial" w:cs="Arial" w:eastAsia="Arial" w:hAnsi="Arial"/>
                <w:sz w:val="14"/>
                <w:szCs w:val="14"/>
                <w:color w:val="auto"/>
              </w:rPr>
              <w:t>$202.68</w:t>
            </w:r>
          </w:p>
        </w:tc>
        <w:tc>
          <w:tcPr>
            <w:tcW w:w="1700" w:type="dxa"/>
            <w:vAlign w:val="bottom"/>
            <w:tcBorders>
              <w:bottom w:val="single" w:sz="8" w:color="61656A"/>
            </w:tcBorders>
          </w:tcPr>
          <w:p>
            <w:pPr>
              <w:jc w:val="center"/>
              <w:ind w:left="148"/>
              <w:spacing w:after="0"/>
              <w:rPr>
                <w:sz w:val="20"/>
                <w:szCs w:val="20"/>
                <w:color w:val="auto"/>
              </w:rPr>
            </w:pPr>
            <w:r>
              <w:rPr>
                <w:rFonts w:ascii="Arial" w:cs="Arial" w:eastAsia="Arial" w:hAnsi="Arial"/>
                <w:sz w:val="14"/>
                <w:szCs w:val="14"/>
                <w:color w:val="auto"/>
              </w:rPr>
              <w:t>888,018</w:t>
            </w:r>
          </w:p>
        </w:tc>
        <w:tc>
          <w:tcPr>
            <w:tcW w:w="1920" w:type="dxa"/>
            <w:vAlign w:val="bottom"/>
            <w:tcBorders>
              <w:bottom w:val="single" w:sz="8" w:color="61656A"/>
            </w:tcBorders>
          </w:tcPr>
          <w:p>
            <w:pPr>
              <w:jc w:val="center"/>
              <w:ind w:left="88"/>
              <w:spacing w:after="0"/>
              <w:rPr>
                <w:sz w:val="20"/>
                <w:szCs w:val="20"/>
                <w:color w:val="auto"/>
              </w:rPr>
            </w:pPr>
            <w:r>
              <w:rPr>
                <w:rFonts w:ascii="Arial" w:cs="Arial" w:eastAsia="Arial" w:hAnsi="Arial"/>
                <w:sz w:val="14"/>
                <w:szCs w:val="14"/>
                <w:color w:val="auto"/>
              </w:rPr>
              <w:t>$6,924</w:t>
            </w:r>
          </w:p>
        </w:tc>
        <w:tc>
          <w:tcPr>
            <w:tcW w:w="0" w:type="dxa"/>
            <w:vAlign w:val="bottom"/>
          </w:tcPr>
          <w:p>
            <w:pPr>
              <w:spacing w:after="0"/>
              <w:rPr>
                <w:sz w:val="1"/>
                <w:szCs w:val="1"/>
                <w:color w:val="auto"/>
              </w:rPr>
            </w:pPr>
          </w:p>
        </w:tc>
      </w:tr>
      <w:tr>
        <w:trPr>
          <w:trHeight w:val="196"/>
        </w:trPr>
        <w:tc>
          <w:tcPr>
            <w:tcW w:w="35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January 28, 2024 - February 24, 2024</w:t>
            </w:r>
          </w:p>
        </w:tc>
        <w:tc>
          <w:tcPr>
            <w:tcW w:w="2380" w:type="dxa"/>
            <w:vAlign w:val="bottom"/>
            <w:tcBorders>
              <w:bottom w:val="single" w:sz="8" w:color="61656A"/>
            </w:tcBorders>
          </w:tcPr>
          <w:p>
            <w:pPr>
              <w:jc w:val="center"/>
              <w:ind w:left="548"/>
              <w:spacing w:after="0"/>
              <w:rPr>
                <w:sz w:val="20"/>
                <w:szCs w:val="20"/>
                <w:color w:val="auto"/>
              </w:rPr>
            </w:pPr>
            <w:r>
              <w:rPr>
                <w:rFonts w:ascii="Arial" w:cs="Arial" w:eastAsia="Arial" w:hAnsi="Arial"/>
                <w:sz w:val="14"/>
                <w:szCs w:val="14"/>
                <w:color w:val="auto"/>
              </w:rPr>
              <w:t>1,296,262</w:t>
            </w:r>
          </w:p>
        </w:tc>
        <w:tc>
          <w:tcPr>
            <w:tcW w:w="1680" w:type="dxa"/>
            <w:vAlign w:val="bottom"/>
            <w:tcBorders>
              <w:bottom w:val="single" w:sz="8" w:color="61656A"/>
            </w:tcBorders>
          </w:tcPr>
          <w:p>
            <w:pPr>
              <w:jc w:val="center"/>
              <w:ind w:left="8"/>
              <w:spacing w:after="0"/>
              <w:rPr>
                <w:sz w:val="20"/>
                <w:szCs w:val="20"/>
                <w:color w:val="auto"/>
              </w:rPr>
            </w:pPr>
            <w:r>
              <w:rPr>
                <w:rFonts w:ascii="Arial" w:cs="Arial" w:eastAsia="Arial" w:hAnsi="Arial"/>
                <w:sz w:val="14"/>
                <w:szCs w:val="14"/>
                <w:color w:val="auto"/>
              </w:rPr>
              <w:t>$196.86</w:t>
            </w:r>
          </w:p>
        </w:tc>
        <w:tc>
          <w:tcPr>
            <w:tcW w:w="1700" w:type="dxa"/>
            <w:vAlign w:val="bottom"/>
            <w:tcBorders>
              <w:bottom w:val="single" w:sz="8" w:color="61656A"/>
            </w:tcBorders>
          </w:tcPr>
          <w:p>
            <w:pPr>
              <w:jc w:val="center"/>
              <w:ind w:left="148"/>
              <w:spacing w:after="0"/>
              <w:rPr>
                <w:sz w:val="20"/>
                <w:szCs w:val="20"/>
                <w:color w:val="auto"/>
              </w:rPr>
            </w:pPr>
            <w:r>
              <w:rPr>
                <w:rFonts w:ascii="Arial" w:cs="Arial" w:eastAsia="Arial" w:hAnsi="Arial"/>
                <w:sz w:val="14"/>
                <w:szCs w:val="14"/>
                <w:color w:val="auto"/>
              </w:rPr>
              <w:t>1,296,262</w:t>
            </w:r>
          </w:p>
        </w:tc>
        <w:tc>
          <w:tcPr>
            <w:tcW w:w="1920" w:type="dxa"/>
            <w:vAlign w:val="bottom"/>
            <w:tcBorders>
              <w:bottom w:val="single" w:sz="8" w:color="61656A"/>
            </w:tcBorders>
          </w:tcPr>
          <w:p>
            <w:pPr>
              <w:jc w:val="center"/>
              <w:ind w:left="88"/>
              <w:spacing w:after="0"/>
              <w:rPr>
                <w:sz w:val="20"/>
                <w:szCs w:val="20"/>
                <w:color w:val="auto"/>
              </w:rPr>
            </w:pPr>
            <w:r>
              <w:rPr>
                <w:rFonts w:ascii="Arial" w:cs="Arial" w:eastAsia="Arial" w:hAnsi="Arial"/>
                <w:sz w:val="14"/>
                <w:szCs w:val="14"/>
                <w:color w:val="auto"/>
              </w:rPr>
              <w:t>$6,669</w:t>
            </w:r>
          </w:p>
        </w:tc>
        <w:tc>
          <w:tcPr>
            <w:tcW w:w="0" w:type="dxa"/>
            <w:vAlign w:val="bottom"/>
          </w:tcPr>
          <w:p>
            <w:pPr>
              <w:spacing w:after="0"/>
              <w:rPr>
                <w:sz w:val="1"/>
                <w:szCs w:val="1"/>
                <w:color w:val="auto"/>
              </w:rPr>
            </w:pPr>
          </w:p>
        </w:tc>
      </w:tr>
      <w:tr>
        <w:trPr>
          <w:trHeight w:val="196"/>
        </w:trPr>
        <w:tc>
          <w:tcPr>
            <w:tcW w:w="35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February 25, 2024 - March 30, 2024</w:t>
            </w:r>
          </w:p>
        </w:tc>
        <w:tc>
          <w:tcPr>
            <w:tcW w:w="2380" w:type="dxa"/>
            <w:vAlign w:val="bottom"/>
            <w:tcBorders>
              <w:bottom w:val="single" w:sz="8" w:color="D7282F"/>
            </w:tcBorders>
          </w:tcPr>
          <w:p>
            <w:pPr>
              <w:jc w:val="center"/>
              <w:ind w:left="548"/>
              <w:spacing w:after="0"/>
              <w:rPr>
                <w:sz w:val="20"/>
                <w:szCs w:val="20"/>
                <w:color w:val="auto"/>
              </w:rPr>
            </w:pPr>
            <w:r>
              <w:rPr>
                <w:rFonts w:ascii="Arial" w:cs="Arial" w:eastAsia="Arial" w:hAnsi="Arial"/>
                <w:sz w:val="14"/>
                <w:szCs w:val="14"/>
                <w:color w:val="auto"/>
              </w:rPr>
              <w:t>1,189,686</w:t>
            </w:r>
          </w:p>
        </w:tc>
        <w:tc>
          <w:tcPr>
            <w:tcW w:w="1680" w:type="dxa"/>
            <w:vAlign w:val="bottom"/>
            <w:tcBorders>
              <w:bottom w:val="single" w:sz="8" w:color="D7282F"/>
            </w:tcBorders>
          </w:tcPr>
          <w:p>
            <w:pPr>
              <w:jc w:val="center"/>
              <w:ind w:left="8"/>
              <w:spacing w:after="0"/>
              <w:rPr>
                <w:sz w:val="20"/>
                <w:szCs w:val="20"/>
                <w:color w:val="auto"/>
              </w:rPr>
            </w:pPr>
            <w:r>
              <w:rPr>
                <w:rFonts w:ascii="Arial" w:cs="Arial" w:eastAsia="Arial" w:hAnsi="Arial"/>
                <w:sz w:val="14"/>
                <w:szCs w:val="14"/>
                <w:color w:val="auto"/>
              </w:rPr>
              <w:t>$198.48</w:t>
            </w:r>
          </w:p>
        </w:tc>
        <w:tc>
          <w:tcPr>
            <w:tcW w:w="1700" w:type="dxa"/>
            <w:vAlign w:val="bottom"/>
            <w:tcBorders>
              <w:bottom w:val="single" w:sz="8" w:color="D7282F"/>
            </w:tcBorders>
          </w:tcPr>
          <w:p>
            <w:pPr>
              <w:jc w:val="center"/>
              <w:ind w:left="148"/>
              <w:spacing w:after="0"/>
              <w:rPr>
                <w:sz w:val="20"/>
                <w:szCs w:val="20"/>
                <w:color w:val="auto"/>
              </w:rPr>
            </w:pPr>
            <w:r>
              <w:rPr>
                <w:rFonts w:ascii="Arial" w:cs="Arial" w:eastAsia="Arial" w:hAnsi="Arial"/>
                <w:sz w:val="14"/>
                <w:szCs w:val="14"/>
                <w:color w:val="auto"/>
              </w:rPr>
              <w:t>1,189,686</w:t>
            </w:r>
          </w:p>
        </w:tc>
        <w:tc>
          <w:tcPr>
            <w:tcW w:w="1920" w:type="dxa"/>
            <w:vAlign w:val="bottom"/>
            <w:tcBorders>
              <w:bottom w:val="single" w:sz="8" w:color="D7282F"/>
            </w:tcBorders>
          </w:tcPr>
          <w:p>
            <w:pPr>
              <w:jc w:val="center"/>
              <w:ind w:left="88"/>
              <w:spacing w:after="0"/>
              <w:rPr>
                <w:sz w:val="20"/>
                <w:szCs w:val="20"/>
                <w:color w:val="auto"/>
              </w:rPr>
            </w:pPr>
            <w:r>
              <w:rPr>
                <w:rFonts w:ascii="Arial" w:cs="Arial" w:eastAsia="Arial" w:hAnsi="Arial"/>
                <w:sz w:val="14"/>
                <w:szCs w:val="14"/>
                <w:color w:val="auto"/>
              </w:rPr>
              <w:t>$6,432</w:t>
            </w:r>
          </w:p>
        </w:tc>
        <w:tc>
          <w:tcPr>
            <w:tcW w:w="0" w:type="dxa"/>
            <w:vAlign w:val="bottom"/>
          </w:tcPr>
          <w:p>
            <w:pPr>
              <w:spacing w:after="0"/>
              <w:rPr>
                <w:sz w:val="1"/>
                <w:szCs w:val="1"/>
                <w:color w:val="auto"/>
              </w:rPr>
            </w:pPr>
          </w:p>
        </w:tc>
      </w:tr>
      <w:tr>
        <w:trPr>
          <w:trHeight w:val="752"/>
        </w:trPr>
        <w:tc>
          <w:tcPr>
            <w:tcW w:w="3560" w:type="dxa"/>
            <w:vAlign w:val="bottom"/>
          </w:tcPr>
          <w:p>
            <w:pPr>
              <w:spacing w:after="0"/>
              <w:rPr>
                <w:sz w:val="20"/>
                <w:szCs w:val="20"/>
                <w:color w:val="auto"/>
              </w:rPr>
            </w:pPr>
            <w:r>
              <w:rPr>
                <w:rFonts w:ascii="Arial" w:cs="Arial" w:eastAsia="Arial" w:hAnsi="Arial"/>
                <w:sz w:val="18"/>
                <w:szCs w:val="18"/>
                <w:b w:val="1"/>
                <w:bCs w:val="1"/>
                <w:color w:val="DC202E"/>
              </w:rPr>
              <w:t xml:space="preserve">48  </w:t>
            </w:r>
            <w:r>
              <w:rPr>
                <w:rFonts w:ascii="Arial" w:cs="Arial" w:eastAsia="Arial" w:hAnsi="Arial"/>
                <w:sz w:val="14"/>
                <w:szCs w:val="14"/>
                <w:color w:val="000000"/>
              </w:rPr>
              <w:t>Honeywell International Inc.</w:t>
            </w:r>
          </w:p>
        </w:tc>
        <w:tc>
          <w:tcPr>
            <w:tcW w:w="23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560" w:type="dxa"/>
            <w:vAlign w:val="bottom"/>
            <w:tcBorders>
              <w:bottom w:val="single" w:sz="8" w:color="9A9A9A"/>
            </w:tcBorders>
          </w:tcPr>
          <w:p>
            <w:pPr>
              <w:spacing w:after="0"/>
              <w:rPr>
                <w:sz w:val="18"/>
                <w:szCs w:val="18"/>
                <w:color w:val="auto"/>
              </w:rPr>
            </w:pPr>
          </w:p>
        </w:tc>
        <w:tc>
          <w:tcPr>
            <w:tcW w:w="2380" w:type="dxa"/>
            <w:vAlign w:val="bottom"/>
            <w:tcBorders>
              <w:bottom w:val="single" w:sz="8" w:color="9A9A9A"/>
            </w:tcBorders>
          </w:tcPr>
          <w:p>
            <w:pPr>
              <w:spacing w:after="0"/>
              <w:rPr>
                <w:sz w:val="18"/>
                <w:szCs w:val="18"/>
                <w:color w:val="auto"/>
              </w:rPr>
            </w:pPr>
          </w:p>
        </w:tc>
        <w:tc>
          <w:tcPr>
            <w:tcW w:w="1680" w:type="dxa"/>
            <w:vAlign w:val="bottom"/>
            <w:tcBorders>
              <w:bottom w:val="single" w:sz="8" w:color="9A9A9A"/>
            </w:tcBorders>
          </w:tcPr>
          <w:p>
            <w:pPr>
              <w:spacing w:after="0"/>
              <w:rPr>
                <w:sz w:val="18"/>
                <w:szCs w:val="18"/>
                <w:color w:val="auto"/>
              </w:rPr>
            </w:pPr>
          </w:p>
        </w:tc>
        <w:tc>
          <w:tcPr>
            <w:tcW w:w="1700" w:type="dxa"/>
            <w:vAlign w:val="bottom"/>
            <w:tcBorders>
              <w:bottom w:val="single" w:sz="8" w:color="9A9A9A"/>
            </w:tcBorders>
          </w:tcPr>
          <w:p>
            <w:pPr>
              <w:spacing w:after="0"/>
              <w:rPr>
                <w:sz w:val="18"/>
                <w:szCs w:val="18"/>
                <w:color w:val="auto"/>
              </w:rPr>
            </w:pPr>
          </w:p>
        </w:tc>
        <w:tc>
          <w:tcPr>
            <w:tcW w:w="19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ITEM 4. MINE SAFETY DISCLOSURES</w:t>
      </w:r>
    </w:p>
    <w:p>
      <w:pPr>
        <w:spacing w:after="0" w:line="39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One of our wholly-owned subsidiaries has a placer claim for and operates a chabazite ore surface mine in Arizona. Information concerning mine safety and other regulatory matters associated with this mine is required by Section 1503(a) of the Dodd-Frank Wall Street Reform and Consumer Protection Act and Item 104 of Regulation S-K and is included in Exhibit 95 to this quarterly report.</w:t>
      </w:r>
    </w:p>
    <w:p>
      <w:pPr>
        <w:spacing w:after="0" w:line="310"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ITEM 5. OTHER INFORMATION</w:t>
      </w:r>
    </w:p>
    <w:p>
      <w:pPr>
        <w:spacing w:after="0" w:line="39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On April 14, 2024, the Company entered into an amendment to the indemnification and reimbursement agreement with Resideo, which is filed herewith as Exhibit 10.3. The amendment provides that certain covenants set forth in Exhibit G of the indemnification and reimbursement agreement will be modified to substantially conform the covenants with those contained in Resideo's credit agreement (as and when such covenants in the credit agreement are amended in connection with the acquisition and financing transactions that Resideo announced on April 15, 2024).</w:t>
      </w:r>
    </w:p>
    <w:p>
      <w:pPr>
        <w:spacing w:after="0" w:line="236" w:lineRule="exact"/>
        <w:rPr>
          <w:sz w:val="20"/>
          <w:szCs w:val="20"/>
          <w:color w:val="auto"/>
        </w:rPr>
      </w:pPr>
    </w:p>
    <w:p>
      <w:pPr>
        <w:spacing w:after="0"/>
        <w:rPr>
          <w:sz w:val="20"/>
          <w:szCs w:val="20"/>
          <w:color w:val="auto"/>
        </w:rPr>
      </w:pPr>
      <w:r>
        <w:rPr>
          <w:rFonts w:ascii="Arial" w:cs="Arial" w:eastAsia="Arial" w:hAnsi="Arial"/>
          <w:sz w:val="29"/>
          <w:szCs w:val="29"/>
          <w:color w:val="D7282F"/>
        </w:rPr>
        <w:t>EQUITY TRADING PLAN ELECTIONS</w:t>
      </w:r>
    </w:p>
    <w:p>
      <w:pPr>
        <w:spacing w:after="0" w:line="252"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Certain executive officers and directors of the Company execute purchases and sales of the Company's common stock through Rule 10b5-1 and non-Rule 10b5-1 equity trading plans. The following table describes an equity trading plan adopted by one of our directors during the three months ended March 31, 2024:</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Date of adoption of</w:t>
            </w:r>
          </w:p>
        </w:tc>
        <w:tc>
          <w:tcPr>
            <w:tcW w:w="1460" w:type="dxa"/>
            <w:vAlign w:val="bottom"/>
          </w:tcPr>
          <w:p>
            <w:pPr>
              <w:jc w:val="center"/>
              <w:ind w:right="28"/>
              <w:spacing w:after="0"/>
              <w:rPr>
                <w:sz w:val="20"/>
                <w:szCs w:val="20"/>
                <w:color w:val="auto"/>
              </w:rPr>
            </w:pPr>
            <w:r>
              <w:rPr>
                <w:rFonts w:ascii="Arial" w:cs="Arial" w:eastAsia="Arial" w:hAnsi="Arial"/>
                <w:sz w:val="14"/>
                <w:szCs w:val="14"/>
                <w:b w:val="1"/>
                <w:bCs w:val="1"/>
                <w:color w:val="auto"/>
              </w:rPr>
              <w:t>Scheduled</w:t>
            </w:r>
          </w:p>
        </w:tc>
        <w:tc>
          <w:tcPr>
            <w:tcW w:w="4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 and title</w:t>
            </w:r>
          </w:p>
        </w:tc>
        <w:tc>
          <w:tcPr>
            <w:tcW w:w="1180" w:type="dxa"/>
            <w:vAlign w:val="bottom"/>
            <w:vMerge w:val="restart"/>
          </w:tcPr>
          <w:p>
            <w:pPr>
              <w:jc w:val="center"/>
              <w:ind w:left="68"/>
              <w:spacing w:after="0"/>
              <w:rPr>
                <w:sz w:val="20"/>
                <w:szCs w:val="20"/>
                <w:color w:val="auto"/>
              </w:rPr>
            </w:pPr>
            <w:r>
              <w:rPr>
                <w:rFonts w:ascii="Arial" w:cs="Arial" w:eastAsia="Arial" w:hAnsi="Arial"/>
                <w:sz w:val="14"/>
                <w:szCs w:val="14"/>
                <w:b w:val="1"/>
                <w:bCs w:val="1"/>
                <w:color w:val="auto"/>
              </w:rPr>
              <w:t>Action</w:t>
            </w:r>
          </w:p>
        </w:tc>
        <w:tc>
          <w:tcPr>
            <w:tcW w:w="1120" w:type="dxa"/>
            <w:vAlign w:val="bottom"/>
            <w:vMerge w:val="restart"/>
          </w:tcPr>
          <w:p>
            <w:pPr>
              <w:jc w:val="center"/>
              <w:ind w:left="48"/>
              <w:spacing w:after="0"/>
              <w:rPr>
                <w:sz w:val="20"/>
                <w:szCs w:val="20"/>
                <w:color w:val="auto"/>
              </w:rPr>
            </w:pPr>
            <w:r>
              <w:rPr>
                <w:rFonts w:ascii="Arial" w:cs="Arial" w:eastAsia="Arial" w:hAnsi="Arial"/>
                <w:sz w:val="14"/>
                <w:szCs w:val="14"/>
                <w:b w:val="1"/>
                <w:bCs w:val="1"/>
                <w:color w:val="auto"/>
              </w:rPr>
              <w:t>Plan Type</w:t>
            </w:r>
          </w:p>
        </w:tc>
        <w:tc>
          <w:tcPr>
            <w:tcW w:w="1460" w:type="dxa"/>
            <w:vAlign w:val="bottom"/>
          </w:tcPr>
          <w:p>
            <w:pPr>
              <w:jc w:val="center"/>
              <w:ind w:left="8"/>
              <w:spacing w:after="0" w:line="139" w:lineRule="exact"/>
              <w:rPr>
                <w:sz w:val="20"/>
                <w:szCs w:val="20"/>
                <w:color w:val="auto"/>
              </w:rPr>
            </w:pPr>
            <w:r>
              <w:rPr>
                <w:rFonts w:ascii="Arial" w:cs="Arial" w:eastAsia="Arial" w:hAnsi="Arial"/>
                <w:sz w:val="14"/>
                <w:szCs w:val="14"/>
                <w:b w:val="1"/>
                <w:bCs w:val="1"/>
                <w:color w:val="auto"/>
              </w:rPr>
              <w:t>Rule 10b5-1 trading</w:t>
            </w:r>
          </w:p>
        </w:tc>
        <w:tc>
          <w:tcPr>
            <w:tcW w:w="1460" w:type="dxa"/>
            <w:vAlign w:val="bottom"/>
          </w:tcPr>
          <w:p>
            <w:pPr>
              <w:jc w:val="center"/>
              <w:ind w:right="28"/>
              <w:spacing w:after="0" w:line="139" w:lineRule="exact"/>
              <w:rPr>
                <w:sz w:val="20"/>
                <w:szCs w:val="20"/>
                <w:color w:val="auto"/>
              </w:rPr>
            </w:pPr>
            <w:r>
              <w:rPr>
                <w:rFonts w:ascii="Arial" w:cs="Arial" w:eastAsia="Arial" w:hAnsi="Arial"/>
                <w:sz w:val="14"/>
                <w:szCs w:val="14"/>
                <w:b w:val="1"/>
                <w:bCs w:val="1"/>
                <w:color w:val="auto"/>
              </w:rPr>
              <w:t>expiration of Rule</w:t>
            </w:r>
          </w:p>
        </w:tc>
        <w:tc>
          <w:tcPr>
            <w:tcW w:w="450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rPr>
              <w:t>Aggregate number of securities to be purchased or sold</w:t>
            </w:r>
          </w:p>
        </w:tc>
        <w:tc>
          <w:tcPr>
            <w:tcW w:w="0" w:type="dxa"/>
            <w:vAlign w:val="bottom"/>
          </w:tcPr>
          <w:p>
            <w:pPr>
              <w:spacing w:after="0"/>
              <w:rPr>
                <w:sz w:val="1"/>
                <w:szCs w:val="1"/>
                <w:color w:val="auto"/>
              </w:rPr>
            </w:pPr>
          </w:p>
        </w:tc>
      </w:tr>
      <w:tr>
        <w:trPr>
          <w:trHeight w:val="197"/>
        </w:trPr>
        <w:tc>
          <w:tcPr>
            <w:tcW w:w="1520" w:type="dxa"/>
            <w:vAlign w:val="bottom"/>
            <w:tcBorders>
              <w:bottom w:val="single" w:sz="8" w:color="D7282F"/>
            </w:tcBorders>
            <w:vMerge w:val="continue"/>
          </w:tcPr>
          <w:p>
            <w:pPr>
              <w:spacing w:after="0"/>
              <w:rPr>
                <w:sz w:val="17"/>
                <w:szCs w:val="17"/>
                <w:color w:val="auto"/>
              </w:rPr>
            </w:pPr>
          </w:p>
        </w:tc>
        <w:tc>
          <w:tcPr>
            <w:tcW w:w="1180" w:type="dxa"/>
            <w:vAlign w:val="bottom"/>
            <w:tcBorders>
              <w:bottom w:val="single" w:sz="8" w:color="D7282F"/>
            </w:tcBorders>
            <w:vMerge w:val="continue"/>
          </w:tcPr>
          <w:p>
            <w:pPr>
              <w:spacing w:after="0"/>
              <w:rPr>
                <w:sz w:val="17"/>
                <w:szCs w:val="17"/>
                <w:color w:val="auto"/>
              </w:rPr>
            </w:pPr>
          </w:p>
        </w:tc>
        <w:tc>
          <w:tcPr>
            <w:tcW w:w="1120" w:type="dxa"/>
            <w:vAlign w:val="bottom"/>
            <w:tcBorders>
              <w:bottom w:val="single" w:sz="8" w:color="D7282F"/>
            </w:tcBorders>
            <w:vMerge w:val="continue"/>
          </w:tcPr>
          <w:p>
            <w:pPr>
              <w:spacing w:after="0"/>
              <w:rPr>
                <w:sz w:val="17"/>
                <w:szCs w:val="17"/>
                <w:color w:val="auto"/>
              </w:rPr>
            </w:pPr>
          </w:p>
        </w:tc>
        <w:tc>
          <w:tcPr>
            <w:tcW w:w="1460" w:type="dxa"/>
            <w:vAlign w:val="bottom"/>
            <w:tcBorders>
              <w:bottom w:val="single" w:sz="8" w:color="D7282F"/>
            </w:tcBorders>
          </w:tcPr>
          <w:p>
            <w:pPr>
              <w:jc w:val="center"/>
              <w:ind w:left="8"/>
              <w:spacing w:after="0"/>
              <w:rPr>
                <w:sz w:val="20"/>
                <w:szCs w:val="20"/>
                <w:color w:val="auto"/>
              </w:rPr>
            </w:pPr>
            <w:r>
              <w:rPr>
                <w:rFonts w:ascii="Arial" w:cs="Arial" w:eastAsia="Arial" w:hAnsi="Arial"/>
                <w:sz w:val="14"/>
                <w:szCs w:val="14"/>
                <w:b w:val="1"/>
                <w:bCs w:val="1"/>
                <w:color w:val="auto"/>
              </w:rPr>
              <w:t>plan</w:t>
            </w:r>
          </w:p>
        </w:tc>
        <w:tc>
          <w:tcPr>
            <w:tcW w:w="1460" w:type="dxa"/>
            <w:vAlign w:val="bottom"/>
            <w:tcBorders>
              <w:bottom w:val="single" w:sz="8" w:color="D7282F"/>
            </w:tcBorders>
          </w:tcPr>
          <w:p>
            <w:pPr>
              <w:jc w:val="center"/>
              <w:ind w:right="28"/>
              <w:spacing w:after="0"/>
              <w:rPr>
                <w:sz w:val="20"/>
                <w:szCs w:val="20"/>
                <w:color w:val="auto"/>
              </w:rPr>
            </w:pPr>
            <w:r>
              <w:rPr>
                <w:rFonts w:ascii="Arial" w:cs="Arial" w:eastAsia="Arial" w:hAnsi="Arial"/>
                <w:sz w:val="14"/>
                <w:szCs w:val="14"/>
                <w:b w:val="1"/>
                <w:bCs w:val="1"/>
                <w:color w:val="auto"/>
              </w:rPr>
              <w:t>10b5-1 trading plan</w:t>
            </w:r>
          </w:p>
        </w:tc>
        <w:tc>
          <w:tcPr>
            <w:tcW w:w="4500" w:type="dxa"/>
            <w:vAlign w:val="bottom"/>
            <w:tcBorders>
              <w:bottom w:val="single" w:sz="8" w:color="D7282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1520" w:type="dxa"/>
            <w:vAlign w:val="bottom"/>
          </w:tcPr>
          <w:p>
            <w:pPr>
              <w:ind w:left="20"/>
              <w:spacing w:after="0" w:line="143" w:lineRule="exact"/>
              <w:rPr>
                <w:sz w:val="20"/>
                <w:szCs w:val="20"/>
                <w:color w:val="auto"/>
              </w:rPr>
            </w:pPr>
            <w:r>
              <w:rPr>
                <w:rFonts w:ascii="Arial" w:cs="Arial" w:eastAsia="Arial" w:hAnsi="Arial"/>
                <w:sz w:val="14"/>
                <w:szCs w:val="14"/>
                <w:color w:val="auto"/>
              </w:rPr>
              <w:t>Grace D. Lieblein</w:t>
            </w:r>
          </w:p>
        </w:tc>
        <w:tc>
          <w:tcPr>
            <w:tcW w:w="1180" w:type="dxa"/>
            <w:vAlign w:val="bottom"/>
          </w:tcPr>
          <w:p>
            <w:pPr>
              <w:jc w:val="center"/>
              <w:ind w:left="68"/>
              <w:spacing w:after="0" w:line="143" w:lineRule="exact"/>
              <w:rPr>
                <w:sz w:val="20"/>
                <w:szCs w:val="20"/>
                <w:color w:val="auto"/>
              </w:rPr>
            </w:pPr>
            <w:r>
              <w:rPr>
                <w:rFonts w:ascii="Arial" w:cs="Arial" w:eastAsia="Arial" w:hAnsi="Arial"/>
                <w:sz w:val="14"/>
                <w:szCs w:val="14"/>
                <w:color w:val="auto"/>
              </w:rPr>
              <w:t>Adoption</w:t>
            </w:r>
          </w:p>
        </w:tc>
        <w:tc>
          <w:tcPr>
            <w:tcW w:w="1120" w:type="dxa"/>
            <w:vAlign w:val="bottom"/>
          </w:tcPr>
          <w:p>
            <w:pPr>
              <w:jc w:val="center"/>
              <w:ind w:left="68"/>
              <w:spacing w:after="0" w:line="143" w:lineRule="exact"/>
              <w:rPr>
                <w:sz w:val="20"/>
                <w:szCs w:val="20"/>
                <w:color w:val="auto"/>
              </w:rPr>
            </w:pPr>
            <w:r>
              <w:rPr>
                <w:rFonts w:ascii="Arial" w:cs="Arial" w:eastAsia="Arial" w:hAnsi="Arial"/>
                <w:sz w:val="14"/>
                <w:szCs w:val="14"/>
                <w:color w:val="auto"/>
              </w:rPr>
              <w:t>Rule 10b5-1</w:t>
            </w:r>
          </w:p>
        </w:tc>
        <w:tc>
          <w:tcPr>
            <w:tcW w:w="1460" w:type="dxa"/>
            <w:vAlign w:val="bottom"/>
          </w:tcPr>
          <w:p>
            <w:pPr>
              <w:jc w:val="center"/>
              <w:spacing w:after="0" w:line="143" w:lineRule="exact"/>
              <w:rPr>
                <w:sz w:val="20"/>
                <w:szCs w:val="20"/>
                <w:color w:val="auto"/>
              </w:rPr>
            </w:pPr>
            <w:r>
              <w:rPr>
                <w:rFonts w:ascii="Arial" w:cs="Arial" w:eastAsia="Arial" w:hAnsi="Arial"/>
                <w:sz w:val="14"/>
                <w:szCs w:val="14"/>
                <w:color w:val="auto"/>
              </w:rPr>
              <w:t>2/5/2024</w:t>
            </w:r>
          </w:p>
        </w:tc>
        <w:tc>
          <w:tcPr>
            <w:tcW w:w="1460" w:type="dxa"/>
            <w:vAlign w:val="bottom"/>
          </w:tcPr>
          <w:p>
            <w:pPr>
              <w:jc w:val="center"/>
              <w:ind w:right="28"/>
              <w:spacing w:after="0" w:line="143" w:lineRule="exact"/>
              <w:rPr>
                <w:sz w:val="20"/>
                <w:szCs w:val="20"/>
                <w:color w:val="auto"/>
              </w:rPr>
            </w:pPr>
            <w:r>
              <w:rPr>
                <w:rFonts w:ascii="Arial" w:cs="Arial" w:eastAsia="Arial" w:hAnsi="Arial"/>
                <w:sz w:val="14"/>
                <w:szCs w:val="14"/>
                <w:color w:val="auto"/>
              </w:rPr>
              <w:t>5/6/2025</w:t>
            </w:r>
          </w:p>
        </w:tc>
        <w:tc>
          <w:tcPr>
            <w:tcW w:w="4500" w:type="dxa"/>
            <w:vAlign w:val="bottom"/>
          </w:tcPr>
          <w:p>
            <w:pPr>
              <w:jc w:val="center"/>
              <w:ind w:right="28"/>
              <w:spacing w:after="0" w:line="143" w:lineRule="exact"/>
              <w:rPr>
                <w:sz w:val="20"/>
                <w:szCs w:val="20"/>
                <w:color w:val="auto"/>
              </w:rPr>
            </w:pPr>
            <w:r>
              <w:rPr>
                <w:rFonts w:ascii="Arial" w:cs="Arial" w:eastAsia="Arial" w:hAnsi="Arial"/>
                <w:sz w:val="14"/>
                <w:szCs w:val="14"/>
                <w:color w:val="auto"/>
              </w:rPr>
              <w:t>6,441 stock options and associated sale of shares to cover option</w:t>
            </w:r>
          </w:p>
        </w:tc>
        <w:tc>
          <w:tcPr>
            <w:tcW w:w="0" w:type="dxa"/>
            <w:vAlign w:val="bottom"/>
          </w:tcPr>
          <w:p>
            <w:pPr>
              <w:spacing w:after="0"/>
              <w:rPr>
                <w:sz w:val="1"/>
                <w:szCs w:val="1"/>
                <w:color w:val="auto"/>
              </w:rPr>
            </w:pPr>
          </w:p>
        </w:tc>
      </w:tr>
      <w:tr>
        <w:trPr>
          <w:trHeight w:val="189"/>
        </w:trPr>
        <w:tc>
          <w:tcPr>
            <w:tcW w:w="15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Director</w:t>
            </w:r>
          </w:p>
        </w:tc>
        <w:tc>
          <w:tcPr>
            <w:tcW w:w="1180" w:type="dxa"/>
            <w:vAlign w:val="bottom"/>
            <w:tcBorders>
              <w:bottom w:val="single" w:sz="8" w:color="D7282F"/>
            </w:tcBorders>
          </w:tcPr>
          <w:p>
            <w:pPr>
              <w:spacing w:after="0"/>
              <w:rPr>
                <w:sz w:val="16"/>
                <w:szCs w:val="16"/>
                <w:color w:val="auto"/>
              </w:rPr>
            </w:pPr>
          </w:p>
        </w:tc>
        <w:tc>
          <w:tcPr>
            <w:tcW w:w="1120" w:type="dxa"/>
            <w:vAlign w:val="bottom"/>
            <w:tcBorders>
              <w:bottom w:val="single" w:sz="8" w:color="D7282F"/>
            </w:tcBorders>
          </w:tcPr>
          <w:p>
            <w:pPr>
              <w:spacing w:after="0"/>
              <w:rPr>
                <w:sz w:val="16"/>
                <w:szCs w:val="16"/>
                <w:color w:val="auto"/>
              </w:rPr>
            </w:pPr>
          </w:p>
        </w:tc>
        <w:tc>
          <w:tcPr>
            <w:tcW w:w="1460" w:type="dxa"/>
            <w:vAlign w:val="bottom"/>
            <w:tcBorders>
              <w:bottom w:val="single" w:sz="8" w:color="D7282F"/>
            </w:tcBorders>
          </w:tcPr>
          <w:p>
            <w:pPr>
              <w:spacing w:after="0"/>
              <w:rPr>
                <w:sz w:val="16"/>
                <w:szCs w:val="16"/>
                <w:color w:val="auto"/>
              </w:rPr>
            </w:pPr>
          </w:p>
        </w:tc>
        <w:tc>
          <w:tcPr>
            <w:tcW w:w="1460" w:type="dxa"/>
            <w:vAlign w:val="bottom"/>
            <w:tcBorders>
              <w:bottom w:val="single" w:sz="8" w:color="D7282F"/>
            </w:tcBorders>
          </w:tcPr>
          <w:p>
            <w:pPr>
              <w:spacing w:after="0"/>
              <w:rPr>
                <w:sz w:val="16"/>
                <w:szCs w:val="16"/>
                <w:color w:val="auto"/>
              </w:rPr>
            </w:pPr>
          </w:p>
        </w:tc>
        <w:tc>
          <w:tcPr>
            <w:tcW w:w="4500" w:type="dxa"/>
            <w:vAlign w:val="bottom"/>
            <w:tcBorders>
              <w:bottom w:val="single" w:sz="8" w:color="D7282F"/>
            </w:tcBorders>
          </w:tcPr>
          <w:p>
            <w:pPr>
              <w:jc w:val="center"/>
              <w:ind w:right="28"/>
              <w:spacing w:after="0"/>
              <w:rPr>
                <w:sz w:val="20"/>
                <w:szCs w:val="20"/>
                <w:color w:val="auto"/>
              </w:rPr>
            </w:pPr>
            <w:r>
              <w:rPr>
                <w:rFonts w:ascii="Arial" w:cs="Arial" w:eastAsia="Arial" w:hAnsi="Arial"/>
                <w:sz w:val="14"/>
                <w:szCs w:val="14"/>
                <w:color w:val="auto"/>
              </w:rPr>
              <w:t>exercise costs and tax obligations.</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During the three months ended March 31, 2024, none of our executive officers or directors terminated or modified a "Rule 10b5-1 trading agreement", or adopted, terminated, or modified any "non-Rule 10b5-1 trading arrangement" (as defined in Item 408(c) of Regulation S-K).</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00" w:hanging="392"/>
        <w:spacing w:after="0"/>
        <w:tabs>
          <w:tab w:leader="none" w:pos="400" w:val="left"/>
        </w:tabs>
        <w:numPr>
          <w:ilvl w:val="0"/>
          <w:numId w:val="53"/>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ITEM 6. EXHIBITS</w:t>
      </w:r>
    </w:p>
    <w:p>
      <w:pPr>
        <w:spacing w:after="0" w:line="200" w:lineRule="exact"/>
        <w:rPr>
          <w:sz w:val="20"/>
          <w:szCs w:val="20"/>
          <w:color w:val="auto"/>
        </w:rPr>
      </w:pPr>
    </w:p>
    <w:p>
      <w:pPr>
        <w:spacing w:after="0" w:line="238"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10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Exhibit No.</w:t>
            </w:r>
          </w:p>
        </w:tc>
        <w:tc>
          <w:tcPr>
            <w:tcW w:w="10120" w:type="dxa"/>
            <w:vAlign w:val="bottom"/>
            <w:tcBorders>
              <w:bottom w:val="single" w:sz="8" w:color="D7282F"/>
            </w:tcBorders>
          </w:tcPr>
          <w:p>
            <w:pPr>
              <w:ind w:left="300"/>
              <w:spacing w:after="0"/>
              <w:rPr>
                <w:sz w:val="20"/>
                <w:szCs w:val="20"/>
                <w:color w:val="auto"/>
              </w:rPr>
            </w:pPr>
            <w:r>
              <w:rPr>
                <w:rFonts w:ascii="Arial" w:cs="Arial" w:eastAsia="Arial" w:hAnsi="Arial"/>
                <w:sz w:val="14"/>
                <w:szCs w:val="14"/>
                <w:b w:val="1"/>
                <w:bCs w:val="1"/>
                <w:color w:val="auto"/>
              </w:rPr>
              <w:t>Description</w:t>
            </w:r>
          </w:p>
        </w:tc>
      </w:tr>
      <w:tr>
        <w:trPr>
          <w:trHeight w:val="143"/>
        </w:trPr>
        <w:tc>
          <w:tcPr>
            <w:tcW w:w="1080" w:type="dxa"/>
            <w:vAlign w:val="bottom"/>
          </w:tcPr>
          <w:p>
            <w:pPr>
              <w:ind w:left="20"/>
              <w:spacing w:after="0" w:line="143" w:lineRule="exact"/>
              <w:rPr>
                <w:sz w:val="20"/>
                <w:szCs w:val="20"/>
                <w:color w:val="auto"/>
              </w:rPr>
            </w:pPr>
            <w:r>
              <w:rPr>
                <w:rFonts w:ascii="Arial" w:cs="Arial" w:eastAsia="Arial" w:hAnsi="Arial"/>
                <w:sz w:val="14"/>
                <w:szCs w:val="14"/>
                <w:color w:val="auto"/>
              </w:rPr>
              <w:t>10.1</w:t>
            </w:r>
          </w:p>
        </w:tc>
        <w:tc>
          <w:tcPr>
            <w:tcW w:w="10120" w:type="dxa"/>
            <w:vAlign w:val="bottom"/>
          </w:tcPr>
          <w:p>
            <w:pPr>
              <w:ind w:left="300"/>
              <w:spacing w:after="0" w:line="143" w:lineRule="exact"/>
              <w:rPr>
                <w:rFonts w:ascii="Arial" w:cs="Arial" w:eastAsia="Arial" w:hAnsi="Arial"/>
                <w:sz w:val="14"/>
                <w:szCs w:val="14"/>
                <w:color w:val="auto"/>
              </w:rPr>
            </w:pPr>
            <w:hyperlink r:id="rId82">
              <w:r>
                <w:rPr>
                  <w:rFonts w:ascii="Arial" w:cs="Arial" w:eastAsia="Arial" w:hAnsi="Arial"/>
                  <w:sz w:val="14"/>
                  <w:szCs w:val="14"/>
                  <w:color w:val="auto"/>
                </w:rPr>
                <w:t>364-Day Credit Agreement, dated as of March 18, 2024, among Honeywell International Inc., the banks, financial institutions, and other institutional</w:t>
              </w:r>
            </w:hyperlink>
          </w:p>
        </w:tc>
      </w:tr>
      <w:tr>
        <w:trPr>
          <w:trHeight w:val="139"/>
        </w:trPr>
        <w:tc>
          <w:tcPr>
            <w:tcW w:w="1080" w:type="dxa"/>
            <w:vAlign w:val="bottom"/>
          </w:tcPr>
          <w:p>
            <w:pPr>
              <w:spacing w:after="0"/>
              <w:rPr>
                <w:sz w:val="12"/>
                <w:szCs w:val="12"/>
                <w:color w:val="auto"/>
              </w:rPr>
            </w:pPr>
          </w:p>
        </w:tc>
        <w:tc>
          <w:tcPr>
            <w:tcW w:w="10120" w:type="dxa"/>
            <w:vAlign w:val="bottom"/>
          </w:tcPr>
          <w:p>
            <w:pPr>
              <w:ind w:left="300"/>
              <w:spacing w:after="0" w:line="139" w:lineRule="exact"/>
              <w:rPr>
                <w:rFonts w:ascii="Arial" w:cs="Arial" w:eastAsia="Arial" w:hAnsi="Arial"/>
                <w:sz w:val="14"/>
                <w:szCs w:val="14"/>
                <w:color w:val="auto"/>
              </w:rPr>
            </w:pPr>
            <w:hyperlink r:id="rId82">
              <w:r>
                <w:rPr>
                  <w:rFonts w:ascii="Arial" w:cs="Arial" w:eastAsia="Arial" w:hAnsi="Arial"/>
                  <w:sz w:val="14"/>
                  <w:szCs w:val="14"/>
                  <w:color w:val="auto"/>
                </w:rPr>
                <w:t>lenders parties thereto, Bank of America, N.A. as administrative agent, and JPMorgan Chase Bank, N.A. and Wells Fargo Bank, National Association, as</w:t>
              </w:r>
            </w:hyperlink>
          </w:p>
        </w:tc>
      </w:tr>
      <w:tr>
        <w:trPr>
          <w:trHeight w:val="148"/>
        </w:trPr>
        <w:tc>
          <w:tcPr>
            <w:tcW w:w="1080" w:type="dxa"/>
            <w:vAlign w:val="bottom"/>
          </w:tcPr>
          <w:p>
            <w:pPr>
              <w:spacing w:after="0"/>
              <w:rPr>
                <w:sz w:val="12"/>
                <w:szCs w:val="12"/>
                <w:color w:val="auto"/>
              </w:rPr>
            </w:pPr>
          </w:p>
        </w:tc>
        <w:tc>
          <w:tcPr>
            <w:tcW w:w="10120" w:type="dxa"/>
            <w:vAlign w:val="bottom"/>
          </w:tcPr>
          <w:p>
            <w:pPr>
              <w:ind w:left="300"/>
              <w:spacing w:after="0" w:line="149" w:lineRule="exact"/>
              <w:rPr>
                <w:rFonts w:ascii="Arial" w:cs="Arial" w:eastAsia="Arial" w:hAnsi="Arial"/>
                <w:sz w:val="14"/>
                <w:szCs w:val="14"/>
                <w:color w:val="auto"/>
              </w:rPr>
            </w:pPr>
            <w:hyperlink r:id="rId82">
              <w:r>
                <w:rPr>
                  <w:rFonts w:ascii="Arial" w:cs="Arial" w:eastAsia="Arial" w:hAnsi="Arial"/>
                  <w:sz w:val="14"/>
                  <w:szCs w:val="14"/>
                  <w:color w:val="auto"/>
                </w:rPr>
                <w:t>syndication agents, and the documentation agents named therein (incorporated by reference to Exhibit 10.1 to Honeywell's Form 8-K filed March 19,</w:t>
              </w:r>
            </w:hyperlink>
          </w:p>
        </w:tc>
      </w:tr>
      <w:tr>
        <w:trPr>
          <w:trHeight w:val="194"/>
        </w:trPr>
        <w:tc>
          <w:tcPr>
            <w:tcW w:w="1080" w:type="dxa"/>
            <w:vAlign w:val="bottom"/>
            <w:tcBorders>
              <w:bottom w:val="single" w:sz="8" w:color="61656A"/>
            </w:tcBorders>
          </w:tcPr>
          <w:p>
            <w:pPr>
              <w:spacing w:after="0"/>
              <w:rPr>
                <w:sz w:val="16"/>
                <w:szCs w:val="16"/>
                <w:color w:val="auto"/>
              </w:rPr>
            </w:pPr>
          </w:p>
        </w:tc>
        <w:tc>
          <w:tcPr>
            <w:tcW w:w="10120" w:type="dxa"/>
            <w:vAlign w:val="bottom"/>
            <w:tcBorders>
              <w:bottom w:val="single" w:sz="8" w:color="61656A"/>
            </w:tcBorders>
          </w:tcPr>
          <w:p>
            <w:pPr>
              <w:ind w:left="300"/>
              <w:spacing w:after="0"/>
              <w:rPr>
                <w:rFonts w:ascii="Arial" w:cs="Arial" w:eastAsia="Arial" w:hAnsi="Arial"/>
                <w:sz w:val="14"/>
                <w:szCs w:val="14"/>
                <w:color w:val="auto"/>
              </w:rPr>
            </w:pPr>
            <w:hyperlink r:id="rId82">
              <w:r>
                <w:rPr>
                  <w:rFonts w:ascii="Arial" w:cs="Arial" w:eastAsia="Arial" w:hAnsi="Arial"/>
                  <w:sz w:val="14"/>
                  <w:szCs w:val="14"/>
                  <w:color w:val="auto"/>
                </w:rPr>
                <w:t>2024)</w:t>
              </w:r>
            </w:hyperlink>
          </w:p>
        </w:tc>
      </w:tr>
      <w:tr>
        <w:trPr>
          <w:trHeight w:val="146"/>
        </w:trPr>
        <w:tc>
          <w:tcPr>
            <w:tcW w:w="1080" w:type="dxa"/>
            <w:vAlign w:val="bottom"/>
          </w:tcPr>
          <w:p>
            <w:pPr>
              <w:ind w:left="20"/>
              <w:spacing w:after="0" w:line="146" w:lineRule="exact"/>
              <w:rPr>
                <w:sz w:val="20"/>
                <w:szCs w:val="20"/>
                <w:color w:val="auto"/>
              </w:rPr>
            </w:pPr>
            <w:r>
              <w:rPr>
                <w:rFonts w:ascii="Arial" w:cs="Arial" w:eastAsia="Arial" w:hAnsi="Arial"/>
                <w:sz w:val="14"/>
                <w:szCs w:val="14"/>
                <w:color w:val="auto"/>
              </w:rPr>
              <w:t>10.2</w:t>
            </w:r>
          </w:p>
        </w:tc>
        <w:tc>
          <w:tcPr>
            <w:tcW w:w="10120" w:type="dxa"/>
            <w:vAlign w:val="bottom"/>
          </w:tcPr>
          <w:p>
            <w:pPr>
              <w:ind w:left="300"/>
              <w:spacing w:after="0" w:line="146" w:lineRule="exact"/>
              <w:rPr>
                <w:rFonts w:ascii="Arial" w:cs="Arial" w:eastAsia="Arial" w:hAnsi="Arial"/>
                <w:sz w:val="14"/>
                <w:szCs w:val="14"/>
                <w:color w:val="auto"/>
              </w:rPr>
            </w:pPr>
            <w:hyperlink r:id="rId83">
              <w:r>
                <w:rPr>
                  <w:rFonts w:ascii="Arial" w:cs="Arial" w:eastAsia="Arial" w:hAnsi="Arial"/>
                  <w:sz w:val="14"/>
                  <w:szCs w:val="14"/>
                  <w:color w:val="auto"/>
                </w:rPr>
                <w:t>Amended and Restated Five-Year Credit Agreement, dated as of March 18, 2024, among Honeywell International Inc., the banks, financial institutions,</w:t>
              </w:r>
            </w:hyperlink>
          </w:p>
        </w:tc>
      </w:tr>
      <w:tr>
        <w:trPr>
          <w:trHeight w:val="139"/>
        </w:trPr>
        <w:tc>
          <w:tcPr>
            <w:tcW w:w="1080" w:type="dxa"/>
            <w:vAlign w:val="bottom"/>
          </w:tcPr>
          <w:p>
            <w:pPr>
              <w:spacing w:after="0"/>
              <w:rPr>
                <w:sz w:val="12"/>
                <w:szCs w:val="12"/>
                <w:color w:val="auto"/>
              </w:rPr>
            </w:pPr>
          </w:p>
        </w:tc>
        <w:tc>
          <w:tcPr>
            <w:tcW w:w="10120" w:type="dxa"/>
            <w:vAlign w:val="bottom"/>
          </w:tcPr>
          <w:p>
            <w:pPr>
              <w:ind w:left="300"/>
              <w:spacing w:after="0" w:line="139" w:lineRule="exact"/>
              <w:rPr>
                <w:rFonts w:ascii="Arial" w:cs="Arial" w:eastAsia="Arial" w:hAnsi="Arial"/>
                <w:sz w:val="14"/>
                <w:szCs w:val="14"/>
                <w:color w:val="auto"/>
              </w:rPr>
            </w:pPr>
            <w:hyperlink r:id="rId83">
              <w:r>
                <w:rPr>
                  <w:rFonts w:ascii="Arial" w:cs="Arial" w:eastAsia="Arial" w:hAnsi="Arial"/>
                  <w:sz w:val="14"/>
                  <w:szCs w:val="14"/>
                  <w:color w:val="auto"/>
                </w:rPr>
                <w:t>and other institutional lenders party thereto, Bank of America, N.A., as administrative agent, Bank of America, N.A., as swing line agent, and JPMorgan</w:t>
              </w:r>
            </w:hyperlink>
          </w:p>
        </w:tc>
      </w:tr>
      <w:tr>
        <w:trPr>
          <w:trHeight w:val="148"/>
        </w:trPr>
        <w:tc>
          <w:tcPr>
            <w:tcW w:w="1080" w:type="dxa"/>
            <w:vAlign w:val="bottom"/>
          </w:tcPr>
          <w:p>
            <w:pPr>
              <w:spacing w:after="0"/>
              <w:rPr>
                <w:sz w:val="12"/>
                <w:szCs w:val="12"/>
                <w:color w:val="auto"/>
              </w:rPr>
            </w:pPr>
          </w:p>
        </w:tc>
        <w:tc>
          <w:tcPr>
            <w:tcW w:w="10120" w:type="dxa"/>
            <w:vAlign w:val="bottom"/>
          </w:tcPr>
          <w:p>
            <w:pPr>
              <w:ind w:left="300"/>
              <w:spacing w:after="0" w:line="149" w:lineRule="exact"/>
              <w:rPr>
                <w:rFonts w:ascii="Arial" w:cs="Arial" w:eastAsia="Arial" w:hAnsi="Arial"/>
                <w:sz w:val="14"/>
                <w:szCs w:val="14"/>
                <w:color w:val="auto"/>
              </w:rPr>
            </w:pPr>
            <w:hyperlink r:id="rId83">
              <w:r>
                <w:rPr>
                  <w:rFonts w:ascii="Arial" w:cs="Arial" w:eastAsia="Arial" w:hAnsi="Arial"/>
                  <w:sz w:val="14"/>
                  <w:szCs w:val="14"/>
                  <w:color w:val="auto"/>
                </w:rPr>
                <w:t>Chase Bank, N.A. and Wells Fargo Bank, National Association, as syndication agents, and the documentation agents named therein (incorporated by</w:t>
              </w:r>
            </w:hyperlink>
          </w:p>
        </w:tc>
      </w:tr>
      <w:tr>
        <w:trPr>
          <w:trHeight w:val="194"/>
        </w:trPr>
        <w:tc>
          <w:tcPr>
            <w:tcW w:w="1080" w:type="dxa"/>
            <w:vAlign w:val="bottom"/>
            <w:tcBorders>
              <w:bottom w:val="single" w:sz="8" w:color="61656A"/>
            </w:tcBorders>
          </w:tcPr>
          <w:p>
            <w:pPr>
              <w:spacing w:after="0"/>
              <w:rPr>
                <w:sz w:val="16"/>
                <w:szCs w:val="16"/>
                <w:color w:val="auto"/>
              </w:rPr>
            </w:pPr>
          </w:p>
        </w:tc>
        <w:tc>
          <w:tcPr>
            <w:tcW w:w="10120" w:type="dxa"/>
            <w:vAlign w:val="bottom"/>
            <w:tcBorders>
              <w:bottom w:val="single" w:sz="8" w:color="61656A"/>
            </w:tcBorders>
          </w:tcPr>
          <w:p>
            <w:pPr>
              <w:ind w:left="300"/>
              <w:spacing w:after="0"/>
              <w:rPr>
                <w:rFonts w:ascii="Arial" w:cs="Arial" w:eastAsia="Arial" w:hAnsi="Arial"/>
                <w:sz w:val="14"/>
                <w:szCs w:val="14"/>
                <w:color w:val="auto"/>
              </w:rPr>
            </w:pPr>
            <w:hyperlink r:id="rId83">
              <w:r>
                <w:rPr>
                  <w:rFonts w:ascii="Arial" w:cs="Arial" w:eastAsia="Arial" w:hAnsi="Arial"/>
                  <w:sz w:val="14"/>
                  <w:szCs w:val="14"/>
                  <w:color w:val="auto"/>
                </w:rPr>
                <w:t>reference to Exhibit 10.2 to Honeywell's Form 8-K filed March 19, 2024)</w:t>
              </w:r>
            </w:hyperlink>
          </w:p>
        </w:tc>
      </w:tr>
      <w:tr>
        <w:trPr>
          <w:trHeight w:val="146"/>
        </w:trPr>
        <w:tc>
          <w:tcPr>
            <w:tcW w:w="1080" w:type="dxa"/>
            <w:vAlign w:val="bottom"/>
          </w:tcPr>
          <w:p>
            <w:pPr>
              <w:ind w:left="20"/>
              <w:spacing w:after="0" w:line="146" w:lineRule="exact"/>
              <w:rPr>
                <w:sz w:val="20"/>
                <w:szCs w:val="20"/>
                <w:color w:val="auto"/>
              </w:rPr>
            </w:pPr>
            <w:r>
              <w:rPr>
                <w:rFonts w:ascii="Arial" w:cs="Arial" w:eastAsia="Arial" w:hAnsi="Arial"/>
                <w:sz w:val="14"/>
                <w:szCs w:val="14"/>
                <w:color w:val="auto"/>
              </w:rPr>
              <w:t>10.3</w:t>
            </w:r>
          </w:p>
        </w:tc>
        <w:tc>
          <w:tcPr>
            <w:tcW w:w="10120" w:type="dxa"/>
            <w:vAlign w:val="bottom"/>
          </w:tcPr>
          <w:p>
            <w:pPr>
              <w:ind w:left="300"/>
              <w:spacing w:after="0" w:line="146" w:lineRule="exact"/>
              <w:rPr>
                <w:sz w:val="20"/>
                <w:szCs w:val="20"/>
                <w:color w:val="auto"/>
              </w:rPr>
            </w:pPr>
            <w:r>
              <w:rPr>
                <w:rFonts w:ascii="Arial" w:cs="Arial" w:eastAsia="Arial" w:hAnsi="Arial"/>
                <w:sz w:val="14"/>
                <w:szCs w:val="14"/>
                <w:color w:val="auto"/>
              </w:rPr>
              <w:t>Fifth Amendment, dated April 14, 2024, to Indemnification and Reimbursement Agreement dated October 14, 2018 among Honeywell and Resideo</w:t>
            </w:r>
          </w:p>
        </w:tc>
      </w:tr>
      <w:tr>
        <w:trPr>
          <w:trHeight w:val="189"/>
        </w:trPr>
        <w:tc>
          <w:tcPr>
            <w:tcW w:w="1080" w:type="dxa"/>
            <w:vAlign w:val="bottom"/>
            <w:tcBorders>
              <w:bottom w:val="single" w:sz="8" w:color="61656A"/>
            </w:tcBorders>
          </w:tcPr>
          <w:p>
            <w:pPr>
              <w:spacing w:after="0"/>
              <w:rPr>
                <w:sz w:val="16"/>
                <w:szCs w:val="16"/>
                <w:color w:val="auto"/>
              </w:rPr>
            </w:pPr>
          </w:p>
        </w:tc>
        <w:tc>
          <w:tcPr>
            <w:tcW w:w="10120" w:type="dxa"/>
            <w:vAlign w:val="bottom"/>
            <w:tcBorders>
              <w:bottom w:val="single" w:sz="8" w:color="61656A"/>
            </w:tcBorders>
          </w:tcPr>
          <w:p>
            <w:pPr>
              <w:ind w:left="300"/>
              <w:spacing w:after="0"/>
              <w:rPr>
                <w:sz w:val="20"/>
                <w:szCs w:val="20"/>
                <w:color w:val="auto"/>
              </w:rPr>
            </w:pPr>
            <w:r>
              <w:rPr>
                <w:rFonts w:ascii="Arial" w:cs="Arial" w:eastAsia="Arial" w:hAnsi="Arial"/>
                <w:sz w:val="14"/>
                <w:szCs w:val="14"/>
                <w:color w:val="auto"/>
              </w:rPr>
              <w:t>Intermediate Holding Inc. (filed herewith)</w:t>
            </w:r>
          </w:p>
        </w:tc>
      </w:tr>
      <w:tr>
        <w:trPr>
          <w:trHeight w:val="192"/>
        </w:trPr>
        <w:tc>
          <w:tcPr>
            <w:tcW w:w="10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31.1</w:t>
            </w:r>
          </w:p>
        </w:tc>
        <w:tc>
          <w:tcPr>
            <w:tcW w:w="10120" w:type="dxa"/>
            <w:vAlign w:val="bottom"/>
            <w:tcBorders>
              <w:bottom w:val="single" w:sz="8" w:color="61656A"/>
            </w:tcBorders>
          </w:tcPr>
          <w:p>
            <w:pPr>
              <w:ind w:left="300"/>
              <w:spacing w:after="0"/>
              <w:rPr>
                <w:sz w:val="20"/>
                <w:szCs w:val="20"/>
                <w:color w:val="auto"/>
              </w:rPr>
            </w:pPr>
            <w:r>
              <w:rPr>
                <w:rFonts w:ascii="Arial" w:cs="Arial" w:eastAsia="Arial" w:hAnsi="Arial"/>
                <w:sz w:val="14"/>
                <w:szCs w:val="14"/>
                <w:color w:val="auto"/>
              </w:rPr>
              <w:t>Certification of Principal Executive Officer Pursuant to Section 302 of the Sarbanes-Oxley Act of 2002 (filed herewith)</w:t>
            </w:r>
          </w:p>
        </w:tc>
      </w:tr>
      <w:tr>
        <w:trPr>
          <w:trHeight w:val="196"/>
        </w:trPr>
        <w:tc>
          <w:tcPr>
            <w:tcW w:w="10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31.2</w:t>
            </w:r>
          </w:p>
        </w:tc>
        <w:tc>
          <w:tcPr>
            <w:tcW w:w="10120" w:type="dxa"/>
            <w:vAlign w:val="bottom"/>
            <w:tcBorders>
              <w:bottom w:val="single" w:sz="8" w:color="61656A"/>
            </w:tcBorders>
          </w:tcPr>
          <w:p>
            <w:pPr>
              <w:ind w:left="300"/>
              <w:spacing w:after="0"/>
              <w:rPr>
                <w:sz w:val="20"/>
                <w:szCs w:val="20"/>
                <w:color w:val="auto"/>
              </w:rPr>
            </w:pPr>
            <w:r>
              <w:rPr>
                <w:rFonts w:ascii="Arial" w:cs="Arial" w:eastAsia="Arial" w:hAnsi="Arial"/>
                <w:sz w:val="14"/>
                <w:szCs w:val="14"/>
                <w:color w:val="auto"/>
              </w:rPr>
              <w:t>Certification of Principal Financial Officer Pursuant to Section 302 of the Sarbanes-Oxley Act of 2002 (filed herewith)</w:t>
            </w:r>
          </w:p>
        </w:tc>
      </w:tr>
      <w:tr>
        <w:trPr>
          <w:trHeight w:val="146"/>
        </w:trPr>
        <w:tc>
          <w:tcPr>
            <w:tcW w:w="1080" w:type="dxa"/>
            <w:vAlign w:val="bottom"/>
          </w:tcPr>
          <w:p>
            <w:pPr>
              <w:ind w:left="20"/>
              <w:spacing w:after="0" w:line="146" w:lineRule="exact"/>
              <w:rPr>
                <w:sz w:val="20"/>
                <w:szCs w:val="20"/>
                <w:color w:val="auto"/>
              </w:rPr>
            </w:pPr>
            <w:r>
              <w:rPr>
                <w:rFonts w:ascii="Arial" w:cs="Arial" w:eastAsia="Arial" w:hAnsi="Arial"/>
                <w:sz w:val="14"/>
                <w:szCs w:val="14"/>
                <w:color w:val="auto"/>
              </w:rPr>
              <w:t>32.1</w:t>
            </w:r>
          </w:p>
        </w:tc>
        <w:tc>
          <w:tcPr>
            <w:tcW w:w="10120" w:type="dxa"/>
            <w:vAlign w:val="bottom"/>
          </w:tcPr>
          <w:p>
            <w:pPr>
              <w:ind w:left="300"/>
              <w:spacing w:after="0" w:line="146" w:lineRule="exact"/>
              <w:rPr>
                <w:sz w:val="20"/>
                <w:szCs w:val="20"/>
                <w:color w:val="auto"/>
              </w:rPr>
            </w:pPr>
            <w:r>
              <w:rPr>
                <w:rFonts w:ascii="Arial" w:cs="Arial" w:eastAsia="Arial" w:hAnsi="Arial"/>
                <w:sz w:val="14"/>
                <w:szCs w:val="14"/>
                <w:color w:val="auto"/>
              </w:rPr>
              <w:t>Certification of Principal Executive Officer Pursuant to 18 U.S.C. Section 1350, as Adopted Pursuant to Section 906 of the Sarbanes-Oxley Act of 2002</w:t>
            </w:r>
          </w:p>
        </w:tc>
      </w:tr>
      <w:tr>
        <w:trPr>
          <w:trHeight w:val="189"/>
        </w:trPr>
        <w:tc>
          <w:tcPr>
            <w:tcW w:w="1080" w:type="dxa"/>
            <w:vAlign w:val="bottom"/>
            <w:tcBorders>
              <w:bottom w:val="single" w:sz="8" w:color="61656A"/>
            </w:tcBorders>
          </w:tcPr>
          <w:p>
            <w:pPr>
              <w:spacing w:after="0"/>
              <w:rPr>
                <w:sz w:val="16"/>
                <w:szCs w:val="16"/>
                <w:color w:val="auto"/>
              </w:rPr>
            </w:pPr>
          </w:p>
        </w:tc>
        <w:tc>
          <w:tcPr>
            <w:tcW w:w="10120" w:type="dxa"/>
            <w:vAlign w:val="bottom"/>
            <w:tcBorders>
              <w:bottom w:val="single" w:sz="8" w:color="61656A"/>
            </w:tcBorders>
          </w:tcPr>
          <w:p>
            <w:pPr>
              <w:ind w:left="300"/>
              <w:spacing w:after="0"/>
              <w:rPr>
                <w:sz w:val="20"/>
                <w:szCs w:val="20"/>
                <w:color w:val="auto"/>
              </w:rPr>
            </w:pPr>
            <w:r>
              <w:rPr>
                <w:rFonts w:ascii="Arial" w:cs="Arial" w:eastAsia="Arial" w:hAnsi="Arial"/>
                <w:sz w:val="14"/>
                <w:szCs w:val="14"/>
                <w:color w:val="auto"/>
              </w:rPr>
              <w:t>(furnished herewith)</w:t>
            </w:r>
          </w:p>
        </w:tc>
      </w:tr>
      <w:tr>
        <w:trPr>
          <w:trHeight w:val="142"/>
        </w:trPr>
        <w:tc>
          <w:tcPr>
            <w:tcW w:w="1080" w:type="dxa"/>
            <w:vAlign w:val="bottom"/>
          </w:tcPr>
          <w:p>
            <w:pPr>
              <w:ind w:left="20"/>
              <w:spacing w:after="0" w:line="142" w:lineRule="exact"/>
              <w:rPr>
                <w:sz w:val="20"/>
                <w:szCs w:val="20"/>
                <w:color w:val="auto"/>
              </w:rPr>
            </w:pPr>
            <w:r>
              <w:rPr>
                <w:rFonts w:ascii="Arial" w:cs="Arial" w:eastAsia="Arial" w:hAnsi="Arial"/>
                <w:sz w:val="14"/>
                <w:szCs w:val="14"/>
                <w:color w:val="auto"/>
              </w:rPr>
              <w:t>32.2</w:t>
            </w:r>
          </w:p>
        </w:tc>
        <w:tc>
          <w:tcPr>
            <w:tcW w:w="10120" w:type="dxa"/>
            <w:vAlign w:val="bottom"/>
          </w:tcPr>
          <w:p>
            <w:pPr>
              <w:ind w:left="300"/>
              <w:spacing w:after="0" w:line="142" w:lineRule="exact"/>
              <w:rPr>
                <w:sz w:val="20"/>
                <w:szCs w:val="20"/>
                <w:color w:val="auto"/>
              </w:rPr>
            </w:pPr>
            <w:r>
              <w:rPr>
                <w:rFonts w:ascii="Arial" w:cs="Arial" w:eastAsia="Arial" w:hAnsi="Arial"/>
                <w:sz w:val="14"/>
                <w:szCs w:val="14"/>
                <w:color w:val="auto"/>
              </w:rPr>
              <w:t>Certification of Principal Financial Officer Pursuant to 18 U.S.C. Section 1350, as Adopted Pursuant to Section 906 of the Sarbanes-Oxley Act of 2002</w:t>
            </w:r>
          </w:p>
        </w:tc>
      </w:tr>
      <w:tr>
        <w:trPr>
          <w:trHeight w:val="189"/>
        </w:trPr>
        <w:tc>
          <w:tcPr>
            <w:tcW w:w="1080" w:type="dxa"/>
            <w:vAlign w:val="bottom"/>
            <w:tcBorders>
              <w:bottom w:val="single" w:sz="8" w:color="61656A"/>
            </w:tcBorders>
          </w:tcPr>
          <w:p>
            <w:pPr>
              <w:spacing w:after="0"/>
              <w:rPr>
                <w:sz w:val="16"/>
                <w:szCs w:val="16"/>
                <w:color w:val="auto"/>
              </w:rPr>
            </w:pPr>
          </w:p>
        </w:tc>
        <w:tc>
          <w:tcPr>
            <w:tcW w:w="10120" w:type="dxa"/>
            <w:vAlign w:val="bottom"/>
            <w:tcBorders>
              <w:bottom w:val="single" w:sz="8" w:color="61656A"/>
            </w:tcBorders>
          </w:tcPr>
          <w:p>
            <w:pPr>
              <w:ind w:left="300"/>
              <w:spacing w:after="0"/>
              <w:rPr>
                <w:sz w:val="20"/>
                <w:szCs w:val="20"/>
                <w:color w:val="auto"/>
              </w:rPr>
            </w:pPr>
            <w:r>
              <w:rPr>
                <w:rFonts w:ascii="Arial" w:cs="Arial" w:eastAsia="Arial" w:hAnsi="Arial"/>
                <w:sz w:val="14"/>
                <w:szCs w:val="14"/>
                <w:color w:val="auto"/>
              </w:rPr>
              <w:t>(furnished herewith)</w:t>
            </w:r>
          </w:p>
        </w:tc>
      </w:tr>
      <w:tr>
        <w:trPr>
          <w:trHeight w:val="192"/>
        </w:trPr>
        <w:tc>
          <w:tcPr>
            <w:tcW w:w="10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95</w:t>
            </w:r>
          </w:p>
        </w:tc>
        <w:tc>
          <w:tcPr>
            <w:tcW w:w="10120" w:type="dxa"/>
            <w:vAlign w:val="bottom"/>
            <w:tcBorders>
              <w:bottom w:val="single" w:sz="8" w:color="61656A"/>
            </w:tcBorders>
          </w:tcPr>
          <w:p>
            <w:pPr>
              <w:ind w:left="300"/>
              <w:spacing w:after="0"/>
              <w:rPr>
                <w:sz w:val="20"/>
                <w:szCs w:val="20"/>
                <w:color w:val="auto"/>
              </w:rPr>
            </w:pPr>
            <w:r>
              <w:rPr>
                <w:rFonts w:ascii="Arial" w:cs="Arial" w:eastAsia="Arial" w:hAnsi="Arial"/>
                <w:sz w:val="14"/>
                <w:szCs w:val="14"/>
                <w:color w:val="auto"/>
              </w:rPr>
              <w:t>Mine Safety Disclosures (filed herewith)</w:t>
            </w:r>
          </w:p>
        </w:tc>
      </w:tr>
      <w:tr>
        <w:trPr>
          <w:trHeight w:val="146"/>
        </w:trPr>
        <w:tc>
          <w:tcPr>
            <w:tcW w:w="1080" w:type="dxa"/>
            <w:vAlign w:val="bottom"/>
          </w:tcPr>
          <w:p>
            <w:pPr>
              <w:ind w:left="20"/>
              <w:spacing w:after="0" w:line="146" w:lineRule="exact"/>
              <w:rPr>
                <w:sz w:val="20"/>
                <w:szCs w:val="20"/>
                <w:color w:val="auto"/>
              </w:rPr>
            </w:pPr>
            <w:r>
              <w:rPr>
                <w:rFonts w:ascii="Arial" w:cs="Arial" w:eastAsia="Arial" w:hAnsi="Arial"/>
                <w:sz w:val="14"/>
                <w:szCs w:val="14"/>
                <w:color w:val="auto"/>
              </w:rPr>
              <w:t>101.INS</w:t>
            </w:r>
          </w:p>
        </w:tc>
        <w:tc>
          <w:tcPr>
            <w:tcW w:w="10120" w:type="dxa"/>
            <w:vAlign w:val="bottom"/>
          </w:tcPr>
          <w:p>
            <w:pPr>
              <w:ind w:left="300"/>
              <w:spacing w:after="0" w:line="146" w:lineRule="exact"/>
              <w:rPr>
                <w:sz w:val="20"/>
                <w:szCs w:val="20"/>
                <w:color w:val="auto"/>
              </w:rPr>
            </w:pPr>
            <w:r>
              <w:rPr>
                <w:rFonts w:ascii="Arial" w:cs="Arial" w:eastAsia="Arial" w:hAnsi="Arial"/>
                <w:sz w:val="14"/>
                <w:szCs w:val="14"/>
                <w:color w:val="auto"/>
              </w:rPr>
              <w:t>Inline XBRL Instance Document (the instance document does not appear in the Interactive Data File because its XBRL tags are embedded within the</w:t>
            </w:r>
          </w:p>
        </w:tc>
      </w:tr>
      <w:tr>
        <w:trPr>
          <w:trHeight w:val="189"/>
        </w:trPr>
        <w:tc>
          <w:tcPr>
            <w:tcW w:w="1080" w:type="dxa"/>
            <w:vAlign w:val="bottom"/>
            <w:tcBorders>
              <w:bottom w:val="single" w:sz="8" w:color="61656A"/>
            </w:tcBorders>
          </w:tcPr>
          <w:p>
            <w:pPr>
              <w:spacing w:after="0"/>
              <w:rPr>
                <w:sz w:val="16"/>
                <w:szCs w:val="16"/>
                <w:color w:val="auto"/>
              </w:rPr>
            </w:pPr>
          </w:p>
        </w:tc>
        <w:tc>
          <w:tcPr>
            <w:tcW w:w="10120" w:type="dxa"/>
            <w:vAlign w:val="bottom"/>
            <w:tcBorders>
              <w:bottom w:val="single" w:sz="8" w:color="61656A"/>
            </w:tcBorders>
          </w:tcPr>
          <w:p>
            <w:pPr>
              <w:ind w:left="300"/>
              <w:spacing w:after="0"/>
              <w:rPr>
                <w:sz w:val="20"/>
                <w:szCs w:val="20"/>
                <w:color w:val="auto"/>
              </w:rPr>
            </w:pPr>
            <w:r>
              <w:rPr>
                <w:rFonts w:ascii="Arial" w:cs="Arial" w:eastAsia="Arial" w:hAnsi="Arial"/>
                <w:sz w:val="14"/>
                <w:szCs w:val="14"/>
                <w:color w:val="auto"/>
              </w:rPr>
              <w:t>Inline XBRL document)</w:t>
            </w:r>
          </w:p>
        </w:tc>
      </w:tr>
      <w:tr>
        <w:trPr>
          <w:trHeight w:val="192"/>
        </w:trPr>
        <w:tc>
          <w:tcPr>
            <w:tcW w:w="10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101.SCH</w:t>
            </w:r>
          </w:p>
        </w:tc>
        <w:tc>
          <w:tcPr>
            <w:tcW w:w="10120" w:type="dxa"/>
            <w:vAlign w:val="bottom"/>
            <w:tcBorders>
              <w:bottom w:val="single" w:sz="8" w:color="61656A"/>
            </w:tcBorders>
          </w:tcPr>
          <w:p>
            <w:pPr>
              <w:ind w:left="300"/>
              <w:spacing w:after="0"/>
              <w:rPr>
                <w:sz w:val="20"/>
                <w:szCs w:val="20"/>
                <w:color w:val="auto"/>
              </w:rPr>
            </w:pPr>
            <w:r>
              <w:rPr>
                <w:rFonts w:ascii="Arial" w:cs="Arial" w:eastAsia="Arial" w:hAnsi="Arial"/>
                <w:sz w:val="14"/>
                <w:szCs w:val="14"/>
                <w:color w:val="auto"/>
              </w:rPr>
              <w:t>Inline XBRL Taxonomy Extension Schema (filed herewith)</w:t>
            </w:r>
          </w:p>
        </w:tc>
      </w:tr>
      <w:tr>
        <w:trPr>
          <w:trHeight w:val="196"/>
        </w:trPr>
        <w:tc>
          <w:tcPr>
            <w:tcW w:w="10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101.CAL</w:t>
            </w:r>
          </w:p>
        </w:tc>
        <w:tc>
          <w:tcPr>
            <w:tcW w:w="10120" w:type="dxa"/>
            <w:vAlign w:val="bottom"/>
            <w:tcBorders>
              <w:bottom w:val="single" w:sz="8" w:color="61656A"/>
            </w:tcBorders>
          </w:tcPr>
          <w:p>
            <w:pPr>
              <w:ind w:left="300"/>
              <w:spacing w:after="0"/>
              <w:rPr>
                <w:sz w:val="20"/>
                <w:szCs w:val="20"/>
                <w:color w:val="auto"/>
              </w:rPr>
            </w:pPr>
            <w:r>
              <w:rPr>
                <w:rFonts w:ascii="Arial" w:cs="Arial" w:eastAsia="Arial" w:hAnsi="Arial"/>
                <w:sz w:val="14"/>
                <w:szCs w:val="14"/>
                <w:color w:val="auto"/>
              </w:rPr>
              <w:t>Inline XBRL Taxonomy Extension Calculation Linkbase (filed herewith)</w:t>
            </w:r>
          </w:p>
        </w:tc>
      </w:tr>
      <w:tr>
        <w:trPr>
          <w:trHeight w:val="196"/>
        </w:trPr>
        <w:tc>
          <w:tcPr>
            <w:tcW w:w="10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101.DEF</w:t>
            </w:r>
          </w:p>
        </w:tc>
        <w:tc>
          <w:tcPr>
            <w:tcW w:w="10120" w:type="dxa"/>
            <w:vAlign w:val="bottom"/>
            <w:tcBorders>
              <w:bottom w:val="single" w:sz="8" w:color="61656A"/>
            </w:tcBorders>
          </w:tcPr>
          <w:p>
            <w:pPr>
              <w:ind w:left="300"/>
              <w:spacing w:after="0"/>
              <w:rPr>
                <w:sz w:val="20"/>
                <w:szCs w:val="20"/>
                <w:color w:val="auto"/>
              </w:rPr>
            </w:pPr>
            <w:r>
              <w:rPr>
                <w:rFonts w:ascii="Arial" w:cs="Arial" w:eastAsia="Arial" w:hAnsi="Arial"/>
                <w:sz w:val="14"/>
                <w:szCs w:val="14"/>
                <w:color w:val="auto"/>
              </w:rPr>
              <w:t>Inline XBRL Taxonomy Extension Definition Linkbase (filed herewith)</w:t>
            </w:r>
          </w:p>
        </w:tc>
      </w:tr>
      <w:tr>
        <w:trPr>
          <w:trHeight w:val="196"/>
        </w:trPr>
        <w:tc>
          <w:tcPr>
            <w:tcW w:w="10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101.LAB</w:t>
            </w:r>
          </w:p>
        </w:tc>
        <w:tc>
          <w:tcPr>
            <w:tcW w:w="10120" w:type="dxa"/>
            <w:vAlign w:val="bottom"/>
            <w:tcBorders>
              <w:bottom w:val="single" w:sz="8" w:color="61656A"/>
            </w:tcBorders>
          </w:tcPr>
          <w:p>
            <w:pPr>
              <w:ind w:left="300"/>
              <w:spacing w:after="0"/>
              <w:rPr>
                <w:sz w:val="20"/>
                <w:szCs w:val="20"/>
                <w:color w:val="auto"/>
              </w:rPr>
            </w:pPr>
            <w:r>
              <w:rPr>
                <w:rFonts w:ascii="Arial" w:cs="Arial" w:eastAsia="Arial" w:hAnsi="Arial"/>
                <w:sz w:val="14"/>
                <w:szCs w:val="14"/>
                <w:color w:val="auto"/>
              </w:rPr>
              <w:t>Inline XBRL Taxonomy Extension Label Linkbase (filed herewith)</w:t>
            </w:r>
          </w:p>
        </w:tc>
      </w:tr>
      <w:tr>
        <w:trPr>
          <w:trHeight w:val="196"/>
        </w:trPr>
        <w:tc>
          <w:tcPr>
            <w:tcW w:w="10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101.PRE</w:t>
            </w:r>
          </w:p>
        </w:tc>
        <w:tc>
          <w:tcPr>
            <w:tcW w:w="10120" w:type="dxa"/>
            <w:vAlign w:val="bottom"/>
            <w:tcBorders>
              <w:bottom w:val="single" w:sz="8" w:color="61656A"/>
            </w:tcBorders>
          </w:tcPr>
          <w:p>
            <w:pPr>
              <w:ind w:left="300"/>
              <w:spacing w:after="0"/>
              <w:rPr>
                <w:sz w:val="20"/>
                <w:szCs w:val="20"/>
                <w:color w:val="auto"/>
              </w:rPr>
            </w:pPr>
            <w:r>
              <w:rPr>
                <w:rFonts w:ascii="Arial" w:cs="Arial" w:eastAsia="Arial" w:hAnsi="Arial"/>
                <w:sz w:val="14"/>
                <w:szCs w:val="14"/>
                <w:color w:val="auto"/>
              </w:rPr>
              <w:t>Inline XBRL Taxonomy Extension Presentation Linkbase (filed herewith)</w:t>
            </w:r>
          </w:p>
        </w:tc>
      </w:tr>
      <w:tr>
        <w:trPr>
          <w:trHeight w:val="196"/>
        </w:trPr>
        <w:tc>
          <w:tcPr>
            <w:tcW w:w="10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104</w:t>
            </w:r>
          </w:p>
        </w:tc>
        <w:tc>
          <w:tcPr>
            <w:tcW w:w="10120" w:type="dxa"/>
            <w:vAlign w:val="bottom"/>
            <w:tcBorders>
              <w:bottom w:val="single" w:sz="8" w:color="D7282F"/>
            </w:tcBorders>
          </w:tcPr>
          <w:p>
            <w:pPr>
              <w:ind w:left="300"/>
              <w:spacing w:after="0"/>
              <w:rPr>
                <w:sz w:val="20"/>
                <w:szCs w:val="20"/>
                <w:color w:val="auto"/>
              </w:rPr>
            </w:pPr>
            <w:r>
              <w:rPr>
                <w:rFonts w:ascii="Arial" w:cs="Arial" w:eastAsia="Arial" w:hAnsi="Arial"/>
                <w:sz w:val="14"/>
                <w:szCs w:val="14"/>
                <w:color w:val="auto"/>
              </w:rPr>
              <w:t>Cover Page Interactive Data File (formatted as inline XBRL and contained in Exhibit 101)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00" w:hanging="392"/>
        <w:spacing w:after="0"/>
        <w:tabs>
          <w:tab w:leader="none" w:pos="400" w:val="left"/>
        </w:tabs>
        <w:numPr>
          <w:ilvl w:val="0"/>
          <w:numId w:val="54"/>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2" w:name="page53"/>
    <w:bookmarkEnd w:id="5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SIGNATURES</w:t>
      </w:r>
    </w:p>
    <w:p>
      <w:pPr>
        <w:spacing w:after="0" w:line="39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39" w:lineRule="exact"/>
        <w:rPr>
          <w:sz w:val="20"/>
          <w:szCs w:val="20"/>
          <w:color w:val="auto"/>
        </w:rPr>
      </w:pPr>
    </w:p>
    <w:p>
      <w:pPr>
        <w:ind w:left="6660"/>
        <w:spacing w:after="0"/>
        <w:rPr>
          <w:sz w:val="20"/>
          <w:szCs w:val="20"/>
          <w:color w:val="auto"/>
        </w:rPr>
      </w:pPr>
      <w:r>
        <w:rPr>
          <w:rFonts w:ascii="Arial" w:cs="Arial" w:eastAsia="Arial" w:hAnsi="Arial"/>
          <w:sz w:val="16"/>
          <w:szCs w:val="16"/>
          <w:color w:val="auto"/>
        </w:rPr>
        <w:t>HONEYWELL INTERNATIONAL INC.</w:t>
      </w:r>
    </w:p>
    <w:p>
      <w:pPr>
        <w:spacing w:after="0" w:line="248" w:lineRule="exact"/>
        <w:rPr>
          <w:sz w:val="20"/>
          <w:szCs w:val="20"/>
          <w:color w:val="auto"/>
        </w:rPr>
      </w:pPr>
    </w:p>
    <w:p>
      <w:pPr>
        <w:ind w:left="20"/>
        <w:spacing w:after="0"/>
        <w:tabs>
          <w:tab w:leader="none" w:pos="6640" w:val="left"/>
          <w:tab w:leader="none" w:pos="7160" w:val="left"/>
        </w:tabs>
        <w:rPr>
          <w:sz w:val="20"/>
          <w:szCs w:val="20"/>
          <w:color w:val="auto"/>
        </w:rPr>
      </w:pPr>
      <w:r>
        <w:rPr>
          <w:rFonts w:ascii="Arial" w:cs="Arial" w:eastAsia="Arial" w:hAnsi="Arial"/>
          <w:sz w:val="16"/>
          <w:szCs w:val="16"/>
          <w:color w:val="auto"/>
        </w:rPr>
        <w:t>Date: April 25, 2024</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Robert D. Mailloux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20955</wp:posOffset>
            </wp:positionV>
            <wp:extent cx="245173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20" w:lineRule="exact"/>
        <w:rPr>
          <w:sz w:val="20"/>
          <w:szCs w:val="20"/>
          <w:color w:val="auto"/>
        </w:rPr>
      </w:pPr>
    </w:p>
    <w:p>
      <w:pPr>
        <w:ind w:left="7180"/>
        <w:spacing w:after="0"/>
        <w:rPr>
          <w:sz w:val="20"/>
          <w:szCs w:val="20"/>
          <w:color w:val="auto"/>
        </w:rPr>
      </w:pPr>
      <w:r>
        <w:rPr>
          <w:rFonts w:ascii="Arial" w:cs="Arial" w:eastAsia="Arial" w:hAnsi="Arial"/>
          <w:sz w:val="16"/>
          <w:szCs w:val="16"/>
          <w:color w:val="auto"/>
        </w:rPr>
        <w:t>Robert D. Mailloux</w:t>
      </w:r>
    </w:p>
    <w:p>
      <w:pPr>
        <w:ind w:left="7180"/>
        <w:spacing w:after="0" w:line="211" w:lineRule="auto"/>
        <w:rPr>
          <w:sz w:val="20"/>
          <w:szCs w:val="20"/>
          <w:color w:val="auto"/>
        </w:rPr>
      </w:pPr>
      <w:r>
        <w:rPr>
          <w:rFonts w:ascii="Arial" w:cs="Arial" w:eastAsia="Arial" w:hAnsi="Arial"/>
          <w:sz w:val="16"/>
          <w:szCs w:val="16"/>
          <w:color w:val="auto"/>
        </w:rPr>
        <w:t>Vice President and Controller</w:t>
      </w:r>
    </w:p>
    <w:p>
      <w:pPr>
        <w:ind w:left="7180"/>
        <w:spacing w:after="0" w:line="211" w:lineRule="auto"/>
        <w:rPr>
          <w:sz w:val="20"/>
          <w:szCs w:val="20"/>
          <w:color w:val="auto"/>
        </w:rPr>
      </w:pPr>
      <w:r>
        <w:rPr>
          <w:rFonts w:ascii="Arial" w:cs="Arial" w:eastAsia="Arial" w:hAnsi="Arial"/>
          <w:sz w:val="16"/>
          <w:szCs w:val="16"/>
          <w:color w:val="auto"/>
        </w:rPr>
        <w:t>(on behalf of the Registrant</w:t>
      </w:r>
    </w:p>
    <w:p>
      <w:pPr>
        <w:ind w:left="7180"/>
        <w:spacing w:after="0" w:line="211" w:lineRule="auto"/>
        <w:rPr>
          <w:sz w:val="20"/>
          <w:szCs w:val="20"/>
          <w:color w:val="auto"/>
        </w:rPr>
      </w:pPr>
      <w:r>
        <w:rPr>
          <w:rFonts w:ascii="Arial" w:cs="Arial" w:eastAsia="Arial" w:hAnsi="Arial"/>
          <w:sz w:val="16"/>
          <w:szCs w:val="16"/>
          <w:color w:val="auto"/>
        </w:rPr>
        <w:t>and as the Registrant’s</w:t>
      </w:r>
    </w:p>
    <w:p>
      <w:pPr>
        <w:spacing w:after="0" w:line="1" w:lineRule="exact"/>
        <w:rPr>
          <w:sz w:val="20"/>
          <w:szCs w:val="20"/>
          <w:color w:val="auto"/>
        </w:rPr>
      </w:pPr>
    </w:p>
    <w:p>
      <w:pPr>
        <w:ind w:left="7180"/>
        <w:spacing w:after="0"/>
        <w:rPr>
          <w:sz w:val="20"/>
          <w:szCs w:val="20"/>
          <w:color w:val="auto"/>
        </w:rPr>
      </w:pPr>
      <w:r>
        <w:rPr>
          <w:rFonts w:ascii="Arial" w:cs="Arial" w:eastAsia="Arial" w:hAnsi="Arial"/>
          <w:sz w:val="16"/>
          <w:szCs w:val="16"/>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00" w:hanging="392"/>
        <w:spacing w:after="0"/>
        <w:tabs>
          <w:tab w:leader="none" w:pos="400" w:val="left"/>
        </w:tabs>
        <w:numPr>
          <w:ilvl w:val="0"/>
          <w:numId w:val="55"/>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ectPr>
          <w:pgSz w:w="11900" w:h="16838" w:orient="portrait"/>
          <w:cols w:equalWidth="0" w:num="1">
            <w:col w:w="11240"/>
          </w:cols>
          <w:pgMar w:left="320" w:top="122"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22"/>
          <w:szCs w:val="22"/>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Execution Copy</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FIFTH AMENDMENT</w:t>
      </w:r>
    </w:p>
    <w:p>
      <w:pPr>
        <w:jc w:val="center"/>
        <w:spacing w:after="0" w:line="211" w:lineRule="auto"/>
        <w:rPr>
          <w:sz w:val="20"/>
          <w:szCs w:val="20"/>
          <w:color w:val="auto"/>
        </w:rPr>
      </w:pPr>
      <w:r>
        <w:rPr>
          <w:rFonts w:ascii="Times New Roman" w:cs="Times New Roman" w:eastAsia="Times New Roman" w:hAnsi="Times New Roman"/>
          <w:sz w:val="20"/>
          <w:szCs w:val="20"/>
          <w:b w:val="1"/>
          <w:bCs w:val="1"/>
          <w:color w:val="auto"/>
        </w:rPr>
        <w:t>TO</w:t>
      </w:r>
    </w:p>
    <w:p>
      <w:pPr>
        <w:jc w:val="center"/>
        <w:spacing w:after="0"/>
        <w:rPr>
          <w:sz w:val="20"/>
          <w:szCs w:val="20"/>
          <w:color w:val="auto"/>
        </w:rPr>
      </w:pPr>
      <w:r>
        <w:rPr>
          <w:rFonts w:ascii="Times New Roman" w:cs="Times New Roman" w:eastAsia="Times New Roman" w:hAnsi="Times New Roman"/>
          <w:sz w:val="20"/>
          <w:szCs w:val="20"/>
          <w:b w:val="1"/>
          <w:bCs w:val="1"/>
          <w:color w:val="auto"/>
        </w:rPr>
        <w:t>INDEMNIFICATION AND REIMBURSEMENT AGREEMENT</w:t>
      </w:r>
    </w:p>
    <w:p>
      <w:pPr>
        <w:spacing w:after="0" w:line="16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This Fifth Amendment to INDEMNIFICATION AND REIMBURSEMENT AGREEMENT (this “</w:t>
      </w:r>
      <w:r>
        <w:rPr>
          <w:rFonts w:ascii="Times New Roman" w:cs="Times New Roman" w:eastAsia="Times New Roman" w:hAnsi="Times New Roman"/>
          <w:sz w:val="20"/>
          <w:szCs w:val="20"/>
          <w:b w:val="1"/>
          <w:bCs w:val="1"/>
          <w:color w:val="auto"/>
        </w:rPr>
        <w:t>Amendment</w:t>
      </w:r>
      <w:r>
        <w:rPr>
          <w:rFonts w:ascii="Times New Roman" w:cs="Times New Roman" w:eastAsia="Times New Roman" w:hAnsi="Times New Roman"/>
          <w:sz w:val="20"/>
          <w:szCs w:val="20"/>
          <w:color w:val="auto"/>
        </w:rPr>
        <w:t>”), dated as of April 14, 2024, by and between (i) Honeywell International Inc., a corporation organized under the Laws of the State of Delaware (“</w:t>
      </w:r>
      <w:r>
        <w:rPr>
          <w:rFonts w:ascii="Times New Roman" w:cs="Times New Roman" w:eastAsia="Times New Roman" w:hAnsi="Times New Roman"/>
          <w:sz w:val="20"/>
          <w:szCs w:val="20"/>
          <w:b w:val="1"/>
          <w:bCs w:val="1"/>
          <w:color w:val="auto"/>
        </w:rPr>
        <w:t>Indemnitee</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Honeywell</w:t>
      </w:r>
      <w:r>
        <w:rPr>
          <w:rFonts w:ascii="Times New Roman" w:cs="Times New Roman" w:eastAsia="Times New Roman" w:hAnsi="Times New Roman"/>
          <w:sz w:val="20"/>
          <w:szCs w:val="20"/>
          <w:color w:val="auto"/>
        </w:rPr>
        <w:t>”), and (ii) Resideo Intermediate Holding Inc., a corporation organized under the Laws of the State of Delaware (“</w:t>
      </w:r>
      <w:r>
        <w:rPr>
          <w:rFonts w:ascii="Times New Roman" w:cs="Times New Roman" w:eastAsia="Times New Roman" w:hAnsi="Times New Roman"/>
          <w:sz w:val="20"/>
          <w:szCs w:val="20"/>
          <w:b w:val="1"/>
          <w:bCs w:val="1"/>
          <w:color w:val="auto"/>
        </w:rPr>
        <w:t>Indemnitor</w:t>
      </w:r>
      <w:r>
        <w:rPr>
          <w:rFonts w:ascii="Times New Roman" w:cs="Times New Roman" w:eastAsia="Times New Roman" w:hAnsi="Times New Roman"/>
          <w:sz w:val="20"/>
          <w:szCs w:val="20"/>
          <w:color w:val="auto"/>
        </w:rPr>
        <w:t>”), amends that certain Indemnification and Reimbursement Agreement, dated October 14, 2018, by and between (A) Honeywell and (B) New HAPI Inc., a corporation organized under the Laws of the State of Delaware (subsequently assigned to Indemnitor), as amended from time to time prior to the date hereof (as so amended, the “</w:t>
      </w:r>
      <w:r>
        <w:rPr>
          <w:rFonts w:ascii="Times New Roman" w:cs="Times New Roman" w:eastAsia="Times New Roman" w:hAnsi="Times New Roman"/>
          <w:sz w:val="20"/>
          <w:szCs w:val="20"/>
          <w:b w:val="1"/>
          <w:bCs w:val="1"/>
          <w:color w:val="auto"/>
        </w:rPr>
        <w:t>Indemnification and Reimbursement Agreement</w:t>
      </w:r>
      <w:r>
        <w:rPr>
          <w:rFonts w:ascii="Times New Roman" w:cs="Times New Roman" w:eastAsia="Times New Roman" w:hAnsi="Times New Roman"/>
          <w:sz w:val="20"/>
          <w:szCs w:val="20"/>
          <w:color w:val="auto"/>
        </w:rPr>
        <w:t>”). Capitalized terms used herein but not otherwise defined herein shall have the meanings assigned to such terms in the Indemnification and Reimbursement Agreement.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WITNESSETH:</w:t>
      </w:r>
    </w:p>
    <w:p>
      <w:pPr>
        <w:spacing w:after="0" w:line="233" w:lineRule="exact"/>
        <w:rPr>
          <w:sz w:val="20"/>
          <w:szCs w:val="20"/>
          <w:color w:val="auto"/>
        </w:rPr>
      </w:pPr>
    </w:p>
    <w:p>
      <w:pPr>
        <w:jc w:val="both"/>
        <w:ind w:firstLine="335"/>
        <w:spacing w:after="0" w:line="261" w:lineRule="auto"/>
        <w:rPr>
          <w:sz w:val="20"/>
          <w:szCs w:val="20"/>
          <w:color w:val="auto"/>
        </w:rPr>
      </w:pPr>
      <w:r>
        <w:rPr>
          <w:rFonts w:ascii="Times New Roman" w:cs="Times New Roman" w:eastAsia="Times New Roman" w:hAnsi="Times New Roman"/>
          <w:sz w:val="20"/>
          <w:szCs w:val="20"/>
          <w:color w:val="auto"/>
        </w:rPr>
        <w:t>WHEREAS, concurrently with the execution of this Amendment, Holdings and the other parties named therein have entered into that certain Agreement and Plan of Merger, dated as of the date hereof, providing for the merger of a wholly-owned subsidiary of Holdings with and into Snap One Holdings Corp., with Snap One Holdings Corp. surviving such merger (as amended, the “</w:t>
      </w:r>
      <w:r>
        <w:rPr>
          <w:rFonts w:ascii="Times New Roman" w:cs="Times New Roman" w:eastAsia="Times New Roman" w:hAnsi="Times New Roman"/>
          <w:sz w:val="20"/>
          <w:szCs w:val="20"/>
          <w:b w:val="1"/>
          <w:bCs w:val="1"/>
          <w:color w:val="auto"/>
        </w:rPr>
        <w:t>Merger Agreement</w:t>
      </w:r>
      <w:r>
        <w:rPr>
          <w:rFonts w:ascii="Times New Roman" w:cs="Times New Roman" w:eastAsia="Times New Roman" w:hAnsi="Times New Roman"/>
          <w:sz w:val="20"/>
          <w:szCs w:val="20"/>
          <w:color w:val="auto"/>
        </w:rPr>
        <w:t>”);</w:t>
      </w:r>
    </w:p>
    <w:p>
      <w:pPr>
        <w:spacing w:after="0" w:line="16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WHEREAS, in connection with the consummation of the transactions contemplated by the Merger Agreement, Indemnitor or certain Affiliates thereof intend to enter into an amendment to the Amended and Restated Credit Agreement, among Indemnitor, Homes Borrower, Homes, certain other subsidiaries of Homes named therein, the lenders and issuing banks party thereto from time to time, and JPMorgan Chase Bank, N.A., as administrative agent (as amended prior to the date hereof, the “</w:t>
      </w:r>
      <w:r>
        <w:rPr>
          <w:rFonts w:ascii="Times New Roman" w:cs="Times New Roman" w:eastAsia="Times New Roman" w:hAnsi="Times New Roman"/>
          <w:sz w:val="20"/>
          <w:szCs w:val="20"/>
          <w:b w:val="1"/>
          <w:bCs w:val="1"/>
          <w:color w:val="auto"/>
        </w:rPr>
        <w:t>Existing Amended and Restated Credit Agreement</w:t>
      </w:r>
      <w:r>
        <w:rPr>
          <w:rFonts w:ascii="Times New Roman" w:cs="Times New Roman" w:eastAsia="Times New Roman" w:hAnsi="Times New Roman"/>
          <w:sz w:val="20"/>
          <w:szCs w:val="20"/>
          <w:color w:val="auto"/>
        </w:rPr>
        <w:t>”), pursuant to the terms of that certain commitment letter being executed concurrently herewith, a copy of which was provided to Honeywell 10:23 p.m. NY time on April 14, 2024 prior to the execution of this Amendment (such commitment letter, in the form so delivered and without giving effect to amendments thereto unless Honeywell shall consent thereto in writing, the “</w:t>
      </w:r>
      <w:r>
        <w:rPr>
          <w:rFonts w:ascii="Times New Roman" w:cs="Times New Roman" w:eastAsia="Times New Roman" w:hAnsi="Times New Roman"/>
          <w:sz w:val="20"/>
          <w:szCs w:val="20"/>
          <w:b w:val="1"/>
          <w:bCs w:val="1"/>
          <w:color w:val="auto"/>
        </w:rPr>
        <w:t>Commitment Letter</w:t>
      </w:r>
      <w:r>
        <w:rPr>
          <w:rFonts w:ascii="Times New Roman" w:cs="Times New Roman" w:eastAsia="Times New Roman" w:hAnsi="Times New Roman"/>
          <w:sz w:val="20"/>
          <w:szCs w:val="20"/>
          <w:color w:val="auto"/>
        </w:rPr>
        <w:t>,” and the Existing Amended and Restated Credit Agreement, after giving effect to the amendments thereto contemplated by the Commitment Letter, the “</w:t>
      </w:r>
      <w:r>
        <w:rPr>
          <w:rFonts w:ascii="Times New Roman" w:cs="Times New Roman" w:eastAsia="Times New Roman" w:hAnsi="Times New Roman"/>
          <w:sz w:val="20"/>
          <w:szCs w:val="20"/>
          <w:b w:val="1"/>
          <w:bCs w:val="1"/>
          <w:color w:val="auto"/>
        </w:rPr>
        <w:t>Modified Amended and Restated Credit Agreement</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WHEREAS, pursuant to the Commitment Letter, the Indemnitor intends to make certain revisions to the financial covenants and calculations thereof contained in the Existing Amended and Restated Credit Agreement and certain other changes (such changes, as described in the term “Facilities”, in the term “Financial Covenants” in Exhibit B to the Commitment Letter (including Annexes II and III to such Exhibit B) and in Exhibit C to the Commitment Letter, the “</w:t>
      </w:r>
      <w:r>
        <w:rPr>
          <w:rFonts w:ascii="Times New Roman" w:cs="Times New Roman" w:eastAsia="Times New Roman" w:hAnsi="Times New Roman"/>
          <w:sz w:val="20"/>
          <w:szCs w:val="20"/>
          <w:b w:val="1"/>
          <w:bCs w:val="1"/>
          <w:color w:val="auto"/>
        </w:rPr>
        <w:t>Credit Agreement Amendments</w:t>
      </w:r>
      <w:r>
        <w:rPr>
          <w:rFonts w:ascii="Times New Roman" w:cs="Times New Roman" w:eastAsia="Times New Roman" w:hAnsi="Times New Roman"/>
          <w:sz w:val="20"/>
          <w:szCs w:val="20"/>
          <w:color w:val="auto"/>
        </w:rPr>
        <w:t>”);</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WHEREAS, pursuant to Section 4.13 of the Indemnification and Reimbursement Agreement, the Indemnification and Reimbursement Agreement may be amended, supplemented or modified only by an instrument in writing specifically designated as an amendment signed on behalf of each Party; provided that such amendment does not result in the increase of the late payment fee set forth in Section 2.5(b) of the Indemnification and Reimbursement Agreement;</w:t>
      </w:r>
    </w:p>
    <w:p>
      <w:pPr>
        <w:sectPr>
          <w:pgSz w:w="11900" w:h="16838" w:orient="portrait"/>
          <w:cols w:equalWidth="0" w:num="1">
            <w:col w:w="11240"/>
          </w:cols>
          <w:pgMar w:left="320" w:top="122" w:right="339" w:bottom="1440" w:gutter="0" w:footer="0" w:header="0"/>
        </w:sectPr>
      </w:pPr>
    </w:p>
    <w:bookmarkStart w:id="54" w:name="page55"/>
    <w:bookmarkEnd w:id="54"/>
    <w:p>
      <w:pPr>
        <w:spacing w:after="0" w:line="189"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WHEREAS, the amendments to the Indemnification and Reimbursement Agreement contemplated herein do not include any such amendment of the late payment fee set forth in Section 2.5(b) of the Indemnification and Reimbursement Agreement; and</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WHEREAS, the Parties desire to amend the Indemnification and Reimbursement Agreement in the manner set forth herein.</w:t>
      </w:r>
    </w:p>
    <w:p>
      <w:pPr>
        <w:spacing w:after="0" w:line="229"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NOW, THEREFORE, in accordance with Section 4.13 of the Indemnification and Reimbursement Agreement, the Parties agree as follows:</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ARTICLE I</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AMENDMENTS</w:t>
      </w:r>
    </w:p>
    <w:p>
      <w:pPr>
        <w:spacing w:after="0" w:line="200" w:lineRule="exact"/>
        <w:rPr>
          <w:sz w:val="20"/>
          <w:szCs w:val="20"/>
          <w:color w:val="auto"/>
        </w:rPr>
      </w:pPr>
    </w:p>
    <w:p>
      <w:pPr>
        <w:ind w:firstLine="607"/>
        <w:spacing w:after="0" w:line="283" w:lineRule="auto"/>
        <w:rPr>
          <w:sz w:val="20"/>
          <w:szCs w:val="20"/>
          <w:color w:val="auto"/>
        </w:rPr>
      </w:pPr>
      <w:r>
        <w:rPr>
          <w:rFonts w:ascii="Times New Roman" w:cs="Times New Roman" w:eastAsia="Times New Roman" w:hAnsi="Times New Roman"/>
          <w:sz w:val="20"/>
          <w:szCs w:val="20"/>
          <w:color w:val="auto"/>
        </w:rPr>
        <w:t xml:space="preserve">1.1 </w:t>
      </w:r>
      <w:r>
        <w:rPr>
          <w:rFonts w:ascii="Times New Roman" w:cs="Times New Roman" w:eastAsia="Times New Roman" w:hAnsi="Times New Roman"/>
          <w:sz w:val="20"/>
          <w:szCs w:val="20"/>
          <w:u w:val="single" w:color="auto"/>
          <w:color w:val="auto"/>
        </w:rPr>
        <w:t>Amendment to Section 3.13 of Exhibit G</w:t>
      </w:r>
      <w:r>
        <w:rPr>
          <w:rFonts w:ascii="Times New Roman" w:cs="Times New Roman" w:eastAsia="Times New Roman" w:hAnsi="Times New Roman"/>
          <w:sz w:val="20"/>
          <w:szCs w:val="20"/>
          <w:color w:val="auto"/>
        </w:rPr>
        <w:t>. Effective on the Effective Date (as hereinafter defined), Section 3.13 of Exhibit G of the Indemnification Agreement is amended and restated in its entirety to read as follows:</w:t>
      </w:r>
    </w:p>
    <w:p>
      <w:pPr>
        <w:spacing w:after="0" w:line="173" w:lineRule="exact"/>
        <w:rPr>
          <w:sz w:val="20"/>
          <w:szCs w:val="20"/>
          <w:color w:val="auto"/>
        </w:rPr>
      </w:pPr>
    </w:p>
    <w:p>
      <w:pPr>
        <w:jc w:val="both"/>
        <w:ind w:left="620"/>
        <w:spacing w:after="0" w:line="268" w:lineRule="auto"/>
        <w:rPr>
          <w:sz w:val="20"/>
          <w:szCs w:val="20"/>
          <w:color w:val="auto"/>
        </w:rPr>
      </w:pPr>
      <w:r>
        <w:rPr>
          <w:rFonts w:ascii="Times New Roman" w:cs="Times New Roman" w:eastAsia="Times New Roman" w:hAnsi="Times New Roman"/>
          <w:sz w:val="20"/>
          <w:szCs w:val="20"/>
          <w:color w:val="auto"/>
        </w:rPr>
        <w:t xml:space="preserve">“3.13. </w:t>
      </w:r>
      <w:r>
        <w:rPr>
          <w:rFonts w:ascii="Times New Roman" w:cs="Times New Roman" w:eastAsia="Times New Roman" w:hAnsi="Times New Roman"/>
          <w:sz w:val="20"/>
          <w:szCs w:val="20"/>
          <w:u w:val="single" w:color="auto"/>
          <w:color w:val="auto"/>
        </w:rPr>
        <w:t>Consolidated Total Leverage Ratio</w:t>
      </w:r>
      <w:r>
        <w:rPr>
          <w:rFonts w:ascii="Times New Roman" w:cs="Times New Roman" w:eastAsia="Times New Roman" w:hAnsi="Times New Roman"/>
          <w:sz w:val="20"/>
          <w:szCs w:val="20"/>
          <w:color w:val="auto"/>
        </w:rPr>
        <w:t>. Indemnitor will not, and will cause its Subsidiaries not to, permit the Consolidated Total Leverage Ratio for any period of four consecutive fiscal quarters of Holdings ending on the last day of the fiscal quarter of Holdings ending on or about June 30, 2024 or any fiscal quarter of Holdings ending thereafter, to exceed 3.50 to 1.00.”</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ARTICLE II</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MISCELLANEOUS</w:t>
      </w:r>
    </w:p>
    <w:p>
      <w:pPr>
        <w:spacing w:after="0" w:line="254" w:lineRule="exact"/>
        <w:rPr>
          <w:sz w:val="20"/>
          <w:szCs w:val="20"/>
          <w:color w:val="auto"/>
        </w:rPr>
      </w:pPr>
    </w:p>
    <w:p>
      <w:pPr>
        <w:jc w:val="both"/>
        <w:ind w:left="20" w:right="20" w:firstLine="677"/>
        <w:spacing w:after="0" w:line="250" w:lineRule="auto"/>
        <w:rPr>
          <w:sz w:val="20"/>
          <w:szCs w:val="20"/>
          <w:color w:val="auto"/>
        </w:rPr>
      </w:pPr>
      <w:r>
        <w:rPr>
          <w:rFonts w:ascii="Times New Roman" w:cs="Times New Roman" w:eastAsia="Times New Roman" w:hAnsi="Times New Roman"/>
          <w:sz w:val="20"/>
          <w:szCs w:val="20"/>
          <w:color w:val="auto"/>
        </w:rPr>
        <w:t xml:space="preserve">2.1 </w:t>
      </w:r>
      <w:r>
        <w:rPr>
          <w:rFonts w:ascii="Times New Roman" w:cs="Times New Roman" w:eastAsia="Times New Roman" w:hAnsi="Times New Roman"/>
          <w:sz w:val="20"/>
          <w:szCs w:val="20"/>
          <w:u w:val="single" w:color="auto"/>
          <w:color w:val="auto"/>
        </w:rPr>
        <w:t>References</w:t>
      </w:r>
      <w:r>
        <w:rPr>
          <w:rFonts w:ascii="Times New Roman" w:cs="Times New Roman" w:eastAsia="Times New Roman" w:hAnsi="Times New Roman"/>
          <w:sz w:val="20"/>
          <w:szCs w:val="20"/>
          <w:color w:val="auto"/>
        </w:rPr>
        <w:t>. Each reference in the Indemnification and Reimbursement Agreement shall, unless the context otherwise requires, mean the Indemnification and Reimbursement Agreement as amended by this Amendment. Without limiting the foregoing, the Parties acknowledge that in connection with the execution of this Amendment, the Indemnitor (or Affiliates thereof) and other parties thereto are entering into the Merger Agreement and the Commitment Letter and intend to consummate the transactions contemplated thereby, including the Credit Agreement Amendments. In accordance with the terms set forth in Section 4.14 of the Indemnification and Reimbursement Agreement, upon the Effective Date (as defined below), (a) each reference to “Current Credit Agreement (as in effect on the Amendment and Restatement Date)” in Exhibit G of the Indemnification and Reimbursement Agreement (but excluding such reference in Section 1.01(a) thereof as described in clause (b)(i) immediately below), shall mean the Existing Amended and Restated Credit Agreement (as in effect on the Amendment and Restatement Date) and (b) (i) the reference to “Current Credit Agreement (as in effect on the Amendment and Restatement Effective Date)” in Section 1.01(a) of Exhibit G of the Indemnification and Reimbursement Agreement, solely with respect to capitalized terms used but not defined within Exhibit G to the Indemnification and Reimbursement Agreement that have been revised between the Existing Amended and Restated Credit Agreement and the Modified Amended and Restated Credit Agreement in connection with and in a consistent fashion with the Credit Agreement Amendments and (ii) each other reference to “Current Credit Agreement” in the Indemnification and Reimbursement Agreement (including each section of Exhibit G of the Indemnification and Reimbursement Agreement other than sections of Exhibit G referred to in clause (a) or (b)(i) immediately above) or in the Guarantee Agreement shall, in each case, mean the Modified Amended and Restated Credit Agreement (for the avoidance of doubt, after giving effect to the Credit Agreement Amendments).</w:t>
      </w:r>
    </w:p>
    <w:p>
      <w:pPr>
        <w:spacing w:after="0" w:line="200" w:lineRule="exact"/>
        <w:rPr>
          <w:sz w:val="20"/>
          <w:szCs w:val="20"/>
          <w:color w:val="auto"/>
        </w:rPr>
      </w:pPr>
    </w:p>
    <w:p>
      <w:pPr>
        <w:spacing w:after="0" w:line="317" w:lineRule="exact"/>
        <w:rPr>
          <w:sz w:val="20"/>
          <w:szCs w:val="20"/>
          <w:color w:val="auto"/>
        </w:rPr>
      </w:pPr>
    </w:p>
    <w:p>
      <w:pPr>
        <w:jc w:val="both"/>
        <w:ind w:firstLine="729"/>
        <w:spacing w:after="0" w:line="258" w:lineRule="auto"/>
        <w:rPr>
          <w:sz w:val="20"/>
          <w:szCs w:val="20"/>
          <w:color w:val="auto"/>
        </w:rPr>
      </w:pPr>
      <w:r>
        <w:rPr>
          <w:rFonts w:ascii="Times New Roman" w:cs="Times New Roman" w:eastAsia="Times New Roman" w:hAnsi="Times New Roman"/>
          <w:sz w:val="20"/>
          <w:szCs w:val="20"/>
          <w:color w:val="auto"/>
        </w:rPr>
        <w:t xml:space="preserve">2.2 </w:t>
      </w:r>
      <w:r>
        <w:rPr>
          <w:rFonts w:ascii="Times New Roman" w:cs="Times New Roman" w:eastAsia="Times New Roman" w:hAnsi="Times New Roman"/>
          <w:sz w:val="20"/>
          <w:szCs w:val="20"/>
          <w:u w:val="single" w:color="auto"/>
          <w:color w:val="auto"/>
        </w:rPr>
        <w:t>No Other Amendments; Continuing Effect</w:t>
      </w:r>
      <w:r>
        <w:rPr>
          <w:rFonts w:ascii="Times New Roman" w:cs="Times New Roman" w:eastAsia="Times New Roman" w:hAnsi="Times New Roman"/>
          <w:sz w:val="20"/>
          <w:szCs w:val="20"/>
          <w:color w:val="auto"/>
        </w:rPr>
        <w:t>. The amendments set forth herein are limited precisely as written and will not be deemed to be an amendment to any other term or condition of the Indemnification and Reimbursement Agreement or any of the documents referred to therein. Except as expressly amended hereby, the terms and conditions of the Indemnification and Reimbursement Agreement shall continue in full force and effect.</w:t>
      </w:r>
    </w:p>
    <w:p>
      <w:pPr>
        <w:spacing w:after="0" w:line="172" w:lineRule="exact"/>
        <w:rPr>
          <w:sz w:val="20"/>
          <w:szCs w:val="20"/>
          <w:color w:val="auto"/>
        </w:rPr>
      </w:pPr>
    </w:p>
    <w:p>
      <w:pPr>
        <w:jc w:val="both"/>
        <w:ind w:firstLine="607"/>
        <w:spacing w:after="0" w:line="257" w:lineRule="auto"/>
        <w:rPr>
          <w:sz w:val="20"/>
          <w:szCs w:val="20"/>
          <w:color w:val="auto"/>
        </w:rPr>
      </w:pPr>
      <w:r>
        <w:rPr>
          <w:rFonts w:ascii="Times New Roman" w:cs="Times New Roman" w:eastAsia="Times New Roman" w:hAnsi="Times New Roman"/>
          <w:sz w:val="20"/>
          <w:szCs w:val="20"/>
          <w:color w:val="auto"/>
        </w:rPr>
        <w:t xml:space="preserve">2.3 </w:t>
      </w:r>
      <w:r>
        <w:rPr>
          <w:rFonts w:ascii="Times New Roman" w:cs="Times New Roman" w:eastAsia="Times New Roman" w:hAnsi="Times New Roman"/>
          <w:sz w:val="20"/>
          <w:szCs w:val="20"/>
          <w:u w:val="single" w:color="auto"/>
          <w:color w:val="auto"/>
        </w:rPr>
        <w:t>Representations and Warranties; No Defaults; No Waivers</w:t>
      </w:r>
      <w:r>
        <w:rPr>
          <w:rFonts w:ascii="Times New Roman" w:cs="Times New Roman" w:eastAsia="Times New Roman" w:hAnsi="Times New Roman"/>
          <w:sz w:val="20"/>
          <w:szCs w:val="20"/>
          <w:color w:val="auto"/>
        </w:rPr>
        <w:t>. The representations and warranties contained in Sections 4.2 (a), (b) and (c) of the Indemnification and Reimbursement Agreement are hereby restated by each Party and incorporated herein by reference. Indemnitor represents and warrants that as of the date hereof, no default or event of default has occurred and is continuing under any of the Indemnification and Reimbursement Agreement, the Current Credit Agreement or any other Loan Document (as defined in the Current Credit Agreement), or any other Indebtedness (as defined in the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240"/>
          </w:cols>
          <w:pgMar w:left="320" w:top="1440" w:right="339" w:bottom="1440" w:gutter="0" w:footer="0" w:header="0"/>
          <w:type w:val="continuous"/>
        </w:sectPr>
      </w:pPr>
    </w:p>
    <w:bookmarkStart w:id="55" w:name="page56"/>
    <w:bookmarkEnd w:id="55"/>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Current Credit Agreement) of the Indemnitor or any of its subsidiaries. This Amendment is not a waiver of, or consent to, any default or event of default now existing or hereafter arising under the Indemnification and Reimbursement Agreement (as amended by this Amendment), the Current Credit Agreement, any other Loan Document (as defined in the Current Credit Agreement) or any other Indebtedness (as defined in the Current Credit Agreement) of the Indemnitor or any of its subsidiaries.</w:t>
      </w:r>
    </w:p>
    <w:p>
      <w:pPr>
        <w:spacing w:after="0" w:line="172" w:lineRule="exact"/>
        <w:rPr>
          <w:sz w:val="20"/>
          <w:szCs w:val="20"/>
          <w:color w:val="auto"/>
        </w:rPr>
      </w:pPr>
    </w:p>
    <w:p>
      <w:pPr>
        <w:jc w:val="both"/>
        <w:ind w:firstLine="607"/>
        <w:spacing w:after="0" w:line="258" w:lineRule="auto"/>
        <w:rPr>
          <w:sz w:val="20"/>
          <w:szCs w:val="20"/>
          <w:color w:val="auto"/>
        </w:rPr>
      </w:pPr>
      <w:r>
        <w:rPr>
          <w:rFonts w:ascii="Times New Roman" w:cs="Times New Roman" w:eastAsia="Times New Roman" w:hAnsi="Times New Roman"/>
          <w:sz w:val="20"/>
          <w:szCs w:val="20"/>
          <w:color w:val="auto"/>
        </w:rPr>
        <w:t xml:space="preserve">2.4 </w:t>
      </w:r>
      <w:r>
        <w:rPr>
          <w:rFonts w:ascii="Times New Roman" w:cs="Times New Roman" w:eastAsia="Times New Roman" w:hAnsi="Times New Roman"/>
          <w:sz w:val="20"/>
          <w:szCs w:val="20"/>
          <w:u w:val="single" w:color="auto"/>
          <w:color w:val="auto"/>
        </w:rPr>
        <w:t>Dispute Resolution; Governing Law; Jurisdiction; WAIVER OF JURY TRIAL; Interpretation, Etc</w:t>
      </w:r>
      <w:r>
        <w:rPr>
          <w:rFonts w:ascii="Times New Roman" w:cs="Times New Roman" w:eastAsia="Times New Roman" w:hAnsi="Times New Roman"/>
          <w:sz w:val="20"/>
          <w:szCs w:val="20"/>
          <w:color w:val="auto"/>
        </w:rPr>
        <w:t xml:space="preserve">. The provisions of Section 4.3 (“Dispute Resolution”), Section 4.4 (“Governing Law; Jurisdiction”), Section 4.5 (“Waiver of Jury Trial”), Section 4.6 (“Court-Ordered Interim Relief”) and Section 4.14 (“Interpretation”) of the Indemnification and Reimbursement Agreement are hereby incorporated herein by reference and shall apply </w:t>
      </w:r>
      <w:r>
        <w:rPr>
          <w:rFonts w:ascii="Times New Roman" w:cs="Times New Roman" w:eastAsia="Times New Roman" w:hAnsi="Times New Roman"/>
          <w:sz w:val="20"/>
          <w:szCs w:val="20"/>
          <w:i w:val="1"/>
          <w:iCs w:val="1"/>
          <w:color w:val="auto"/>
        </w:rPr>
        <w:t>mutatis mutandis</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jc w:val="both"/>
        <w:ind w:firstLine="607"/>
        <w:spacing w:after="0" w:line="269" w:lineRule="auto"/>
        <w:rPr>
          <w:sz w:val="20"/>
          <w:szCs w:val="20"/>
          <w:color w:val="auto"/>
        </w:rPr>
      </w:pPr>
      <w:r>
        <w:rPr>
          <w:rFonts w:ascii="Times New Roman" w:cs="Times New Roman" w:eastAsia="Times New Roman" w:hAnsi="Times New Roman"/>
          <w:sz w:val="20"/>
          <w:szCs w:val="20"/>
          <w:color w:val="auto"/>
        </w:rPr>
        <w:t xml:space="preserve">2.5 </w:t>
      </w:r>
      <w:r>
        <w:rPr>
          <w:rFonts w:ascii="Times New Roman" w:cs="Times New Roman" w:eastAsia="Times New Roman" w:hAnsi="Times New Roman"/>
          <w:sz w:val="20"/>
          <w:szCs w:val="20"/>
          <w:u w:val="single" w:color="auto"/>
          <w:color w:val="auto"/>
        </w:rPr>
        <w:t>Successors</w:t>
      </w:r>
      <w:r>
        <w:rPr>
          <w:rFonts w:ascii="Times New Roman" w:cs="Times New Roman" w:eastAsia="Times New Roman" w:hAnsi="Times New Roman"/>
          <w:sz w:val="20"/>
          <w:szCs w:val="20"/>
          <w:color w:val="auto"/>
        </w:rPr>
        <w:t>. This Amendment shall be binding upon and shall inure to the benefit of the Parties and their respective successors and permitted assigns.</w:t>
      </w:r>
    </w:p>
    <w:p>
      <w:pPr>
        <w:spacing w:after="0" w:line="173" w:lineRule="exact"/>
        <w:rPr>
          <w:sz w:val="20"/>
          <w:szCs w:val="20"/>
          <w:color w:val="auto"/>
        </w:rPr>
      </w:pPr>
    </w:p>
    <w:p>
      <w:pPr>
        <w:jc w:val="both"/>
        <w:ind w:firstLine="607"/>
        <w:spacing w:after="0" w:line="261" w:lineRule="auto"/>
        <w:rPr>
          <w:sz w:val="20"/>
          <w:szCs w:val="20"/>
          <w:color w:val="auto"/>
        </w:rPr>
      </w:pPr>
      <w:r>
        <w:rPr>
          <w:rFonts w:ascii="Times New Roman" w:cs="Times New Roman" w:eastAsia="Times New Roman" w:hAnsi="Times New Roman"/>
          <w:sz w:val="20"/>
          <w:szCs w:val="20"/>
          <w:color w:val="auto"/>
        </w:rPr>
        <w:t xml:space="preserve">2.6 </w:t>
      </w: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Amendment may be executed in two or more counterparts, all of which shall be considered one and the same instrument and shall become effective when one or more counterparts have been signed by each of the Parties and delivered to the other Parties.</w:t>
      </w:r>
    </w:p>
    <w:p>
      <w:pPr>
        <w:spacing w:after="0" w:line="181" w:lineRule="exact"/>
        <w:rPr>
          <w:sz w:val="20"/>
          <w:szCs w:val="20"/>
          <w:color w:val="auto"/>
        </w:rPr>
      </w:pPr>
    </w:p>
    <w:p>
      <w:pPr>
        <w:jc w:val="both"/>
        <w:ind w:firstLine="607"/>
        <w:spacing w:after="0" w:line="258" w:lineRule="auto"/>
        <w:rPr>
          <w:sz w:val="20"/>
          <w:szCs w:val="20"/>
          <w:color w:val="auto"/>
        </w:rPr>
      </w:pPr>
      <w:r>
        <w:rPr>
          <w:rFonts w:ascii="Times New Roman" w:cs="Times New Roman" w:eastAsia="Times New Roman" w:hAnsi="Times New Roman"/>
          <w:sz w:val="20"/>
          <w:szCs w:val="20"/>
          <w:color w:val="auto"/>
        </w:rPr>
        <w:t xml:space="preserve">2.7 </w:t>
      </w:r>
      <w:r>
        <w:rPr>
          <w:rFonts w:ascii="Times New Roman" w:cs="Times New Roman" w:eastAsia="Times New Roman" w:hAnsi="Times New Roman"/>
          <w:sz w:val="20"/>
          <w:szCs w:val="20"/>
          <w:u w:val="single" w:color="auto"/>
          <w:color w:val="auto"/>
        </w:rPr>
        <w:t>Effectiveness</w:t>
      </w:r>
      <w:r>
        <w:rPr>
          <w:rFonts w:ascii="Times New Roman" w:cs="Times New Roman" w:eastAsia="Times New Roman" w:hAnsi="Times New Roman"/>
          <w:sz w:val="20"/>
          <w:szCs w:val="20"/>
          <w:color w:val="auto"/>
        </w:rPr>
        <w:t>. This Amendment shall become upon the effectiveness of the Credit Agreement Amendments (the date of such effectiveness, the “</w:t>
      </w:r>
      <w:r>
        <w:rPr>
          <w:rFonts w:ascii="Times New Roman" w:cs="Times New Roman" w:eastAsia="Times New Roman" w:hAnsi="Times New Roman"/>
          <w:sz w:val="20"/>
          <w:szCs w:val="20"/>
          <w:b w:val="1"/>
          <w:bCs w:val="1"/>
          <w:color w:val="auto"/>
        </w:rPr>
        <w:t>Effective Date</w:t>
      </w:r>
      <w:r>
        <w:rPr>
          <w:rFonts w:ascii="Times New Roman" w:cs="Times New Roman" w:eastAsia="Times New Roman" w:hAnsi="Times New Roman"/>
          <w:sz w:val="20"/>
          <w:szCs w:val="20"/>
          <w:color w:val="auto"/>
        </w:rPr>
        <w:t>”). Notwithstanding anything to the contrary set forth herein, if the Merger Agreement is validly terminated in accordance with the terms set forth therein, then this Amendment shall be and become null and void concurrently with the effectiveness of such valid termination of the Merger Agreement.</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The remainder of this page is intentionally left blank.</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40" w:right="339" w:bottom="1440" w:gutter="0" w:footer="0" w:header="0"/>
        </w:sectPr>
      </w:pPr>
    </w:p>
    <w:bookmarkStart w:id="56" w:name="page57"/>
    <w:bookmarkEnd w:id="56"/>
    <w:p>
      <w:pPr>
        <w:spacing w:after="0" w:line="189"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IN WITNESS WHEREOF, the Parties have caused this Amendment to be executed as of the date first written above by their respective officers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20"/>
          <w:szCs w:val="20"/>
          <w:b w:val="1"/>
          <w:bCs w:val="1"/>
          <w:color w:val="auto"/>
        </w:rPr>
        <w:t>HONEYWELL INTERNATIONAL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22"/>
          <w:szCs w:val="22"/>
          <w:color w:val="auto"/>
        </w:rPr>
        <w:t>By: /s/ Thilo Huber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4140835</wp:posOffset>
            </wp:positionH>
            <wp:positionV relativeFrom="paragraph">
              <wp:posOffset>-13970</wp:posOffset>
            </wp:positionV>
            <wp:extent cx="190119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1901190" cy="8255"/>
                    </a:xfrm>
                    <a:prstGeom prst="rect">
                      <a:avLst/>
                    </a:prstGeom>
                    <a:noFill/>
                  </pic:spPr>
                </pic:pic>
              </a:graphicData>
            </a:graphic>
          </wp:anchor>
        </w:drawing>
      </w:r>
    </w:p>
    <w:p>
      <w:pPr>
        <w:spacing w:after="0" w:line="3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22"/>
          <w:szCs w:val="22"/>
          <w:color w:val="auto"/>
        </w:rPr>
        <w:t>Name: Thilo Huber</w:t>
      </w:r>
    </w:p>
    <w:p>
      <w:pPr>
        <w:spacing w:after="0" w:line="71"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22"/>
          <w:szCs w:val="22"/>
          <w:color w:val="auto"/>
        </w:rPr>
        <w:t>Title: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520"/>
          </w:cols>
          <w:pgMar w:left="320" w:top="1440" w:right="1059" w:bottom="1440" w:gutter="0" w:footer="0" w:header="0"/>
        </w:sectPr>
      </w:pPr>
    </w:p>
    <w:bookmarkStart w:id="57" w:name="page58"/>
    <w:bookmarkEnd w:id="57"/>
    <w:p>
      <w:pPr>
        <w:spacing w:after="0" w:line="25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b w:val="1"/>
          <w:bCs w:val="1"/>
          <w:color w:val="auto"/>
        </w:rPr>
        <w:t>RESIDEO INTERMEDIATE HOLDING INC.</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By: /s/ John Heskett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3420745</wp:posOffset>
            </wp:positionH>
            <wp:positionV relativeFrom="paragraph">
              <wp:posOffset>-13970</wp:posOffset>
            </wp:positionV>
            <wp:extent cx="187071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1870710" cy="8255"/>
                    </a:xfrm>
                    <a:prstGeom prst="rect">
                      <a:avLst/>
                    </a:prstGeom>
                    <a:noFill/>
                  </pic:spPr>
                </pic:pic>
              </a:graphicData>
            </a:graphic>
          </wp:anchor>
        </w:drawing>
      </w:r>
    </w:p>
    <w:p>
      <w:pPr>
        <w:spacing w:after="0" w:line="38"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Name: John Heskett</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Title: VP Corporate Development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9240"/>
          </w:cols>
          <w:pgMar w:left="1440" w:top="1440" w:right="121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 Vimal Kapur, certify that:</w:t>
      </w:r>
    </w:p>
    <w:p>
      <w:pPr>
        <w:spacing w:after="0" w:line="266" w:lineRule="exact"/>
        <w:rPr>
          <w:sz w:val="20"/>
          <w:szCs w:val="20"/>
          <w:color w:val="auto"/>
        </w:rPr>
      </w:pPr>
    </w:p>
    <w:p>
      <w:pPr>
        <w:ind w:left="360" w:hanging="334"/>
        <w:spacing w:after="0"/>
        <w:tabs>
          <w:tab w:leader="none" w:pos="3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Honeywell International Inc.;</w:t>
      </w:r>
    </w:p>
    <w:p>
      <w:pPr>
        <w:spacing w:after="0" w:line="252" w:lineRule="exact"/>
        <w:rPr>
          <w:rFonts w:ascii="Arial" w:cs="Arial" w:eastAsia="Arial" w:hAnsi="Arial"/>
          <w:sz w:val="18"/>
          <w:szCs w:val="18"/>
          <w:color w:val="auto"/>
        </w:rPr>
      </w:pPr>
    </w:p>
    <w:p>
      <w:pPr>
        <w:jc w:val="both"/>
        <w:ind w:left="360" w:right="60" w:hanging="334"/>
        <w:spacing w:after="0" w:line="233" w:lineRule="auto"/>
        <w:tabs>
          <w:tab w:leader="none" w:pos="3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0" w:lineRule="exact"/>
        <w:rPr>
          <w:rFonts w:ascii="Arial" w:cs="Arial" w:eastAsia="Arial" w:hAnsi="Arial"/>
          <w:sz w:val="18"/>
          <w:szCs w:val="18"/>
          <w:color w:val="auto"/>
        </w:rPr>
      </w:pPr>
    </w:p>
    <w:p>
      <w:pPr>
        <w:ind w:left="360" w:right="60" w:hanging="334"/>
        <w:spacing w:after="0"/>
        <w:tabs>
          <w:tab w:leader="none" w:pos="3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34" w:lineRule="exact"/>
        <w:rPr>
          <w:rFonts w:ascii="Arial" w:cs="Arial" w:eastAsia="Arial" w:hAnsi="Arial"/>
          <w:sz w:val="18"/>
          <w:szCs w:val="18"/>
          <w:color w:val="auto"/>
        </w:rPr>
      </w:pPr>
    </w:p>
    <w:p>
      <w:pPr>
        <w:jc w:val="both"/>
        <w:ind w:left="360" w:right="60" w:hanging="334"/>
        <w:spacing w:after="0" w:line="221" w:lineRule="auto"/>
        <w:tabs>
          <w:tab w:leader="none" w:pos="3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34" w:lineRule="exact"/>
        <w:rPr>
          <w:rFonts w:ascii="Arial" w:cs="Arial" w:eastAsia="Arial" w:hAnsi="Arial"/>
          <w:sz w:val="18"/>
          <w:szCs w:val="18"/>
          <w:color w:val="auto"/>
        </w:rPr>
      </w:pPr>
    </w:p>
    <w:p>
      <w:pPr>
        <w:jc w:val="both"/>
        <w:ind w:left="1380" w:right="60" w:hanging="608"/>
        <w:spacing w:after="0" w:line="233" w:lineRule="auto"/>
        <w:tabs>
          <w:tab w:leader="none" w:pos="13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0" w:lineRule="exact"/>
        <w:rPr>
          <w:rFonts w:ascii="Arial" w:cs="Arial" w:eastAsia="Arial" w:hAnsi="Arial"/>
          <w:sz w:val="18"/>
          <w:szCs w:val="18"/>
          <w:color w:val="auto"/>
        </w:rPr>
      </w:pPr>
    </w:p>
    <w:p>
      <w:pPr>
        <w:jc w:val="both"/>
        <w:ind w:left="1380" w:right="80" w:hanging="608"/>
        <w:spacing w:after="0" w:line="233" w:lineRule="auto"/>
        <w:tabs>
          <w:tab w:leader="none" w:pos="13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0" w:lineRule="exact"/>
        <w:rPr>
          <w:rFonts w:ascii="Arial" w:cs="Arial" w:eastAsia="Arial" w:hAnsi="Arial"/>
          <w:sz w:val="18"/>
          <w:szCs w:val="18"/>
          <w:color w:val="auto"/>
        </w:rPr>
      </w:pPr>
    </w:p>
    <w:p>
      <w:pPr>
        <w:jc w:val="both"/>
        <w:ind w:left="1380" w:right="60" w:hanging="603"/>
        <w:spacing w:after="0" w:line="233" w:lineRule="auto"/>
        <w:tabs>
          <w:tab w:leader="none" w:pos="13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0" w:lineRule="exact"/>
        <w:rPr>
          <w:rFonts w:ascii="Arial" w:cs="Arial" w:eastAsia="Arial" w:hAnsi="Arial"/>
          <w:sz w:val="18"/>
          <w:szCs w:val="18"/>
          <w:color w:val="auto"/>
        </w:rPr>
      </w:pPr>
    </w:p>
    <w:p>
      <w:pPr>
        <w:jc w:val="both"/>
        <w:ind w:left="1380" w:right="60" w:hanging="608"/>
        <w:spacing w:after="0" w:line="233" w:lineRule="auto"/>
        <w:tabs>
          <w:tab w:leader="none" w:pos="13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20" w:lineRule="exact"/>
        <w:rPr>
          <w:rFonts w:ascii="Arial" w:cs="Arial" w:eastAsia="Arial" w:hAnsi="Arial"/>
          <w:sz w:val="18"/>
          <w:szCs w:val="18"/>
          <w:color w:val="auto"/>
        </w:rPr>
      </w:pPr>
    </w:p>
    <w:p>
      <w:pPr>
        <w:jc w:val="both"/>
        <w:ind w:left="360" w:right="60" w:hanging="334"/>
        <w:spacing w:after="0" w:line="233" w:lineRule="auto"/>
        <w:tabs>
          <w:tab w:leader="none" w:pos="3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0" w:lineRule="exact"/>
        <w:rPr>
          <w:rFonts w:ascii="Arial" w:cs="Arial" w:eastAsia="Arial" w:hAnsi="Arial"/>
          <w:sz w:val="18"/>
          <w:szCs w:val="18"/>
          <w:color w:val="auto"/>
        </w:rPr>
      </w:pPr>
    </w:p>
    <w:p>
      <w:pPr>
        <w:jc w:val="both"/>
        <w:ind w:left="1380" w:right="60" w:hanging="608"/>
        <w:spacing w:after="0" w:line="233" w:lineRule="auto"/>
        <w:tabs>
          <w:tab w:leader="none" w:pos="13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0" w:lineRule="exact"/>
        <w:rPr>
          <w:rFonts w:ascii="Arial" w:cs="Arial" w:eastAsia="Arial" w:hAnsi="Arial"/>
          <w:sz w:val="18"/>
          <w:szCs w:val="18"/>
          <w:color w:val="auto"/>
        </w:rPr>
      </w:pPr>
    </w:p>
    <w:p>
      <w:pPr>
        <w:ind w:left="1380" w:right="60" w:hanging="608"/>
        <w:spacing w:after="0"/>
        <w:tabs>
          <w:tab w:leader="none" w:pos="13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0" w:lineRule="exact"/>
        <w:rPr>
          <w:sz w:val="20"/>
          <w:szCs w:val="20"/>
          <w:color w:val="auto"/>
        </w:rPr>
      </w:pPr>
    </w:p>
    <w:p>
      <w:pPr>
        <w:ind w:left="20"/>
        <w:spacing w:after="0"/>
        <w:tabs>
          <w:tab w:leader="none" w:pos="5480" w:val="left"/>
          <w:tab w:leader="none" w:pos="6140" w:val="left"/>
        </w:tabs>
        <w:rPr>
          <w:sz w:val="20"/>
          <w:szCs w:val="20"/>
          <w:color w:val="auto"/>
        </w:rPr>
      </w:pPr>
      <w:r>
        <w:rPr>
          <w:rFonts w:ascii="Arial" w:cs="Arial" w:eastAsia="Arial" w:hAnsi="Arial"/>
          <w:sz w:val="18"/>
          <w:szCs w:val="18"/>
          <w:color w:val="auto"/>
        </w:rPr>
        <w:t>Date: April 25, 2024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Vimal Kapur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17780</wp:posOffset>
            </wp:positionV>
            <wp:extent cx="32232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Vimal Kapur</w:t>
      </w:r>
    </w:p>
    <w:p>
      <w:pPr>
        <w:spacing w:after="0" w:line="32"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890"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 Gregory P. Lewis, certify that:</w:t>
      </w:r>
    </w:p>
    <w:p>
      <w:pPr>
        <w:spacing w:after="0" w:line="266" w:lineRule="exact"/>
        <w:rPr>
          <w:sz w:val="20"/>
          <w:szCs w:val="20"/>
          <w:color w:val="auto"/>
        </w:rPr>
      </w:pPr>
    </w:p>
    <w:p>
      <w:pPr>
        <w:ind w:left="360" w:hanging="334"/>
        <w:spacing w:after="0"/>
        <w:tabs>
          <w:tab w:leader="none" w:pos="3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Honeywell International Inc.;</w:t>
      </w:r>
    </w:p>
    <w:p>
      <w:pPr>
        <w:spacing w:after="0" w:line="252" w:lineRule="exact"/>
        <w:rPr>
          <w:rFonts w:ascii="Arial" w:cs="Arial" w:eastAsia="Arial" w:hAnsi="Arial"/>
          <w:sz w:val="18"/>
          <w:szCs w:val="18"/>
          <w:color w:val="auto"/>
        </w:rPr>
      </w:pPr>
    </w:p>
    <w:p>
      <w:pPr>
        <w:jc w:val="both"/>
        <w:ind w:left="360" w:right="60" w:hanging="334"/>
        <w:spacing w:after="0" w:line="233" w:lineRule="auto"/>
        <w:tabs>
          <w:tab w:leader="none" w:pos="3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0" w:lineRule="exact"/>
        <w:rPr>
          <w:rFonts w:ascii="Arial" w:cs="Arial" w:eastAsia="Arial" w:hAnsi="Arial"/>
          <w:sz w:val="18"/>
          <w:szCs w:val="18"/>
          <w:color w:val="auto"/>
        </w:rPr>
      </w:pPr>
    </w:p>
    <w:p>
      <w:pPr>
        <w:ind w:left="360" w:right="60" w:hanging="334"/>
        <w:spacing w:after="0"/>
        <w:tabs>
          <w:tab w:leader="none" w:pos="3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34" w:lineRule="exact"/>
        <w:rPr>
          <w:rFonts w:ascii="Arial" w:cs="Arial" w:eastAsia="Arial" w:hAnsi="Arial"/>
          <w:sz w:val="18"/>
          <w:szCs w:val="18"/>
          <w:color w:val="auto"/>
        </w:rPr>
      </w:pPr>
    </w:p>
    <w:p>
      <w:pPr>
        <w:jc w:val="both"/>
        <w:ind w:left="360" w:right="60" w:hanging="334"/>
        <w:spacing w:after="0" w:line="221" w:lineRule="auto"/>
        <w:tabs>
          <w:tab w:leader="none" w:pos="3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34" w:lineRule="exact"/>
        <w:rPr>
          <w:rFonts w:ascii="Arial" w:cs="Arial" w:eastAsia="Arial" w:hAnsi="Arial"/>
          <w:sz w:val="18"/>
          <w:szCs w:val="18"/>
          <w:color w:val="auto"/>
        </w:rPr>
      </w:pPr>
    </w:p>
    <w:p>
      <w:pPr>
        <w:jc w:val="both"/>
        <w:ind w:left="1380" w:right="60" w:hanging="608"/>
        <w:spacing w:after="0" w:line="233" w:lineRule="auto"/>
        <w:tabs>
          <w:tab w:leader="none" w:pos="13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0" w:lineRule="exact"/>
        <w:rPr>
          <w:rFonts w:ascii="Arial" w:cs="Arial" w:eastAsia="Arial" w:hAnsi="Arial"/>
          <w:sz w:val="18"/>
          <w:szCs w:val="18"/>
          <w:color w:val="auto"/>
        </w:rPr>
      </w:pPr>
    </w:p>
    <w:p>
      <w:pPr>
        <w:jc w:val="both"/>
        <w:ind w:left="1380" w:right="80" w:hanging="608"/>
        <w:spacing w:after="0" w:line="233" w:lineRule="auto"/>
        <w:tabs>
          <w:tab w:leader="none" w:pos="13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0" w:lineRule="exact"/>
        <w:rPr>
          <w:rFonts w:ascii="Arial" w:cs="Arial" w:eastAsia="Arial" w:hAnsi="Arial"/>
          <w:sz w:val="18"/>
          <w:szCs w:val="18"/>
          <w:color w:val="auto"/>
        </w:rPr>
      </w:pPr>
    </w:p>
    <w:p>
      <w:pPr>
        <w:jc w:val="both"/>
        <w:ind w:left="1380" w:right="60" w:hanging="603"/>
        <w:spacing w:after="0" w:line="233" w:lineRule="auto"/>
        <w:tabs>
          <w:tab w:leader="none" w:pos="13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0" w:lineRule="exact"/>
        <w:rPr>
          <w:rFonts w:ascii="Arial" w:cs="Arial" w:eastAsia="Arial" w:hAnsi="Arial"/>
          <w:sz w:val="18"/>
          <w:szCs w:val="18"/>
          <w:color w:val="auto"/>
        </w:rPr>
      </w:pPr>
    </w:p>
    <w:p>
      <w:pPr>
        <w:jc w:val="both"/>
        <w:ind w:left="1380" w:right="60" w:hanging="608"/>
        <w:spacing w:after="0" w:line="233" w:lineRule="auto"/>
        <w:tabs>
          <w:tab w:leader="none" w:pos="13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20" w:lineRule="exact"/>
        <w:rPr>
          <w:rFonts w:ascii="Arial" w:cs="Arial" w:eastAsia="Arial" w:hAnsi="Arial"/>
          <w:sz w:val="18"/>
          <w:szCs w:val="18"/>
          <w:color w:val="auto"/>
        </w:rPr>
      </w:pPr>
    </w:p>
    <w:p>
      <w:pPr>
        <w:jc w:val="both"/>
        <w:ind w:left="360" w:right="60" w:hanging="334"/>
        <w:spacing w:after="0" w:line="233" w:lineRule="auto"/>
        <w:tabs>
          <w:tab w:leader="none" w:pos="3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0" w:lineRule="exact"/>
        <w:rPr>
          <w:rFonts w:ascii="Arial" w:cs="Arial" w:eastAsia="Arial" w:hAnsi="Arial"/>
          <w:sz w:val="18"/>
          <w:szCs w:val="18"/>
          <w:color w:val="auto"/>
        </w:rPr>
      </w:pPr>
    </w:p>
    <w:p>
      <w:pPr>
        <w:jc w:val="both"/>
        <w:ind w:left="1380" w:right="60" w:hanging="608"/>
        <w:spacing w:after="0" w:line="233" w:lineRule="auto"/>
        <w:tabs>
          <w:tab w:leader="none" w:pos="13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0" w:lineRule="exact"/>
        <w:rPr>
          <w:rFonts w:ascii="Arial" w:cs="Arial" w:eastAsia="Arial" w:hAnsi="Arial"/>
          <w:sz w:val="18"/>
          <w:szCs w:val="18"/>
          <w:color w:val="auto"/>
        </w:rPr>
      </w:pPr>
    </w:p>
    <w:p>
      <w:pPr>
        <w:ind w:left="1380" w:right="60" w:hanging="608"/>
        <w:spacing w:after="0"/>
        <w:tabs>
          <w:tab w:leader="none" w:pos="13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0" w:lineRule="exact"/>
        <w:rPr>
          <w:sz w:val="20"/>
          <w:szCs w:val="20"/>
          <w:color w:val="auto"/>
        </w:rPr>
      </w:pPr>
    </w:p>
    <w:p>
      <w:pPr>
        <w:ind w:left="20"/>
        <w:spacing w:after="0"/>
        <w:tabs>
          <w:tab w:leader="none" w:pos="5480" w:val="left"/>
          <w:tab w:leader="none" w:pos="6140" w:val="left"/>
        </w:tabs>
        <w:rPr>
          <w:sz w:val="20"/>
          <w:szCs w:val="20"/>
          <w:color w:val="auto"/>
        </w:rPr>
      </w:pPr>
      <w:r>
        <w:rPr>
          <w:rFonts w:ascii="Arial" w:cs="Arial" w:eastAsia="Arial" w:hAnsi="Arial"/>
          <w:sz w:val="18"/>
          <w:szCs w:val="18"/>
          <w:color w:val="auto"/>
        </w:rPr>
        <w:t>Date: April 25, 2024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Gregory P.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17780</wp:posOffset>
            </wp:positionV>
            <wp:extent cx="322326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Gregory P. Lewis</w:t>
      </w:r>
    </w:p>
    <w:p>
      <w:pPr>
        <w:spacing w:after="0" w:line="32"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240"/>
          </w:cols>
          <w:pgMar w:left="320" w:top="890"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connection with the Quarterly Report of Honeywell International Inc. (the Company) on Form 10-Q for the period ended March 31, 2024 as filed with the Securities and Exchange Commission on the date hereof (the Report), I, Vimal Kapur, Chief Executive Officer of the Company, certify, pursuant to 18 U.S.C. Section 1350, as adopted pursuant to Section 906 of the Sarbanes-Oxley Act of 2002, that:</w:t>
      </w:r>
    </w:p>
    <w:p>
      <w:pPr>
        <w:spacing w:after="0" w:line="171" w:lineRule="exact"/>
        <w:rPr>
          <w:sz w:val="20"/>
          <w:szCs w:val="20"/>
          <w:color w:val="auto"/>
        </w:rPr>
      </w:pPr>
    </w:p>
    <w:p>
      <w:pPr>
        <w:ind w:left="800" w:hanging="306"/>
        <w:spacing w:after="0"/>
        <w:tabs>
          <w:tab w:leader="none" w:pos="8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7" w:lineRule="exact"/>
        <w:rPr>
          <w:rFonts w:ascii="Arial" w:cs="Arial" w:eastAsia="Arial" w:hAnsi="Arial"/>
          <w:sz w:val="18"/>
          <w:szCs w:val="18"/>
          <w:color w:val="auto"/>
        </w:rPr>
      </w:pPr>
    </w:p>
    <w:p>
      <w:pPr>
        <w:ind w:left="820" w:right="20" w:hanging="326"/>
        <w:spacing w:after="0" w:line="266" w:lineRule="auto"/>
        <w:tabs>
          <w:tab w:leader="none" w:pos="81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39" w:lineRule="exact"/>
        <w:rPr>
          <w:sz w:val="20"/>
          <w:szCs w:val="20"/>
          <w:color w:val="auto"/>
        </w:rPr>
      </w:pPr>
    </w:p>
    <w:tbl>
      <w:tblPr>
        <w:tblLayout w:type="fixed"/>
        <w:tblInd w:w="180" w:type="dxa"/>
        <w:tblCellMar>
          <w:top w:w="0" w:type="dxa"/>
          <w:left w:w="0" w:type="dxa"/>
          <w:bottom w:w="0" w:type="dxa"/>
          <w:right w:w="0" w:type="dxa"/>
        </w:tblCellMar>
      </w:tblPr>
      <w:tr>
        <w:trPr>
          <w:trHeight w:val="235"/>
        </w:trPr>
        <w:tc>
          <w:tcPr>
            <w:tcW w:w="3500" w:type="dxa"/>
            <w:vAlign w:val="bottom"/>
          </w:tcPr>
          <w:p>
            <w:pPr>
              <w:spacing w:after="0"/>
              <w:rPr>
                <w:sz w:val="20"/>
                <w:szCs w:val="20"/>
                <w:color w:val="auto"/>
              </w:rPr>
            </w:pPr>
            <w:r>
              <w:rPr>
                <w:rFonts w:ascii="Arial" w:cs="Arial" w:eastAsia="Arial" w:hAnsi="Arial"/>
                <w:sz w:val="18"/>
                <w:szCs w:val="18"/>
                <w:color w:val="auto"/>
              </w:rPr>
              <w:t>Date: April 25, 2024</w:t>
            </w:r>
          </w:p>
        </w:tc>
        <w:tc>
          <w:tcPr>
            <w:tcW w:w="2520" w:type="dxa"/>
            <w:vAlign w:val="bottom"/>
          </w:tcPr>
          <w:p>
            <w:pPr>
              <w:ind w:left="190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Vimal Kapur</w:t>
            </w:r>
          </w:p>
        </w:tc>
      </w:tr>
      <w:tr>
        <w:trPr>
          <w:trHeight w:val="218"/>
        </w:trPr>
        <w:tc>
          <w:tcPr>
            <w:tcW w:w="35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Vimal Kapur</w:t>
            </w:r>
          </w:p>
        </w:tc>
      </w:tr>
      <w:tr>
        <w:trPr>
          <w:trHeight w:val="239"/>
        </w:trPr>
        <w:tc>
          <w:tcPr>
            <w:tcW w:w="35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890"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connection with the Quarterly Report of Honeywell International Inc. (the Company) on Form 10-Q for the period ended March 31, 2024 as filed with the Securities and Exchange Commission on the date hereof (the Report), I, Gregory P. Lewis, Senior Vice President and Chief Financial Officer of the Company, certify, pursuant to 18 U.S.C. Section 1350, as adopted pursuant to Section 906 of the Sarbanes-Oxley Act of 2002, that:</w:t>
      </w:r>
    </w:p>
    <w:p>
      <w:pPr>
        <w:spacing w:after="0" w:line="176" w:lineRule="exact"/>
        <w:rPr>
          <w:sz w:val="20"/>
          <w:szCs w:val="20"/>
          <w:color w:val="auto"/>
        </w:rPr>
      </w:pPr>
    </w:p>
    <w:p>
      <w:pPr>
        <w:ind w:left="800" w:hanging="306"/>
        <w:spacing w:after="0"/>
        <w:tabs>
          <w:tab w:leader="none" w:pos="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7" w:lineRule="exact"/>
        <w:rPr>
          <w:rFonts w:ascii="Arial" w:cs="Arial" w:eastAsia="Arial" w:hAnsi="Arial"/>
          <w:sz w:val="18"/>
          <w:szCs w:val="18"/>
          <w:color w:val="auto"/>
        </w:rPr>
      </w:pPr>
    </w:p>
    <w:p>
      <w:pPr>
        <w:ind w:left="820" w:right="20" w:hanging="326"/>
        <w:spacing w:after="0" w:line="266" w:lineRule="auto"/>
        <w:tabs>
          <w:tab w:leader="none" w:pos="81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39" w:lineRule="exact"/>
        <w:rPr>
          <w:sz w:val="20"/>
          <w:szCs w:val="20"/>
          <w:color w:val="auto"/>
        </w:rPr>
      </w:pPr>
    </w:p>
    <w:tbl>
      <w:tblPr>
        <w:tblLayout w:type="fixed"/>
        <w:tblInd w:w="180" w:type="dxa"/>
        <w:tblCellMar>
          <w:top w:w="0" w:type="dxa"/>
          <w:left w:w="0" w:type="dxa"/>
          <w:bottom w:w="0" w:type="dxa"/>
          <w:right w:w="0" w:type="dxa"/>
        </w:tblCellMar>
      </w:tblPr>
      <w:tr>
        <w:trPr>
          <w:trHeight w:val="235"/>
        </w:trPr>
        <w:tc>
          <w:tcPr>
            <w:tcW w:w="3500" w:type="dxa"/>
            <w:vAlign w:val="bottom"/>
          </w:tcPr>
          <w:p>
            <w:pPr>
              <w:spacing w:after="0"/>
              <w:rPr>
                <w:sz w:val="20"/>
                <w:szCs w:val="20"/>
                <w:color w:val="auto"/>
              </w:rPr>
            </w:pPr>
            <w:r>
              <w:rPr>
                <w:rFonts w:ascii="Arial" w:cs="Arial" w:eastAsia="Arial" w:hAnsi="Arial"/>
                <w:sz w:val="18"/>
                <w:szCs w:val="18"/>
                <w:color w:val="auto"/>
              </w:rPr>
              <w:t>Date: April 25, 2024</w:t>
            </w:r>
          </w:p>
        </w:tc>
        <w:tc>
          <w:tcPr>
            <w:tcW w:w="2520" w:type="dxa"/>
            <w:vAlign w:val="bottom"/>
          </w:tcPr>
          <w:p>
            <w:pPr>
              <w:ind w:left="190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Gregory P. Lewis</w:t>
            </w:r>
          </w:p>
        </w:tc>
      </w:tr>
      <w:tr>
        <w:trPr>
          <w:trHeight w:val="218"/>
        </w:trPr>
        <w:tc>
          <w:tcPr>
            <w:tcW w:w="35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Gregory P. Lewis</w:t>
            </w:r>
          </w:p>
        </w:tc>
      </w:tr>
      <w:tr>
        <w:trPr>
          <w:trHeight w:val="239"/>
        </w:trPr>
        <w:tc>
          <w:tcPr>
            <w:tcW w:w="35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r>
    </w:tbl>
    <w:p>
      <w:pPr>
        <w:sectPr>
          <w:pgSz w:w="11900" w:h="16838" w:orient="portrait"/>
          <w:cols w:equalWidth="0" w:num="1">
            <w:col w:w="11240"/>
          </w:cols>
          <w:pgMar w:left="320" w:top="890"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95</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Mine Safety Disclosures</w:t>
      </w:r>
    </w:p>
    <w:p>
      <w:pPr>
        <w:spacing w:after="0" w:line="333" w:lineRule="exact"/>
        <w:rPr>
          <w:sz w:val="20"/>
          <w:szCs w:val="20"/>
          <w:color w:val="auto"/>
        </w:rPr>
      </w:pPr>
    </w:p>
    <w:p>
      <w:pPr>
        <w:jc w:val="both"/>
        <w:ind w:firstLine="364"/>
        <w:spacing w:after="0" w:line="259" w:lineRule="auto"/>
        <w:rPr>
          <w:sz w:val="20"/>
          <w:szCs w:val="20"/>
          <w:color w:val="auto"/>
        </w:rPr>
      </w:pPr>
      <w:r>
        <w:rPr>
          <w:rFonts w:ascii="Arial" w:cs="Arial" w:eastAsia="Arial" w:hAnsi="Arial"/>
          <w:sz w:val="18"/>
          <w:szCs w:val="18"/>
          <w:color w:val="auto"/>
        </w:rPr>
        <w:t>The following disclosures are provided pursuant to Section 1503(a) of the Dodd-Frank Wall Street Reform and Consumer Protection Act and Item 104 of Regulation S-K, which require certain disclosures by companies required to file periodic reports under the Securities Exchange Act of 1934, as amended, that operate mines regulated under the Federal Mine Safety and Health Act of 1977 (the "Mine Safety Act"). One of the subsidiaries of Honeywell International Inc. (the "Company") has placer claims for and operates a surface mine for chabazite ore in Arizona.</w:t>
      </w:r>
    </w:p>
    <w:p>
      <w:pPr>
        <w:spacing w:after="0" w:line="71" w:lineRule="exact"/>
        <w:rPr>
          <w:sz w:val="20"/>
          <w:szCs w:val="20"/>
          <w:color w:val="auto"/>
        </w:rPr>
      </w:pPr>
    </w:p>
    <w:p>
      <w:pPr>
        <w:jc w:val="both"/>
        <w:ind w:firstLine="364"/>
        <w:spacing w:after="0" w:line="257" w:lineRule="auto"/>
        <w:rPr>
          <w:sz w:val="20"/>
          <w:szCs w:val="20"/>
          <w:color w:val="auto"/>
        </w:rPr>
      </w:pPr>
      <w:r>
        <w:rPr>
          <w:rFonts w:ascii="Arial" w:cs="Arial" w:eastAsia="Arial" w:hAnsi="Arial"/>
          <w:sz w:val="18"/>
          <w:szCs w:val="18"/>
          <w:color w:val="auto"/>
        </w:rPr>
        <w:t>During the quarter ended March 31, 2024, the Company did not receive any of the following: (a) a citation from the U.S. Mine Safety and Health Administration (“MSHA”) for a violation of mandatory health or safety standards that could significantly and substantially contribute to the cause and effect of a coal or other mine safety or health hazard under section 104 of the Mine Safety Act; (b) an order issued under section 104(b) of the Mine Safety Act; (c) a citation or order for unwarrantable failure of the mine operator to comply with mandatory health or safety standards under section 104(d) of the Mine Safety Act; (d) a flagrant violation under section 110(b)(2) of the Mine Safety Act; (e) an imminent danger order under section 107(a) of the Mine Safety Act; or (f) a proposed assessment from the MSHA.</w:t>
      </w:r>
    </w:p>
    <w:p>
      <w:pPr>
        <w:spacing w:after="0" w:line="74" w:lineRule="exact"/>
        <w:rPr>
          <w:sz w:val="20"/>
          <w:szCs w:val="20"/>
          <w:color w:val="auto"/>
        </w:rPr>
      </w:pPr>
    </w:p>
    <w:p>
      <w:pPr>
        <w:jc w:val="both"/>
        <w:ind w:firstLine="364"/>
        <w:spacing w:after="0" w:line="259" w:lineRule="auto"/>
        <w:rPr>
          <w:sz w:val="20"/>
          <w:szCs w:val="20"/>
          <w:color w:val="auto"/>
        </w:rPr>
      </w:pPr>
      <w:r>
        <w:rPr>
          <w:rFonts w:ascii="Arial" w:cs="Arial" w:eastAsia="Arial" w:hAnsi="Arial"/>
          <w:sz w:val="18"/>
          <w:szCs w:val="18"/>
          <w:color w:val="auto"/>
        </w:rPr>
        <w:t>In addition, during the quarter ended March 31, 2024, the Company had no mining-related fatalities, had no pending legal actions before the Federal Mine Safety and Health Review Commission involving a coal or other mine, and did not receive any written notice from the MSHA involving a pattern of violations, or the potential to have such a pattern, of mandatory health or safety standards that are of such nature as could have significantly and substantially contributed to the cause and effect of coal or other mine health or safety hazards under section 104(e) of the Mine Safety Act.</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1"/>
      <w:numFmt w:val="bullet"/>
      <w:start w:val="1"/>
    </w:lvl>
  </w:abstractNum>
  <w:abstractNum w:abstractNumId="3">
    <w:nsid w:val="737B8DDC"/>
    <w:multiLevelType w:val="hybridMultilevel"/>
    <w:lvl w:ilvl="0">
      <w:lvlJc w:val="left"/>
      <w:lvlText w:val="2"/>
      <w:numFmt w:val="bullet"/>
      <w:start w:val="1"/>
    </w:lvl>
  </w:abstractNum>
  <w:abstractNum w:abstractNumId="4">
    <w:nsid w:val="6CEAF087"/>
    <w:multiLevelType w:val="hybridMultilevel"/>
    <w:lvl w:ilvl="0">
      <w:lvlJc w:val="left"/>
      <w:lvlText w:val="3"/>
      <w:numFmt w:val="bullet"/>
      <w:start w:val="1"/>
    </w:lvl>
  </w:abstractNum>
  <w:abstractNum w:abstractNumId="5">
    <w:nsid w:val="22221A70"/>
    <w:multiLevelType w:val="hybridMultilevel"/>
    <w:lvl w:ilvl="0">
      <w:lvlJc w:val="left"/>
      <w:lvlText w:val="4"/>
      <w:numFmt w:val="bullet"/>
      <w:start w:val="1"/>
    </w:lvl>
  </w:abstractNum>
  <w:abstractNum w:abstractNumId="6">
    <w:nsid w:val="4516DDE9"/>
    <w:multiLevelType w:val="hybridMultilevel"/>
    <w:lvl w:ilvl="0">
      <w:lvlJc w:val="left"/>
      <w:lvlText w:val="5"/>
      <w:numFmt w:val="bullet"/>
      <w:start w:val="1"/>
    </w:lvl>
  </w:abstractNum>
  <w:abstractNum w:abstractNumId="7">
    <w:nsid w:val="3006C83E"/>
    <w:multiLevelType w:val="hybridMultilevel"/>
    <w:lvl w:ilvl="0">
      <w:lvlJc w:val="left"/>
      <w:lvlText w:val="6"/>
      <w:numFmt w:val="bullet"/>
      <w:start w:val="1"/>
    </w:lvl>
  </w:abstractNum>
  <w:abstractNum w:abstractNumId="8">
    <w:nsid w:val="614FD4A1"/>
    <w:multiLevelType w:val="hybridMultilevel"/>
    <w:lvl w:ilvl="0">
      <w:lvlJc w:val="left"/>
      <w:lvlText w:val="7"/>
      <w:numFmt w:val="bullet"/>
      <w:start w:val="1"/>
    </w:lvl>
  </w:abstractNum>
  <w:abstractNum w:abstractNumId="9">
    <w:nsid w:val="419AC241"/>
    <w:multiLevelType w:val="hybridMultilevel"/>
    <w:lvl w:ilvl="0">
      <w:lvlJc w:val="left"/>
      <w:lvlText w:val="8"/>
      <w:numFmt w:val="bullet"/>
      <w:start w:val="1"/>
    </w:lvl>
  </w:abstractNum>
  <w:abstractNum w:abstractNumId="10">
    <w:nsid w:val="5577F8E1"/>
    <w:multiLevelType w:val="hybridMultilevel"/>
    <w:lvl w:ilvl="0">
      <w:lvlJc w:val="left"/>
      <w:lvlText w:val="9"/>
      <w:numFmt w:val="bullet"/>
      <w:start w:val="1"/>
    </w:lvl>
  </w:abstractNum>
  <w:abstractNum w:abstractNumId="11">
    <w:nsid w:val="440BADFC"/>
    <w:multiLevelType w:val="hybridMultilevel"/>
    <w:lvl w:ilvl="0">
      <w:lvlJc w:val="left"/>
      <w:lvlText w:val="%1"/>
      <w:numFmt w:val="decimal"/>
      <w:start w:val="10"/>
    </w:lvl>
  </w:abstractNum>
  <w:abstractNum w:abstractNumId="12">
    <w:nsid w:val="5072367"/>
    <w:multiLevelType w:val="hybridMultilevel"/>
    <w:lvl w:ilvl="0">
      <w:lvlJc w:val="left"/>
      <w:lvlText w:val="%1"/>
      <w:numFmt w:val="decimal"/>
      <w:start w:val="11"/>
    </w:lvl>
  </w:abstractNum>
  <w:abstractNum w:abstractNumId="13">
    <w:nsid w:val="3804823E"/>
    <w:multiLevelType w:val="hybridMultilevel"/>
    <w:lvl w:ilvl="0">
      <w:lvlJc w:val="left"/>
      <w:lvlText w:val="%1"/>
      <w:numFmt w:val="decimal"/>
      <w:start w:val="12"/>
    </w:lvl>
  </w:abstractNum>
  <w:abstractNum w:abstractNumId="14">
    <w:nsid w:val="77465F01"/>
    <w:multiLevelType w:val="hybridMultilevel"/>
    <w:lvl w:ilvl="0">
      <w:lvlJc w:val="left"/>
      <w:lvlText w:val="1"/>
      <w:numFmt w:val="bullet"/>
      <w:start w:val="1"/>
    </w:lvl>
  </w:abstractNum>
  <w:abstractNum w:abstractNumId="15">
    <w:nsid w:val="7724C67E"/>
    <w:multiLevelType w:val="hybridMultilevel"/>
    <w:lvl w:ilvl="0">
      <w:lvlJc w:val="left"/>
      <w:lvlText w:val="%1"/>
      <w:numFmt w:val="decimal"/>
      <w:start w:val="14"/>
    </w:lvl>
  </w:abstractNum>
  <w:abstractNum w:abstractNumId="16">
    <w:nsid w:val="5C482A97"/>
    <w:multiLevelType w:val="hybridMultilevel"/>
    <w:lvl w:ilvl="0">
      <w:lvlJc w:val="left"/>
      <w:lvlText w:val="%1"/>
      <w:numFmt w:val="decimal"/>
      <w:start w:val="16"/>
    </w:lvl>
  </w:abstractNum>
  <w:abstractNum w:abstractNumId="17">
    <w:nsid w:val="2463B9EA"/>
    <w:multiLevelType w:val="hybridMultilevel"/>
    <w:lvl w:ilvl="0">
      <w:lvlJc w:val="left"/>
      <w:lvlText w:val="%1"/>
      <w:numFmt w:val="decimal"/>
      <w:start w:val="19"/>
    </w:lvl>
  </w:abstractNum>
  <w:abstractNum w:abstractNumId="18">
    <w:nsid w:val="5E884ADC"/>
    <w:multiLevelType w:val="hybridMultilevel"/>
    <w:lvl w:ilvl="0">
      <w:lvlJc w:val="left"/>
      <w:lvlText w:val="•"/>
      <w:numFmt w:val="bullet"/>
      <w:start w:val="1"/>
    </w:lvl>
  </w:abstractNum>
  <w:abstractNum w:abstractNumId="19">
    <w:nsid w:val="51EAD36B"/>
    <w:multiLevelType w:val="hybridMultilevel"/>
    <w:lvl w:ilvl="0">
      <w:lvlJc w:val="left"/>
      <w:lvlText w:val="%1"/>
      <w:numFmt w:val="decimal"/>
      <w:start w:val="21"/>
    </w:lvl>
  </w:abstractNum>
  <w:abstractNum w:abstractNumId="20">
    <w:nsid w:val="2D517796"/>
    <w:multiLevelType w:val="hybridMultilevel"/>
    <w:lvl w:ilvl="0">
      <w:lvlJc w:val="left"/>
      <w:lvlText w:val="%1"/>
      <w:numFmt w:val="decimal"/>
      <w:start w:val="22"/>
    </w:lvl>
  </w:abstractNum>
  <w:abstractNum w:abstractNumId="21">
    <w:nsid w:val="580BD78F"/>
    <w:multiLevelType w:val="hybridMultilevel"/>
    <w:lvl w:ilvl="0">
      <w:lvlJc w:val="left"/>
      <w:lvlText w:val="%1"/>
      <w:numFmt w:val="decimal"/>
      <w:start w:val="23"/>
    </w:lvl>
  </w:abstractNum>
  <w:abstractNum w:abstractNumId="22">
    <w:nsid w:val="153EA438"/>
    <w:multiLevelType w:val="hybridMultilevel"/>
    <w:lvl w:ilvl="0">
      <w:lvlJc w:val="left"/>
      <w:lvlText w:val="%1"/>
      <w:numFmt w:val="decimal"/>
      <w:start w:val="26"/>
    </w:lvl>
  </w:abstractNum>
  <w:abstractNum w:abstractNumId="23">
    <w:nsid w:val="3855585C"/>
    <w:multiLevelType w:val="hybridMultilevel"/>
    <w:lvl w:ilvl="0">
      <w:lvlJc w:val="left"/>
      <w:lvlText w:val="%1"/>
      <w:numFmt w:val="decimal"/>
      <w:start w:val="27"/>
    </w:lvl>
  </w:abstractNum>
  <w:abstractNum w:abstractNumId="24">
    <w:nsid w:val="70A64E2A"/>
    <w:multiLevelType w:val="hybridMultilevel"/>
    <w:lvl w:ilvl="0">
      <w:lvlJc w:val="left"/>
      <w:lvlText w:val="%1"/>
      <w:numFmt w:val="decimal"/>
      <w:start w:val="28"/>
    </w:lvl>
  </w:abstractNum>
  <w:abstractNum w:abstractNumId="25">
    <w:nsid w:val="6A2342EC"/>
    <w:multiLevelType w:val="hybridMultilevel"/>
    <w:lvl w:ilvl="0">
      <w:lvlJc w:val="left"/>
      <w:lvlText w:val="%1"/>
      <w:numFmt w:val="decimal"/>
      <w:start w:val="29"/>
    </w:lvl>
  </w:abstractNum>
  <w:abstractNum w:abstractNumId="26">
    <w:nsid w:val="2A487CB0"/>
    <w:multiLevelType w:val="hybridMultilevel"/>
    <w:lvl w:ilvl="0">
      <w:lvlJc w:val="left"/>
      <w:lvlText w:val="%1"/>
      <w:numFmt w:val="decimal"/>
      <w:start w:val="30"/>
    </w:lvl>
  </w:abstractNum>
  <w:abstractNum w:abstractNumId="27">
    <w:nsid w:val="1D4ED43B"/>
    <w:multiLevelType w:val="hybridMultilevel"/>
    <w:lvl w:ilvl="0">
      <w:lvlJc w:val="left"/>
      <w:lvlText w:val="1"/>
      <w:numFmt w:val="bullet"/>
      <w:start w:val="1"/>
    </w:lvl>
  </w:abstractNum>
  <w:abstractNum w:abstractNumId="28">
    <w:nsid w:val="725A06FB"/>
    <w:multiLevelType w:val="hybridMultilevel"/>
    <w:lvl w:ilvl="0">
      <w:lvlJc w:val="left"/>
      <w:lvlText w:val="2"/>
      <w:numFmt w:val="bullet"/>
      <w:start w:val="1"/>
    </w:lvl>
  </w:abstractNum>
  <w:abstractNum w:abstractNumId="29">
    <w:nsid w:val="2CD89A32"/>
    <w:multiLevelType w:val="hybridMultilevel"/>
    <w:lvl w:ilvl="0">
      <w:lvlJc w:val="left"/>
      <w:lvlText w:val="3"/>
      <w:numFmt w:val="bullet"/>
      <w:start w:val="1"/>
    </w:lvl>
  </w:abstractNum>
  <w:abstractNum w:abstractNumId="30">
    <w:nsid w:val="57E4CCAF"/>
    <w:multiLevelType w:val="hybridMultilevel"/>
    <w:lvl w:ilvl="0">
      <w:lvlJc w:val="left"/>
      <w:lvlText w:val="4"/>
      <w:numFmt w:val="bullet"/>
      <w:start w:val="1"/>
    </w:lvl>
  </w:abstractNum>
  <w:abstractNum w:abstractNumId="31">
    <w:nsid w:val="7A6D8D3C"/>
    <w:multiLevelType w:val="hybridMultilevel"/>
    <w:lvl w:ilvl="0">
      <w:lvlJc w:val="left"/>
      <w:lvlText w:val="%1"/>
      <w:numFmt w:val="decimal"/>
      <w:start w:val="31"/>
    </w:lvl>
  </w:abstractNum>
  <w:abstractNum w:abstractNumId="32">
    <w:nsid w:val="4B588F54"/>
    <w:multiLevelType w:val="hybridMultilevel"/>
    <w:lvl w:ilvl="0">
      <w:lvlJc w:val="left"/>
      <w:lvlText w:val="%1"/>
      <w:numFmt w:val="decimal"/>
      <w:start w:val="32"/>
    </w:lvl>
  </w:abstractNum>
  <w:abstractNum w:abstractNumId="33">
    <w:nsid w:val="542289EC"/>
    <w:multiLevelType w:val="hybridMultilevel"/>
    <w:lvl w:ilvl="0">
      <w:lvlJc w:val="left"/>
      <w:lvlText w:val="%1"/>
      <w:numFmt w:val="decimal"/>
      <w:start w:val="33"/>
    </w:lvl>
  </w:abstractNum>
  <w:abstractNum w:abstractNumId="34">
    <w:nsid w:val="6DE91B18"/>
    <w:multiLevelType w:val="hybridMultilevel"/>
    <w:lvl w:ilvl="0">
      <w:lvlJc w:val="left"/>
      <w:lvlText w:val="%1"/>
      <w:numFmt w:val="decimal"/>
      <w:start w:val="34"/>
    </w:lvl>
  </w:abstractNum>
  <w:abstractNum w:abstractNumId="35">
    <w:nsid w:val="38437FDB"/>
    <w:multiLevelType w:val="hybridMultilevel"/>
    <w:lvl w:ilvl="0">
      <w:lvlJc w:val="left"/>
      <w:lvlText w:val="%1"/>
      <w:numFmt w:val="decimal"/>
      <w:start w:val="35"/>
    </w:lvl>
  </w:abstractNum>
  <w:abstractNum w:abstractNumId="36">
    <w:nsid w:val="7644A45C"/>
    <w:multiLevelType w:val="hybridMultilevel"/>
    <w:lvl w:ilvl="0">
      <w:lvlJc w:val="left"/>
      <w:lvlText w:val="•"/>
      <w:numFmt w:val="bullet"/>
      <w:start w:val="1"/>
    </w:lvl>
  </w:abstractNum>
  <w:abstractNum w:abstractNumId="37">
    <w:nsid w:val="32FFF902"/>
    <w:multiLevelType w:val="hybridMultilevel"/>
    <w:lvl w:ilvl="0">
      <w:lvlJc w:val="left"/>
      <w:lvlText w:val="%1"/>
      <w:numFmt w:val="decimal"/>
      <w:start w:val="36"/>
    </w:lvl>
  </w:abstractNum>
  <w:abstractNum w:abstractNumId="38">
    <w:nsid w:val="684A481A"/>
    <w:multiLevelType w:val="hybridMultilevel"/>
    <w:lvl w:ilvl="0">
      <w:lvlJc w:val="left"/>
      <w:lvlText w:val="%1"/>
      <w:numFmt w:val="decimal"/>
      <w:start w:val="37"/>
    </w:lvl>
  </w:abstractNum>
  <w:abstractNum w:abstractNumId="39">
    <w:nsid w:val="579478FE"/>
    <w:multiLevelType w:val="hybridMultilevel"/>
    <w:lvl w:ilvl="0">
      <w:lvlJc w:val="left"/>
      <w:lvlText w:val="•"/>
      <w:numFmt w:val="bullet"/>
      <w:start w:val="1"/>
    </w:lvl>
  </w:abstractNum>
  <w:abstractNum w:abstractNumId="40">
    <w:nsid w:val="749ABB43"/>
    <w:multiLevelType w:val="hybridMultilevel"/>
    <w:lvl w:ilvl="0">
      <w:lvlJc w:val="left"/>
      <w:lvlText w:val="%1"/>
      <w:numFmt w:val="decimal"/>
      <w:start w:val="38"/>
    </w:lvl>
  </w:abstractNum>
  <w:abstractNum w:abstractNumId="41">
    <w:nsid w:val="3DC240FB"/>
    <w:multiLevelType w:val="hybridMultilevel"/>
    <w:lvl w:ilvl="0">
      <w:lvlJc w:val="left"/>
      <w:lvlText w:val="1"/>
      <w:numFmt w:val="bullet"/>
      <w:start w:val="1"/>
    </w:lvl>
  </w:abstractNum>
  <w:abstractNum w:abstractNumId="42">
    <w:nsid w:val="1BA026FA"/>
    <w:multiLevelType w:val="hybridMultilevel"/>
    <w:lvl w:ilvl="0">
      <w:lvlJc w:val="left"/>
      <w:lvlText w:val="%1"/>
      <w:numFmt w:val="decimal"/>
      <w:start w:val="39"/>
    </w:lvl>
  </w:abstractNum>
  <w:abstractNum w:abstractNumId="43">
    <w:nsid w:val="79A1DEAA"/>
    <w:multiLevelType w:val="hybridMultilevel"/>
    <w:lvl w:ilvl="0">
      <w:lvlJc w:val="left"/>
      <w:lvlText w:val="%1"/>
      <w:numFmt w:val="decimal"/>
      <w:start w:val="40"/>
    </w:lvl>
  </w:abstractNum>
  <w:abstractNum w:abstractNumId="44">
    <w:nsid w:val="75C6C33A"/>
    <w:multiLevelType w:val="hybridMultilevel"/>
    <w:lvl w:ilvl="0">
      <w:lvlJc w:val="left"/>
      <w:lvlText w:val="%1"/>
      <w:numFmt w:val="decimal"/>
      <w:start w:val="41"/>
    </w:lvl>
  </w:abstractNum>
  <w:abstractNum w:abstractNumId="45">
    <w:nsid w:val="12E685FB"/>
    <w:multiLevelType w:val="hybridMultilevel"/>
    <w:lvl w:ilvl="0">
      <w:lvlJc w:val="left"/>
      <w:lvlText w:val="%1"/>
      <w:numFmt w:val="decimal"/>
      <w:start w:val="42"/>
    </w:lvl>
  </w:abstractNum>
  <w:abstractNum w:abstractNumId="46">
    <w:nsid w:val="70C6A529"/>
    <w:multiLevelType w:val="hybridMultilevel"/>
    <w:lvl w:ilvl="0">
      <w:lvlJc w:val="left"/>
      <w:lvlText w:val="%1"/>
      <w:numFmt w:val="decimal"/>
      <w:start w:val="43"/>
    </w:lvl>
  </w:abstractNum>
  <w:abstractNum w:abstractNumId="47">
    <w:nsid w:val="520EEDD1"/>
    <w:multiLevelType w:val="hybridMultilevel"/>
    <w:lvl w:ilvl="0">
      <w:lvlJc w:val="left"/>
      <w:lvlText w:val="%1"/>
      <w:numFmt w:val="decimal"/>
      <w:start w:val="44"/>
    </w:lvl>
  </w:abstractNum>
  <w:abstractNum w:abstractNumId="48">
    <w:nsid w:val="374A3FE6"/>
    <w:multiLevelType w:val="hybridMultilevel"/>
    <w:lvl w:ilvl="0">
      <w:lvlJc w:val="left"/>
      <w:lvlText w:val="%1"/>
      <w:numFmt w:val="decimal"/>
      <w:start w:val="45"/>
    </w:lvl>
  </w:abstractNum>
  <w:abstractNum w:abstractNumId="49">
    <w:nsid w:val="4F4EF005"/>
    <w:multiLevelType w:val="hybridMultilevel"/>
    <w:lvl w:ilvl="0">
      <w:lvlJc w:val="left"/>
      <w:lvlText w:val="•"/>
      <w:numFmt w:val="bullet"/>
      <w:start w:val="1"/>
    </w:lvl>
  </w:abstractNum>
  <w:abstractNum w:abstractNumId="50">
    <w:nsid w:val="23F9C13C"/>
    <w:multiLevelType w:val="hybridMultilevel"/>
    <w:lvl w:ilvl="0">
      <w:lvlJc w:val="left"/>
      <w:lvlText w:val="%1"/>
      <w:numFmt w:val="decimal"/>
      <w:start w:val="46"/>
    </w:lvl>
  </w:abstractNum>
  <w:abstractNum w:abstractNumId="51">
    <w:nsid w:val="649BB77C"/>
    <w:multiLevelType w:val="hybridMultilevel"/>
    <w:lvl w:ilvl="0">
      <w:lvlJc w:val="left"/>
      <w:lvlText w:val="%1"/>
      <w:numFmt w:val="decimal"/>
      <w:start w:val="47"/>
    </w:lvl>
  </w:abstractNum>
  <w:abstractNum w:abstractNumId="52">
    <w:nsid w:val="275AC794"/>
    <w:multiLevelType w:val="hybridMultilevel"/>
    <w:lvl w:ilvl="0">
      <w:lvlJc w:val="left"/>
      <w:lvlText w:val="%1"/>
      <w:numFmt w:val="decimal"/>
      <w:start w:val="49"/>
    </w:lvl>
  </w:abstractNum>
  <w:abstractNum w:abstractNumId="53">
    <w:nsid w:val="39386575"/>
    <w:multiLevelType w:val="hybridMultilevel"/>
    <w:lvl w:ilvl="0">
      <w:lvlJc w:val="left"/>
      <w:lvlText w:val="%1"/>
      <w:numFmt w:val="decimal"/>
      <w:start w:val="50"/>
    </w:lvl>
  </w:abstractNum>
  <w:abstractNum w:abstractNumId="54">
    <w:nsid w:val="1CF10FD8"/>
    <w:multiLevelType w:val="hybridMultilevel"/>
    <w:lvl w:ilvl="0">
      <w:lvlJc w:val="left"/>
      <w:lvlText w:val="%1"/>
      <w:numFmt w:val="decimal"/>
      <w:start w:val="51"/>
    </w:lvl>
  </w:abstractNum>
  <w:abstractNum w:abstractNumId="55">
    <w:nsid w:val="180115BE"/>
    <w:multiLevelType w:val="hybridMultilevel"/>
    <w:lvl w:ilvl="0">
      <w:lvlJc w:val="left"/>
      <w:lvlText w:val="%1."/>
      <w:numFmt w:val="decimal"/>
      <w:start w:val="1"/>
    </w:lvl>
    <w:lvl w:ilvl="1">
      <w:lvlJc w:val="left"/>
      <w:lvlText w:val="%2)"/>
      <w:numFmt w:val="lowerLetter"/>
      <w:start w:val="1"/>
    </w:lvl>
  </w:abstractNum>
  <w:abstractNum w:abstractNumId="56">
    <w:nsid w:val="235BA861"/>
    <w:multiLevelType w:val="hybridMultilevel"/>
    <w:lvl w:ilvl="0">
      <w:lvlJc w:val="left"/>
      <w:lvlText w:val="%1."/>
      <w:numFmt w:val="decimal"/>
      <w:start w:val="1"/>
    </w:lvl>
    <w:lvl w:ilvl="1">
      <w:lvlJc w:val="left"/>
      <w:lvlText w:val="%2)"/>
      <w:numFmt w:val="lowerLetter"/>
      <w:start w:val="1"/>
    </w:lvl>
  </w:abstractNum>
  <w:abstractNum w:abstractNumId="57">
    <w:nsid w:val="47398C89"/>
    <w:multiLevelType w:val="hybridMultilevel"/>
    <w:lvl w:ilvl="0">
      <w:lvlJc w:val="left"/>
      <w:lvlText w:val="(%1)"/>
      <w:numFmt w:val="decimal"/>
      <w:start w:val="1"/>
    </w:lvl>
  </w:abstractNum>
  <w:abstractNum w:abstractNumId="58">
    <w:nsid w:val="354FE9F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82" Type="http://schemas.openxmlformats.org/officeDocument/2006/relationships/hyperlink" Target="https://www.sec.gov/Archives/edgar/data/773840/000119312524071322/d785317dex101.htm" TargetMode="External"/><Relationship Id="rId83" Type="http://schemas.openxmlformats.org/officeDocument/2006/relationships/hyperlink" Target="https://www.sec.gov/Archives/edgar/data/773840/000119312524071322/d785317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2024-04-25T08:51:53Z</dcterms:created>
  <dcterms:modified xsi:type="dcterms:W3CDTF">2024-04-25T08:51:53Z</dcterms:modified>
</cp:coreProperties>
</file>