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x ANNUAL REPORT 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OF THE SECURITIES EXCHANGE ACT OF 1934</w:t>
      </w:r>
    </w:p>
    <w:p>
      <w:pPr>
        <w:jc w:val="center"/>
        <w:spacing w:after="0"/>
        <w:rPr>
          <w:sz w:val="20"/>
          <w:szCs w:val="20"/>
          <w:color w:val="auto"/>
        </w:rPr>
      </w:pPr>
      <w:r>
        <w:rPr>
          <w:rFonts w:ascii="Arial" w:cs="Arial" w:eastAsia="Arial" w:hAnsi="Arial"/>
          <w:sz w:val="21"/>
          <w:szCs w:val="21"/>
          <w:color w:val="auto"/>
        </w:rPr>
        <w:t xml:space="preserve">For the fiscal year ended </w:t>
      </w:r>
      <w:r>
        <w:rPr>
          <w:rFonts w:ascii="Arial" w:cs="Arial" w:eastAsia="Arial" w:hAnsi="Arial"/>
          <w:sz w:val="21"/>
          <w:szCs w:val="21"/>
          <w:u w:val="single" w:color="auto"/>
          <w:color w:val="auto"/>
        </w:rPr>
        <w:t>December 31, 2017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 TRANSITION REPORT 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p>
      <w:pPr>
        <w:jc w:val="right"/>
        <w:ind w:right="4220"/>
        <w:spacing w:after="0"/>
        <w:tabs>
          <w:tab w:leader="none" w:pos="4380" w:val="left"/>
        </w:tabs>
        <w:rPr>
          <w:sz w:val="20"/>
          <w:szCs w:val="20"/>
          <w:color w:val="auto"/>
        </w:rPr>
      </w:pPr>
      <w:r>
        <w:rPr>
          <w:rFonts w:ascii="Arial" w:cs="Arial" w:eastAsia="Arial" w:hAnsi="Arial"/>
          <w:sz w:val="21"/>
          <w:szCs w:val="21"/>
          <w:color w:val="auto"/>
        </w:rPr>
        <w:t>For the transition period from</w:t>
      </w:r>
      <w:r>
        <w:rPr>
          <w:sz w:val="20"/>
          <w:szCs w:val="20"/>
          <w:color w:val="auto"/>
        </w:rPr>
        <w:tab/>
      </w:r>
      <w:r>
        <w:rPr>
          <w:rFonts w:ascii="Arial" w:cs="Arial" w:eastAsia="Arial" w:hAnsi="Arial"/>
          <w:sz w:val="21"/>
          <w:szCs w:val="21"/>
          <w:color w:val="auto"/>
        </w:rPr>
        <w:t>to</w:t>
      </w:r>
    </w:p>
    <w:p>
      <w:pPr>
        <w:spacing w:after="0" w:line="2" w:lineRule="exact"/>
        <w:rPr>
          <w:sz w:val="24"/>
          <w:szCs w:val="24"/>
          <w:color w:val="auto"/>
        </w:rPr>
      </w:pPr>
    </w:p>
    <w:p>
      <w:pPr>
        <w:jc w:val="right"/>
        <w:ind w:right="4200"/>
        <w:spacing w:after="0"/>
        <w:rPr>
          <w:sz w:val="20"/>
          <w:szCs w:val="20"/>
          <w:color w:val="auto"/>
        </w:rPr>
      </w:pPr>
      <w:r>
        <w:rPr>
          <w:rFonts w:ascii="Arial" w:cs="Arial" w:eastAsia="Arial" w:hAnsi="Arial"/>
          <w:sz w:val="21"/>
          <w:szCs w:val="21"/>
          <w:color w:val="auto"/>
        </w:rPr>
        <w:t xml:space="preserve">Commission file number </w:t>
      </w:r>
      <w:r>
        <w:rPr>
          <w:rFonts w:ascii="Arial" w:cs="Arial" w:eastAsia="Arial" w:hAnsi="Arial"/>
          <w:sz w:val="21"/>
          <w:szCs w:val="21"/>
          <w:u w:val="single" w:color="auto"/>
          <w:color w:val="auto"/>
        </w:rPr>
        <w:t>1-8974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Honeywell International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Delaware</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163"/>
              <w:spacing w:after="0"/>
              <w:rPr>
                <w:sz w:val="20"/>
                <w:szCs w:val="20"/>
                <w:color w:val="auto"/>
              </w:rPr>
            </w:pPr>
            <w:r>
              <w:rPr>
                <w:rFonts w:ascii="Arial" w:cs="Arial" w:eastAsia="Arial" w:hAnsi="Arial"/>
                <w:sz w:val="19"/>
                <w:szCs w:val="19"/>
                <w:color w:val="auto"/>
              </w:rPr>
              <w:t>22-2640650</w:t>
            </w:r>
          </w:p>
        </w:tc>
      </w:tr>
      <w:tr>
        <w:trPr>
          <w:trHeight w:val="223"/>
        </w:trPr>
        <w:tc>
          <w:tcPr>
            <w:tcW w:w="5860" w:type="dxa"/>
            <w:vAlign w:val="bottom"/>
            <w:gridSpan w:val="2"/>
          </w:tcPr>
          <w:p>
            <w:pPr>
              <w:jc w:val="center"/>
              <w:ind w:right="320"/>
              <w:spacing w:after="0"/>
              <w:rPr>
                <w:sz w:val="20"/>
                <w:szCs w:val="20"/>
                <w:color w:val="auto"/>
              </w:rPr>
            </w:pPr>
            <w:r>
              <w:rPr>
                <w:rFonts w:ascii="Arial" w:cs="Arial" w:eastAsia="Arial" w:hAnsi="Arial"/>
                <w:sz w:val="19"/>
                <w:szCs w:val="19"/>
                <w:color w:val="auto"/>
              </w:rPr>
              <w:t>(State or other jurisdiction of</w:t>
            </w:r>
          </w:p>
        </w:tc>
        <w:tc>
          <w:tcPr>
            <w:tcW w:w="5560" w:type="dxa"/>
            <w:vAlign w:val="bottom"/>
          </w:tcPr>
          <w:p>
            <w:pPr>
              <w:jc w:val="center"/>
              <w:spacing w:after="0"/>
              <w:rPr>
                <w:sz w:val="20"/>
                <w:szCs w:val="20"/>
                <w:color w:val="auto"/>
              </w:rPr>
            </w:pPr>
            <w:r>
              <w:rPr>
                <w:rFonts w:ascii="Arial" w:cs="Arial" w:eastAsia="Arial" w:hAnsi="Arial"/>
                <w:sz w:val="19"/>
                <w:szCs w:val="19"/>
                <w:color w:val="auto"/>
              </w:rPr>
              <w:t>(I.R.S. Employer</w:t>
            </w:r>
          </w:p>
        </w:tc>
      </w:tr>
      <w:tr>
        <w:trPr>
          <w:trHeight w:val="216"/>
        </w:trPr>
        <w:tc>
          <w:tcPr>
            <w:tcW w:w="586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rPr>
              <w:t>incorporation or organization)</w:t>
            </w: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Identification No.)</w:t>
            </w:r>
          </w:p>
        </w:tc>
      </w:tr>
      <w:tr>
        <w:trPr>
          <w:trHeight w:val="216"/>
        </w:trPr>
        <w:tc>
          <w:tcPr>
            <w:tcW w:w="5860" w:type="dxa"/>
            <w:vAlign w:val="bottom"/>
            <w:gridSpan w:val="2"/>
          </w:tcPr>
          <w:p>
            <w:pPr>
              <w:jc w:val="center"/>
              <w:ind w:right="320"/>
              <w:spacing w:after="0" w:line="216" w:lineRule="exact"/>
              <w:rPr>
                <w:sz w:val="20"/>
                <w:szCs w:val="20"/>
                <w:color w:val="auto"/>
              </w:rPr>
            </w:pPr>
            <w:r>
              <w:rPr>
                <w:rFonts w:ascii="Arial" w:cs="Arial" w:eastAsia="Arial" w:hAnsi="Arial"/>
                <w:sz w:val="19"/>
                <w:szCs w:val="19"/>
                <w:color w:val="auto"/>
              </w:rPr>
              <w:t>115 Tabor Road</w:t>
            </w:r>
          </w:p>
        </w:tc>
        <w:tc>
          <w:tcPr>
            <w:tcW w:w="5560" w:type="dxa"/>
            <w:vAlign w:val="bottom"/>
          </w:tcPr>
          <w:p>
            <w:pPr>
              <w:spacing w:after="0"/>
              <w:rPr>
                <w:sz w:val="18"/>
                <w:szCs w:val="18"/>
                <w:color w:val="auto"/>
              </w:rPr>
            </w:pP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Morris Plains, New Jersey</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403"/>
              <w:spacing w:after="0" w:line="216" w:lineRule="exact"/>
              <w:rPr>
                <w:sz w:val="20"/>
                <w:szCs w:val="20"/>
                <w:color w:val="auto"/>
              </w:rPr>
            </w:pPr>
            <w:r>
              <w:rPr>
                <w:rFonts w:ascii="Arial" w:cs="Arial" w:eastAsia="Arial" w:hAnsi="Arial"/>
                <w:sz w:val="19"/>
                <w:szCs w:val="19"/>
                <w:color w:val="auto"/>
              </w:rPr>
              <w:t>07950</w:t>
            </w:r>
          </w:p>
        </w:tc>
      </w:tr>
      <w:tr>
        <w:trPr>
          <w:trHeight w:val="268"/>
        </w:trPr>
        <w:tc>
          <w:tcPr>
            <w:tcW w:w="5860" w:type="dxa"/>
            <w:vAlign w:val="bottom"/>
            <w:gridSpan w:val="2"/>
          </w:tcPr>
          <w:p>
            <w:pPr>
              <w:jc w:val="center"/>
              <w:ind w:right="300"/>
              <w:spacing w:after="0"/>
              <w:rPr>
                <w:sz w:val="20"/>
                <w:szCs w:val="20"/>
                <w:color w:val="auto"/>
              </w:rPr>
            </w:pPr>
            <w:r>
              <w:rPr>
                <w:rFonts w:ascii="Arial" w:cs="Arial" w:eastAsia="Arial" w:hAnsi="Arial"/>
                <w:sz w:val="19"/>
                <w:szCs w:val="19"/>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9"/>
                <w:szCs w:val="19"/>
                <w:color w:val="auto"/>
              </w:rPr>
              <w:t>(Zip Code)</w:t>
            </w: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Registrant’s telephone number, including area code (973) 455-2000</w:t>
            </w:r>
          </w:p>
        </w:tc>
        <w:tc>
          <w:tcPr>
            <w:tcW w:w="5560" w:type="dxa"/>
            <w:vAlign w:val="bottom"/>
          </w:tcPr>
          <w:p>
            <w:pPr>
              <w:spacing w:after="0"/>
              <w:rPr>
                <w:sz w:val="24"/>
                <w:szCs w:val="24"/>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5560" w:type="dxa"/>
            <w:vAlign w:val="bottom"/>
          </w:tcPr>
          <w:p>
            <w:pPr>
              <w:spacing w:after="0"/>
              <w:rPr>
                <w:sz w:val="24"/>
                <w:szCs w:val="24"/>
                <w:color w:val="auto"/>
              </w:rPr>
            </w:pPr>
          </w:p>
        </w:tc>
      </w:tr>
      <w:tr>
        <w:trPr>
          <w:trHeight w:val="226"/>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Name of Each Exchange</w:t>
            </w: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Title of Each Class</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on Which Registered</w:t>
            </w:r>
          </w:p>
        </w:tc>
      </w:tr>
      <w:tr>
        <w:trPr>
          <w:trHeight w:val="268"/>
        </w:trPr>
        <w:tc>
          <w:tcPr>
            <w:tcW w:w="5860" w:type="dxa"/>
            <w:vAlign w:val="bottom"/>
            <w:gridSpan w:val="2"/>
          </w:tcPr>
          <w:p>
            <w:pPr>
              <w:spacing w:after="0"/>
              <w:rPr>
                <w:sz w:val="20"/>
                <w:szCs w:val="20"/>
                <w:color w:val="auto"/>
              </w:rPr>
            </w:pPr>
            <w:r>
              <w:rPr>
                <w:rFonts w:ascii="Arial" w:cs="Arial" w:eastAsia="Arial" w:hAnsi="Arial"/>
                <w:sz w:val="19"/>
                <w:szCs w:val="19"/>
                <w:color w:val="auto"/>
              </w:rPr>
              <w:t>Common Stock, par value $1 per share*</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Floating Rate Senior Notes due 2018</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0.650% Senior Notes due 2020</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1.300% Senior Notes due 2023</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243"/>
        </w:trPr>
        <w:tc>
          <w:tcPr>
            <w:tcW w:w="5860" w:type="dxa"/>
            <w:vAlign w:val="bottom"/>
            <w:gridSpan w:val="2"/>
          </w:tcPr>
          <w:p>
            <w:pPr>
              <w:spacing w:after="0"/>
              <w:rPr>
                <w:sz w:val="20"/>
                <w:szCs w:val="20"/>
                <w:color w:val="auto"/>
              </w:rPr>
            </w:pPr>
            <w:r>
              <w:rPr>
                <w:rFonts w:ascii="Arial" w:cs="Arial" w:eastAsia="Arial" w:hAnsi="Arial"/>
                <w:sz w:val="19"/>
                <w:szCs w:val="19"/>
                <w:color w:val="auto"/>
              </w:rPr>
              <w:t>2.250% Senior Notes due 2028</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97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4"/>
          <w:szCs w:val="24"/>
          <w:color w:val="auto"/>
        </w:rPr>
      </w:pPr>
    </w:p>
    <w:p>
      <w:pPr>
        <w:ind w:right="5680" w:firstLine="27"/>
        <w:spacing w:after="0" w:line="348" w:lineRule="auto"/>
        <w:tabs>
          <w:tab w:leader="none" w:pos="189"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common stock is also listed on the London Stock Exchange. Securities registered pursuant to Section 12(g) of the Act: None</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Indicate by check mark if the Registrant is a well-known seasoned issuer, as defined in Rule 405 of the Securities Act. Yes x No o</w:t>
      </w:r>
    </w:p>
    <w:p>
      <w:pPr>
        <w:spacing w:after="0" w:line="132" w:lineRule="exact"/>
        <w:rPr>
          <w:sz w:val="24"/>
          <w:szCs w:val="24"/>
          <w:color w:val="auto"/>
        </w:rPr>
      </w:pPr>
    </w:p>
    <w:p>
      <w:pPr>
        <w:ind w:right="280"/>
        <w:spacing w:after="0" w:line="253"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Exchange Act. Yes o No x</w:t>
      </w:r>
    </w:p>
    <w:p>
      <w:pPr>
        <w:spacing w:after="0" w:line="93" w:lineRule="exact"/>
        <w:rPr>
          <w:sz w:val="24"/>
          <w:szCs w:val="24"/>
          <w:color w:val="auto"/>
        </w:rPr>
      </w:pPr>
    </w:p>
    <w:p>
      <w:pPr>
        <w:ind w:right="380"/>
        <w:spacing w:after="0" w:line="24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01" w:lineRule="exact"/>
        <w:rPr>
          <w:sz w:val="24"/>
          <w:szCs w:val="24"/>
          <w:color w:val="auto"/>
        </w:rPr>
      </w:pPr>
    </w:p>
    <w:p>
      <w:pPr>
        <w:ind w:right="200"/>
        <w:spacing w:after="0" w:line="24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01"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01" w:lineRule="exact"/>
        <w:rPr>
          <w:sz w:val="24"/>
          <w:szCs w:val="24"/>
          <w:color w:val="auto"/>
        </w:rPr>
      </w:pPr>
    </w:p>
    <w:p>
      <w:pPr>
        <w:ind w:right="6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74" w:lineRule="exact"/>
        <w:rPr>
          <w:sz w:val="24"/>
          <w:szCs w:val="24"/>
          <w:color w:val="auto"/>
        </w:rPr>
      </w:pPr>
    </w:p>
    <w:p>
      <w:pPr>
        <w:ind w:right="2440"/>
        <w:spacing w:after="0" w:line="378" w:lineRule="auto"/>
        <w:rPr>
          <w:sz w:val="20"/>
          <w:szCs w:val="20"/>
          <w:color w:val="auto"/>
        </w:rPr>
      </w:pPr>
      <w:r>
        <w:rPr>
          <w:rFonts w:ascii="Arial" w:cs="Arial" w:eastAsia="Arial" w:hAnsi="Arial"/>
          <w:sz w:val="19"/>
          <w:szCs w:val="19"/>
          <w:color w:val="auto"/>
        </w:rPr>
        <w:t>Large accelerated filer x Accelerated filer o Non-accelerated filer o Smaller reporting company o Emerging growth company o</w:t>
      </w:r>
    </w:p>
    <w:p>
      <w:pPr>
        <w:ind w:right="460"/>
        <w:spacing w:after="0" w:line="253"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6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 Yes o No x</w:t>
      </w:r>
    </w:p>
    <w:p>
      <w:pPr>
        <w:spacing w:after="0" w:line="132" w:lineRule="exact"/>
        <w:rPr>
          <w:sz w:val="24"/>
          <w:szCs w:val="24"/>
          <w:color w:val="auto"/>
        </w:rPr>
      </w:pPr>
    </w:p>
    <w:p>
      <w:pPr>
        <w:ind w:right="260"/>
        <w:spacing w:after="0" w:line="253" w:lineRule="auto"/>
        <w:rPr>
          <w:sz w:val="20"/>
          <w:szCs w:val="20"/>
          <w:color w:val="auto"/>
        </w:rPr>
      </w:pPr>
      <w:r>
        <w:rPr>
          <w:rFonts w:ascii="Arial" w:cs="Arial" w:eastAsia="Arial" w:hAnsi="Arial"/>
          <w:sz w:val="19"/>
          <w:szCs w:val="19"/>
          <w:color w:val="auto"/>
        </w:rPr>
        <w:t>The aggregate market value of the voting stock held by nonaffiliates of the Registrant was approximately $101.4 billion at June 30, 2017.</w:t>
      </w:r>
    </w:p>
    <w:p>
      <w:pPr>
        <w:spacing w:after="0" w:line="80" w:lineRule="exact"/>
        <w:rPr>
          <w:sz w:val="24"/>
          <w:szCs w:val="24"/>
          <w:color w:val="auto"/>
        </w:rPr>
      </w:pPr>
    </w:p>
    <w:p>
      <w:pPr>
        <w:spacing w:after="0"/>
        <w:rPr>
          <w:sz w:val="20"/>
          <w:szCs w:val="20"/>
          <w:color w:val="auto"/>
        </w:rPr>
      </w:pPr>
      <w:r>
        <w:rPr>
          <w:rFonts w:ascii="Arial" w:cs="Arial" w:eastAsia="Arial" w:hAnsi="Arial"/>
          <w:sz w:val="19"/>
          <w:szCs w:val="19"/>
          <w:color w:val="auto"/>
        </w:rPr>
        <w:t>There were 752,002,033 shares of Common Stock outstanding at January 26, 2018.</w:t>
      </w:r>
    </w:p>
    <w:p>
      <w:pPr>
        <w:sectPr>
          <w:pgSz w:w="11900" w:h="16900" w:orient="portrait"/>
          <w:cols w:equalWidth="0" w:num="1">
            <w:col w:w="11420"/>
          </w:cols>
          <w:pgMar w:left="240" w:top="675"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9"/>
          <w:szCs w:val="19"/>
          <w:u w:val="single" w:color="auto"/>
          <w:color w:val="auto"/>
        </w:rPr>
        <w:t>Documents Incorporated by Reference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Part III: Proxy Statement for Annual Meeting of Shareowners to be held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109855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144145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313690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Item</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10"/>
        </w:trPr>
        <w:tc>
          <w:tcPr>
            <w:tcW w:w="1320" w:type="dxa"/>
            <w:vAlign w:val="bottom"/>
            <w:gridSpan w:val="3"/>
          </w:tcPr>
          <w:p>
            <w:pPr>
              <w:spacing w:after="0" w:line="210" w:lineRule="exact"/>
              <w:rPr>
                <w:sz w:val="20"/>
                <w:szCs w:val="20"/>
                <w:color w:val="auto"/>
              </w:rPr>
            </w:pPr>
            <w:r>
              <w:rPr>
                <w:rFonts w:ascii="Arial" w:cs="Arial" w:eastAsia="Arial" w:hAnsi="Arial"/>
                <w:sz w:val="19"/>
                <w:szCs w:val="19"/>
                <w:color w:val="auto"/>
              </w:rPr>
              <w:t>Part I</w:t>
            </w:r>
          </w:p>
        </w:tc>
        <w:tc>
          <w:tcPr>
            <w:tcW w:w="880" w:type="dxa"/>
            <w:vAlign w:val="bottom"/>
            <w:gridSpan w:val="2"/>
          </w:tcPr>
          <w:p>
            <w:pPr>
              <w:jc w:val="right"/>
              <w:ind w:right="280"/>
              <w:spacing w:after="0" w:line="210" w:lineRule="exact"/>
              <w:rPr>
                <w:sz w:val="20"/>
                <w:szCs w:val="20"/>
                <w:color w:val="auto"/>
              </w:rPr>
            </w:pPr>
            <w:r>
              <w:rPr>
                <w:rFonts w:ascii="Arial" w:cs="Arial" w:eastAsia="Arial" w:hAnsi="Arial"/>
                <w:sz w:val="19"/>
                <w:szCs w:val="19"/>
                <w:color w:val="auto"/>
              </w:rPr>
              <w:t>1.</w:t>
            </w:r>
          </w:p>
        </w:tc>
        <w:tc>
          <w:tcPr>
            <w:tcW w:w="800" w:type="dxa"/>
            <w:vAlign w:val="bottom"/>
            <w:tcBorders>
              <w:bottom w:val="single" w:sz="8" w:color="0000EE"/>
            </w:tcBorders>
            <w:gridSpan w:val="2"/>
          </w:tcPr>
          <w:p>
            <w:pPr>
              <w:spacing w:after="0" w:line="210" w:lineRule="exact"/>
              <w:rPr>
                <w:rFonts w:ascii="Arial" w:cs="Arial" w:eastAsia="Arial" w:hAnsi="Arial"/>
                <w:sz w:val="19"/>
                <w:szCs w:val="19"/>
                <w:color w:val="0000EE"/>
              </w:rPr>
            </w:pPr>
            <w:hyperlink w:anchor="page4">
              <w:r>
                <w:rPr>
                  <w:rFonts w:ascii="Arial" w:cs="Arial" w:eastAsia="Arial" w:hAnsi="Arial"/>
                  <w:sz w:val="19"/>
                  <w:szCs w:val="19"/>
                  <w:color w:val="0000EE"/>
                </w:rPr>
                <w:t>Business</w:t>
              </w:r>
            </w:hyperlink>
          </w:p>
        </w:tc>
        <w:tc>
          <w:tcPr>
            <w:tcW w:w="8040" w:type="dxa"/>
            <w:vAlign w:val="bottom"/>
            <w:gridSpan w:val="21"/>
          </w:tcPr>
          <w:p>
            <w:pPr>
              <w:spacing w:after="0"/>
              <w:rPr>
                <w:sz w:val="18"/>
                <w:szCs w:val="18"/>
                <w:color w:val="auto"/>
              </w:rPr>
            </w:pPr>
          </w:p>
        </w:tc>
        <w:tc>
          <w:tcPr>
            <w:tcW w:w="38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1A.</w:t>
            </w:r>
          </w:p>
        </w:tc>
        <w:tc>
          <w:tcPr>
            <w:tcW w:w="8840" w:type="dxa"/>
            <w:vAlign w:val="bottom"/>
            <w:gridSpan w:val="23"/>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040" w:type="dxa"/>
            <w:vAlign w:val="bottom"/>
            <w:tcBorders>
              <w:top w:val="single" w:sz="8" w:color="0000EE"/>
            </w:tcBorders>
            <w:gridSpan w:val="12"/>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Risk Factors</w:t>
              </w:r>
            </w:hyperlink>
          </w:p>
        </w:tc>
        <w:tc>
          <w:tcPr>
            <w:tcW w:w="5800" w:type="dxa"/>
            <w:vAlign w:val="bottom"/>
            <w:gridSpan w:val="11"/>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1B.</w:t>
            </w:r>
          </w:p>
        </w:tc>
        <w:tc>
          <w:tcPr>
            <w:tcW w:w="3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440" w:type="dxa"/>
            <w:vAlign w:val="bottom"/>
            <w:tcBorders>
              <w:bottom w:val="single" w:sz="8" w:color="0000EE"/>
            </w:tcBorders>
            <w:gridSpan w:val="11"/>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Unresolved Staff Comments</w:t>
              </w:r>
            </w:hyperlink>
          </w:p>
        </w:tc>
        <w:tc>
          <w:tcPr>
            <w:tcW w:w="6400" w:type="dxa"/>
            <w:vAlign w:val="bottom"/>
            <w:gridSpan w:val="1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2.</w:t>
            </w:r>
          </w:p>
        </w:tc>
        <w:tc>
          <w:tcPr>
            <w:tcW w:w="900" w:type="dxa"/>
            <w:vAlign w:val="bottom"/>
            <w:tcBorders>
              <w:bottom w:val="single" w:sz="8" w:color="0000EE"/>
            </w:tcBorders>
            <w:gridSpan w:val="3"/>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Properties</w:t>
              </w:r>
            </w:hyperlink>
          </w:p>
        </w:tc>
        <w:tc>
          <w:tcPr>
            <w:tcW w:w="7940" w:type="dxa"/>
            <w:vAlign w:val="bottom"/>
            <w:gridSpan w:val="20"/>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3.</w:t>
            </w:r>
          </w:p>
        </w:tc>
        <w:tc>
          <w:tcPr>
            <w:tcW w:w="1620" w:type="dxa"/>
            <w:vAlign w:val="bottom"/>
            <w:tcBorders>
              <w:bottom w:val="single" w:sz="8" w:color="0000EE"/>
            </w:tcBorders>
            <w:gridSpan w:val="6"/>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Legal Proceedings</w:t>
              </w:r>
            </w:hyperlink>
          </w:p>
        </w:tc>
        <w:tc>
          <w:tcPr>
            <w:tcW w:w="7220" w:type="dxa"/>
            <w:vAlign w:val="bottom"/>
            <w:gridSpan w:val="17"/>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4.</w:t>
            </w:r>
          </w:p>
        </w:tc>
        <w:tc>
          <w:tcPr>
            <w:tcW w:w="8840" w:type="dxa"/>
            <w:vAlign w:val="bottom"/>
            <w:gridSpan w:val="23"/>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line="196" w:lineRule="exact"/>
              <w:rPr>
                <w:sz w:val="20"/>
                <w:szCs w:val="20"/>
                <w:color w:val="auto"/>
              </w:rPr>
            </w:pPr>
            <w:r>
              <w:rPr>
                <w:rFonts w:ascii="Arial" w:cs="Arial" w:eastAsia="Arial" w:hAnsi="Arial"/>
                <w:sz w:val="19"/>
                <w:szCs w:val="19"/>
                <w:color w:val="auto"/>
              </w:rPr>
              <w:t>Part II.</w:t>
            </w:r>
          </w:p>
        </w:tc>
        <w:tc>
          <w:tcPr>
            <w:tcW w:w="880" w:type="dxa"/>
            <w:vAlign w:val="bottom"/>
            <w:gridSpan w:val="2"/>
          </w:tcPr>
          <w:p>
            <w:pPr>
              <w:jc w:val="right"/>
              <w:ind w:right="280"/>
              <w:spacing w:after="0" w:line="196" w:lineRule="exact"/>
              <w:rPr>
                <w:sz w:val="20"/>
                <w:szCs w:val="20"/>
                <w:color w:val="auto"/>
              </w:rPr>
            </w:pPr>
            <w:r>
              <w:rPr>
                <w:rFonts w:ascii="Arial" w:cs="Arial" w:eastAsia="Arial" w:hAnsi="Arial"/>
                <w:sz w:val="19"/>
                <w:szCs w:val="19"/>
                <w:color w:val="auto"/>
              </w:rPr>
              <w:t>5.</w:t>
            </w:r>
          </w:p>
        </w:tc>
        <w:tc>
          <w:tcPr>
            <w:tcW w:w="808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w:anchor="page17">
              <w:r>
                <w:rPr>
                  <w:rFonts w:ascii="Arial" w:cs="Arial" w:eastAsia="Arial" w:hAnsi="Arial"/>
                  <w:sz w:val="19"/>
                  <w:szCs w:val="19"/>
                  <w:color w:val="0000EE"/>
                </w:rPr>
                <w:t>Market for Registrant’s Common Equity, Related Stockholder Matters and Issuer Purchases of</w:t>
              </w:r>
            </w:hyperlink>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w:anchor="page17">
              <w:r>
                <w:rPr>
                  <w:rFonts w:ascii="Arial" w:cs="Arial" w:eastAsia="Arial" w:hAnsi="Arial"/>
                  <w:sz w:val="19"/>
                  <w:szCs w:val="19"/>
                  <w:color w:val="0000EE"/>
                </w:rPr>
                <w:t>Equity Securities</w:t>
              </w:r>
            </w:hyperlink>
          </w:p>
        </w:tc>
        <w:tc>
          <w:tcPr>
            <w:tcW w:w="702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80" w:type="dxa"/>
            <w:vAlign w:val="bottom"/>
            <w:tcBorders>
              <w:bottom w:val="single" w:sz="8" w:color="0000EE"/>
            </w:tcBorders>
            <w:gridSpan w:val="9"/>
          </w:tcPr>
          <w:p>
            <w:pPr>
              <w:spacing w:after="0"/>
              <w:rPr>
                <w:rFonts w:ascii="Arial" w:cs="Arial" w:eastAsia="Arial" w:hAnsi="Arial"/>
                <w:sz w:val="19"/>
                <w:szCs w:val="19"/>
                <w:color w:val="0000EE"/>
              </w:rPr>
            </w:pPr>
            <w:hyperlink w:anchor="page19">
              <w:r>
                <w:rPr>
                  <w:rFonts w:ascii="Arial" w:cs="Arial" w:eastAsia="Arial" w:hAnsi="Arial"/>
                  <w:sz w:val="19"/>
                  <w:szCs w:val="19"/>
                  <w:color w:val="0000EE"/>
                </w:rPr>
                <w:t>Selected Financial Data</w:t>
              </w:r>
            </w:hyperlink>
          </w:p>
        </w:tc>
        <w:tc>
          <w:tcPr>
            <w:tcW w:w="6760" w:type="dxa"/>
            <w:vAlign w:val="bottom"/>
            <w:gridSpan w:val="1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7.</w:t>
            </w:r>
          </w:p>
        </w:tc>
        <w:tc>
          <w:tcPr>
            <w:tcW w:w="7640" w:type="dxa"/>
            <w:vAlign w:val="bottom"/>
            <w:tcBorders>
              <w:bottom w:val="single" w:sz="8" w:color="0000EE"/>
            </w:tcBorders>
            <w:gridSpan w:val="19"/>
          </w:tcPr>
          <w:p>
            <w:pPr>
              <w:spacing w:after="0"/>
              <w:rPr>
                <w:rFonts w:ascii="Arial" w:cs="Arial" w:eastAsia="Arial" w:hAnsi="Arial"/>
                <w:sz w:val="19"/>
                <w:szCs w:val="19"/>
                <w:color w:val="0000EE"/>
              </w:rPr>
            </w:pPr>
            <w:hyperlink w:anchor="page20">
              <w:r>
                <w:rPr>
                  <w:rFonts w:ascii="Arial" w:cs="Arial" w:eastAsia="Arial" w:hAnsi="Arial"/>
                  <w:sz w:val="19"/>
                  <w:szCs w:val="19"/>
                  <w:color w:val="0000EE"/>
                </w:rPr>
                <w:t>Management’s Discussion and Analysis of Financial Condition and Results of Operations</w:t>
              </w:r>
            </w:hyperlink>
          </w:p>
        </w:tc>
        <w:tc>
          <w:tcPr>
            <w:tcW w:w="1200" w:type="dxa"/>
            <w:vAlign w:val="bottom"/>
            <w:gridSpan w:val="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7A.</w:t>
            </w:r>
          </w:p>
        </w:tc>
        <w:tc>
          <w:tcPr>
            <w:tcW w:w="8840" w:type="dxa"/>
            <w:vAlign w:val="bottom"/>
            <w:gridSpan w:val="23"/>
          </w:tcPr>
          <w:p>
            <w:pPr>
              <w:spacing w:after="0"/>
              <w:rPr>
                <w:rFonts w:ascii="Arial" w:cs="Arial" w:eastAsia="Arial" w:hAnsi="Arial"/>
                <w:sz w:val="19"/>
                <w:szCs w:val="19"/>
                <w:color w:val="0000EE"/>
              </w:rPr>
            </w:pPr>
            <w:hyperlink w:anchor="page38">
              <w:r>
                <w:rPr>
                  <w:rFonts w:ascii="Arial" w:cs="Arial" w:eastAsia="Arial" w:hAnsi="Arial"/>
                  <w:sz w:val="19"/>
                  <w:szCs w:val="19"/>
                  <w:color w:val="0000EE"/>
                </w:rPr>
                <w:t>Quantitative and Qualitative Disclosures About Market Risks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8.</w:t>
            </w:r>
          </w:p>
        </w:tc>
        <w:tc>
          <w:tcPr>
            <w:tcW w:w="4020" w:type="dxa"/>
            <w:vAlign w:val="bottom"/>
            <w:tcBorders>
              <w:top w:val="single" w:sz="8" w:color="0000EE"/>
              <w:bottom w:val="single" w:sz="8" w:color="0000EE"/>
            </w:tcBorders>
            <w:gridSpan w:val="15"/>
          </w:tcPr>
          <w:p>
            <w:pPr>
              <w:spacing w:after="0"/>
              <w:rPr>
                <w:rFonts w:ascii="Arial" w:cs="Arial" w:eastAsia="Arial" w:hAnsi="Arial"/>
                <w:sz w:val="19"/>
                <w:szCs w:val="19"/>
                <w:color w:val="0000EE"/>
              </w:rPr>
            </w:pPr>
            <w:hyperlink w:anchor="page39">
              <w:r>
                <w:rPr>
                  <w:rFonts w:ascii="Arial" w:cs="Arial" w:eastAsia="Arial" w:hAnsi="Arial"/>
                  <w:sz w:val="19"/>
                  <w:szCs w:val="19"/>
                  <w:color w:val="0000EE"/>
                </w:rPr>
                <w:t>Financial Statements and Supplementary Data</w:t>
              </w:r>
            </w:hyperlink>
          </w:p>
        </w:tc>
        <w:tc>
          <w:tcPr>
            <w:tcW w:w="1160" w:type="dxa"/>
            <w:vAlign w:val="bottom"/>
            <w:tcBorders>
              <w:top w:val="single" w:sz="8" w:color="0000EE"/>
            </w:tcBorders>
            <w:gridSpan w:val="3"/>
          </w:tcPr>
          <w:p>
            <w:pPr>
              <w:spacing w:after="0"/>
              <w:rPr>
                <w:sz w:val="19"/>
                <w:szCs w:val="19"/>
                <w:color w:val="auto"/>
              </w:rPr>
            </w:pPr>
          </w:p>
        </w:tc>
        <w:tc>
          <w:tcPr>
            <w:tcW w:w="3660" w:type="dxa"/>
            <w:vAlign w:val="bottom"/>
            <w:gridSpan w:val="5"/>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w:t>
            </w:r>
          </w:p>
        </w:tc>
        <w:tc>
          <w:tcPr>
            <w:tcW w:w="7700" w:type="dxa"/>
            <w:vAlign w:val="bottom"/>
            <w:tcBorders>
              <w:bottom w:val="single" w:sz="8" w:color="0000EE"/>
            </w:tcBorders>
            <w:gridSpan w:val="20"/>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Changes in and Disagreements with Accountants on Accounting and Financial Disclosure</w:t>
              </w:r>
            </w:hyperlink>
          </w:p>
        </w:tc>
        <w:tc>
          <w:tcPr>
            <w:tcW w:w="1140" w:type="dxa"/>
            <w:vAlign w:val="bottom"/>
            <w:gridSpan w:val="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9A.</w:t>
            </w:r>
          </w:p>
        </w:tc>
        <w:tc>
          <w:tcPr>
            <w:tcW w:w="2160" w:type="dxa"/>
            <w:vAlign w:val="bottom"/>
            <w:tcBorders>
              <w:bottom w:val="single" w:sz="8" w:color="0000EE"/>
            </w:tcBorders>
            <w:gridSpan w:val="10"/>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Controls and Procedures</w:t>
              </w:r>
            </w:hyperlink>
          </w:p>
        </w:tc>
        <w:tc>
          <w:tcPr>
            <w:tcW w:w="668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9B.</w:t>
            </w:r>
          </w:p>
        </w:tc>
        <w:tc>
          <w:tcPr>
            <w:tcW w:w="1520" w:type="dxa"/>
            <w:vAlign w:val="bottom"/>
            <w:tcBorders>
              <w:bottom w:val="single" w:sz="8" w:color="0000EE"/>
            </w:tcBorders>
            <w:gridSpan w:val="5"/>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Other Information</w:t>
              </w:r>
            </w:hyperlink>
          </w:p>
        </w:tc>
        <w:tc>
          <w:tcPr>
            <w:tcW w:w="7320" w:type="dxa"/>
            <w:vAlign w:val="bottom"/>
            <w:gridSpan w:val="1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90</w:t>
            </w:r>
          </w:p>
        </w:tc>
        <w:tc>
          <w:tcPr>
            <w:tcW w:w="0" w:type="dxa"/>
            <w:vAlign w:val="bottom"/>
          </w:tcPr>
          <w:p>
            <w:pPr>
              <w:spacing w:after="0"/>
              <w:rPr>
                <w:sz w:val="1"/>
                <w:szCs w:val="1"/>
                <w:color w:val="auto"/>
              </w:rPr>
            </w:pPr>
          </w:p>
        </w:tc>
      </w:tr>
      <w:tr>
        <w:trPr>
          <w:trHeight w:val="223"/>
        </w:trPr>
        <w:tc>
          <w:tcPr>
            <w:tcW w:w="1320" w:type="dxa"/>
            <w:vAlign w:val="bottom"/>
            <w:gridSpan w:val="3"/>
          </w:tcPr>
          <w:p>
            <w:pPr>
              <w:spacing w:after="0"/>
              <w:rPr>
                <w:sz w:val="20"/>
                <w:szCs w:val="20"/>
                <w:color w:val="auto"/>
              </w:rPr>
            </w:pPr>
            <w:r>
              <w:rPr>
                <w:rFonts w:ascii="Arial" w:cs="Arial" w:eastAsia="Arial" w:hAnsi="Arial"/>
                <w:sz w:val="19"/>
                <w:szCs w:val="19"/>
                <w:color w:val="auto"/>
              </w:rPr>
              <w:t>Part III.</w:t>
            </w: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10.</w:t>
            </w:r>
          </w:p>
        </w:tc>
        <w:tc>
          <w:tcPr>
            <w:tcW w:w="4260" w:type="dxa"/>
            <w:vAlign w:val="bottom"/>
            <w:tcBorders>
              <w:bottom w:val="single" w:sz="8" w:color="0000EE"/>
            </w:tcBorders>
            <w:gridSpan w:val="17"/>
          </w:tcPr>
          <w:p>
            <w:pPr>
              <w:spacing w:after="0"/>
              <w:rPr>
                <w:rFonts w:ascii="Arial" w:cs="Arial" w:eastAsia="Arial" w:hAnsi="Arial"/>
                <w:sz w:val="19"/>
                <w:szCs w:val="19"/>
                <w:color w:val="0000EE"/>
              </w:rPr>
            </w:pPr>
            <w:hyperlink w:anchor="page94">
              <w:r>
                <w:rPr>
                  <w:rFonts w:ascii="Arial" w:cs="Arial" w:eastAsia="Arial" w:hAnsi="Arial"/>
                  <w:sz w:val="19"/>
                  <w:szCs w:val="19"/>
                  <w:color w:val="0000EE"/>
                </w:rPr>
                <w:t>Directors and Executive Officers of the Registrant</w:t>
              </w:r>
            </w:hyperlink>
          </w:p>
        </w:tc>
        <w:tc>
          <w:tcPr>
            <w:tcW w:w="4580" w:type="dxa"/>
            <w:vAlign w:val="bottom"/>
            <w:gridSpan w:val="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11.</w:t>
            </w:r>
          </w:p>
        </w:tc>
        <w:tc>
          <w:tcPr>
            <w:tcW w:w="2160" w:type="dxa"/>
            <w:vAlign w:val="bottom"/>
            <w:tcBorders>
              <w:bottom w:val="single" w:sz="8" w:color="0000EE"/>
            </w:tcBorders>
            <w:gridSpan w:val="10"/>
          </w:tcPr>
          <w:p>
            <w:pPr>
              <w:spacing w:after="0"/>
              <w:rPr>
                <w:rFonts w:ascii="Arial" w:cs="Arial" w:eastAsia="Arial" w:hAnsi="Arial"/>
                <w:sz w:val="19"/>
                <w:szCs w:val="19"/>
                <w:color w:val="0000EE"/>
              </w:rPr>
            </w:pPr>
            <w:hyperlink w:anchor="page95">
              <w:r>
                <w:rPr>
                  <w:rFonts w:ascii="Arial" w:cs="Arial" w:eastAsia="Arial" w:hAnsi="Arial"/>
                  <w:sz w:val="19"/>
                  <w:szCs w:val="19"/>
                  <w:color w:val="0000EE"/>
                </w:rPr>
                <w:t>Executive Compensation</w:t>
              </w:r>
            </w:hyperlink>
          </w:p>
        </w:tc>
        <w:tc>
          <w:tcPr>
            <w:tcW w:w="668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80"/>
              <w:spacing w:after="0" w:line="196" w:lineRule="exact"/>
              <w:rPr>
                <w:sz w:val="20"/>
                <w:szCs w:val="20"/>
                <w:color w:val="auto"/>
              </w:rPr>
            </w:pPr>
            <w:r>
              <w:rPr>
                <w:rFonts w:ascii="Arial" w:cs="Arial" w:eastAsia="Arial" w:hAnsi="Arial"/>
                <w:sz w:val="19"/>
                <w:szCs w:val="19"/>
                <w:color w:val="auto"/>
              </w:rPr>
              <w:t>12.</w:t>
            </w:r>
          </w:p>
        </w:tc>
        <w:tc>
          <w:tcPr>
            <w:tcW w:w="8840" w:type="dxa"/>
            <w:vAlign w:val="bottom"/>
            <w:gridSpan w:val="23"/>
          </w:tcPr>
          <w:p>
            <w:pPr>
              <w:spacing w:after="0" w:line="196" w:lineRule="exact"/>
              <w:rPr>
                <w:rFonts w:ascii="Arial" w:cs="Arial" w:eastAsia="Arial" w:hAnsi="Arial"/>
                <w:sz w:val="19"/>
                <w:szCs w:val="19"/>
                <w:color w:val="0000EE"/>
              </w:rPr>
            </w:pPr>
            <w:hyperlink w:anchor="page95">
              <w:r>
                <w:rPr>
                  <w:rFonts w:ascii="Arial" w:cs="Arial" w:eastAsia="Arial" w:hAnsi="Arial"/>
                  <w:sz w:val="19"/>
                  <w:szCs w:val="19"/>
                  <w:color w:val="0000EE"/>
                </w:rPr>
                <w:t>Security Ownership of Certain Beneficial Owners and Management and Related Stockholder</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13.</w:t>
            </w:r>
          </w:p>
        </w:tc>
        <w:tc>
          <w:tcPr>
            <w:tcW w:w="360" w:type="dxa"/>
            <w:vAlign w:val="bottom"/>
            <w:tcBorders>
              <w:top w:val="single" w:sz="8" w:color="0000EE"/>
            </w:tcBorders>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rPr>
            </w:pPr>
            <w:hyperlink w:anchor="page95">
              <w:r>
                <w:rPr>
                  <w:rFonts w:ascii="Arial" w:cs="Arial" w:eastAsia="Arial" w:hAnsi="Arial"/>
                  <w:sz w:val="19"/>
                  <w:szCs w:val="19"/>
                  <w:color w:val="0000EE"/>
                </w:rPr>
                <w:t>Matters</w:t>
              </w:r>
            </w:hyperlink>
          </w:p>
        </w:tc>
        <w:tc>
          <w:tcPr>
            <w:tcW w:w="6860" w:type="dxa"/>
            <w:vAlign w:val="bottom"/>
            <w:tcBorders>
              <w:top w:val="single" w:sz="8" w:color="0000EE"/>
            </w:tcBorders>
            <w:gridSpan w:val="17"/>
          </w:tcPr>
          <w:p>
            <w:pPr>
              <w:spacing w:after="0"/>
              <w:rPr>
                <w:sz w:val="17"/>
                <w:szCs w:val="17"/>
                <w:color w:val="auto"/>
              </w:rPr>
            </w:pPr>
          </w:p>
        </w:tc>
        <w:tc>
          <w:tcPr>
            <w:tcW w:w="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840" w:type="dxa"/>
            <w:vAlign w:val="bottom"/>
            <w:gridSpan w:val="23"/>
          </w:tcPr>
          <w:p>
            <w:pPr>
              <w:spacing w:after="0"/>
              <w:rPr>
                <w:rFonts w:ascii="Arial" w:cs="Arial" w:eastAsia="Arial" w:hAnsi="Arial"/>
                <w:sz w:val="19"/>
                <w:szCs w:val="19"/>
                <w:color w:val="0000EE"/>
              </w:rPr>
            </w:pPr>
            <w:hyperlink w:anchor="page96">
              <w:r>
                <w:rPr>
                  <w:rFonts w:ascii="Arial" w:cs="Arial" w:eastAsia="Arial" w:hAnsi="Arial"/>
                  <w:sz w:val="19"/>
                  <w:szCs w:val="19"/>
                  <w:color w:val="0000EE"/>
                </w:rPr>
                <w:t>Certain Relationships and Related Transactions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14.</w:t>
            </w:r>
          </w:p>
        </w:tc>
        <w:tc>
          <w:tcPr>
            <w:tcW w:w="4100" w:type="dxa"/>
            <w:vAlign w:val="bottom"/>
            <w:tcBorders>
              <w:top w:val="single" w:sz="8" w:color="0000EE"/>
            </w:tcBorders>
            <w:gridSpan w:val="16"/>
          </w:tcPr>
          <w:p>
            <w:pPr>
              <w:spacing w:after="0"/>
              <w:rPr>
                <w:rFonts w:ascii="Arial" w:cs="Arial" w:eastAsia="Arial" w:hAnsi="Arial"/>
                <w:sz w:val="19"/>
                <w:szCs w:val="19"/>
                <w:color w:val="0000EE"/>
              </w:rPr>
            </w:pPr>
            <w:hyperlink w:anchor="page96">
              <w:r>
                <w:rPr>
                  <w:rFonts w:ascii="Arial" w:cs="Arial" w:eastAsia="Arial" w:hAnsi="Arial"/>
                  <w:sz w:val="19"/>
                  <w:szCs w:val="19"/>
                  <w:color w:val="0000EE"/>
                </w:rPr>
                <w:t>Principal Accounting Fees and Services</w:t>
              </w:r>
            </w:hyperlink>
          </w:p>
        </w:tc>
        <w:tc>
          <w:tcPr>
            <w:tcW w:w="4740" w:type="dxa"/>
            <w:vAlign w:val="bottom"/>
            <w:gridSpan w:val="7"/>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0"/>
        </w:trPr>
        <w:tc>
          <w:tcPr>
            <w:tcW w:w="1320" w:type="dxa"/>
            <w:vAlign w:val="bottom"/>
            <w:gridSpan w:val="3"/>
            <w:vMerge w:val="restart"/>
          </w:tcPr>
          <w:p>
            <w:pPr>
              <w:spacing w:after="0"/>
              <w:rPr>
                <w:sz w:val="20"/>
                <w:szCs w:val="20"/>
                <w:color w:val="auto"/>
              </w:rPr>
            </w:pPr>
            <w:r>
              <w:rPr>
                <w:rFonts w:ascii="Arial" w:cs="Arial" w:eastAsia="Arial" w:hAnsi="Arial"/>
                <w:sz w:val="19"/>
                <w:szCs w:val="19"/>
                <w:color w:val="auto"/>
              </w:rPr>
              <w:t>Part IV.</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9"/>
                <w:szCs w:val="19"/>
                <w:color w:val="auto"/>
              </w:rPr>
              <w:t>15.</w:t>
            </w:r>
          </w:p>
        </w:tc>
        <w:tc>
          <w:tcPr>
            <w:tcW w:w="1800" w:type="dxa"/>
            <w:vAlign w:val="bottom"/>
            <w:gridSpan w:val="7"/>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gridSpan w:val="3"/>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800" w:type="dxa"/>
            <w:vAlign w:val="bottom"/>
            <w:tcBorders>
              <w:bottom w:val="single" w:sz="8" w:color="0000EE"/>
            </w:tcBorders>
            <w:gridSpan w:val="14"/>
          </w:tcPr>
          <w:p>
            <w:pPr>
              <w:spacing w:after="0"/>
              <w:rPr>
                <w:rFonts w:ascii="Arial" w:cs="Arial" w:eastAsia="Arial" w:hAnsi="Arial"/>
                <w:sz w:val="19"/>
                <w:szCs w:val="19"/>
                <w:color w:val="0000EE"/>
              </w:rPr>
            </w:pPr>
            <w:hyperlink w:anchor="page97">
              <w:r>
                <w:rPr>
                  <w:rFonts w:ascii="Arial" w:cs="Arial" w:eastAsia="Arial" w:hAnsi="Arial"/>
                  <w:sz w:val="19"/>
                  <w:szCs w:val="19"/>
                  <w:color w:val="0000EE"/>
                </w:rPr>
                <w:t>Exhibits and Financial Statement Schedules</w:t>
              </w:r>
            </w:hyperlink>
          </w:p>
        </w:tc>
        <w:tc>
          <w:tcPr>
            <w:tcW w:w="5040" w:type="dxa"/>
            <w:vAlign w:val="bottom"/>
            <w:gridSpan w:val="9"/>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vMerge w:val="restart"/>
          </w:tcPr>
          <w:p>
            <w:pPr>
              <w:spacing w:after="0"/>
              <w:rPr>
                <w:rFonts w:ascii="Arial" w:cs="Arial" w:eastAsia="Arial" w:hAnsi="Arial"/>
                <w:sz w:val="19"/>
                <w:szCs w:val="19"/>
                <w:color w:val="0000EE"/>
                <w:w w:val="99"/>
              </w:rPr>
            </w:pPr>
            <w:hyperlink w:anchor="page98">
              <w:r>
                <w:rPr>
                  <w:rFonts w:ascii="Arial" w:cs="Arial" w:eastAsia="Arial" w:hAnsi="Arial"/>
                  <w:sz w:val="19"/>
                  <w:szCs w:val="19"/>
                  <w:color w:val="0000EE"/>
                  <w:w w:val="99"/>
                </w:rPr>
                <w:t>Signatures</w:t>
              </w:r>
            </w:hyperlink>
          </w:p>
        </w:tc>
        <w:tc>
          <w:tcPr>
            <w:tcW w:w="3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9"/>
                <w:szCs w:val="19"/>
                <w:color w:val="auto"/>
              </w:rPr>
              <w:t>16.</w:t>
            </w:r>
          </w:p>
        </w:tc>
        <w:tc>
          <w:tcPr>
            <w:tcW w:w="8840" w:type="dxa"/>
            <w:vAlign w:val="bottom"/>
            <w:gridSpan w:val="23"/>
          </w:tcPr>
          <w:p>
            <w:pPr>
              <w:spacing w:after="0"/>
              <w:rPr>
                <w:rFonts w:ascii="Arial" w:cs="Arial" w:eastAsia="Arial" w:hAnsi="Arial"/>
                <w:sz w:val="19"/>
                <w:szCs w:val="19"/>
                <w:color w:val="0000EE"/>
              </w:rPr>
            </w:pPr>
            <w:hyperlink w:anchor="page97">
              <w:r>
                <w:rPr>
                  <w:rFonts w:ascii="Arial" w:cs="Arial" w:eastAsia="Arial" w:hAnsi="Arial"/>
                  <w:sz w:val="19"/>
                  <w:szCs w:val="19"/>
                  <w:color w:val="0000EE"/>
                </w:rPr>
                <w:t>Form 10-K Summary</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20" w:type="dxa"/>
            <w:vAlign w:val="bottom"/>
            <w:tcBorders>
              <w:bottom w:val="single" w:sz="8" w:color="0000EE"/>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9"/>
                <w:szCs w:val="19"/>
                <w:color w:val="auto"/>
              </w:rPr>
              <w:t>95</w:t>
            </w:r>
          </w:p>
        </w:tc>
        <w:tc>
          <w:tcPr>
            <w:tcW w:w="0" w:type="dxa"/>
            <w:vAlign w:val="bottom"/>
          </w:tcPr>
          <w:p>
            <w:pPr>
              <w:spacing w:after="0"/>
              <w:rPr>
                <w:sz w:val="1"/>
                <w:szCs w:val="1"/>
                <w:color w:val="auto"/>
              </w:rPr>
            </w:pPr>
          </w:p>
        </w:tc>
      </w:tr>
      <w:tr>
        <w:trPr>
          <w:trHeight w:val="260"/>
        </w:trPr>
        <w:tc>
          <w:tcPr>
            <w:tcW w:w="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3"/>
          <w:szCs w:val="23"/>
          <w:b w:val="1"/>
          <w:bCs w:val="1"/>
          <w:color w:val="auto"/>
        </w:rPr>
        <w:t>PART I.</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147"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Honeywell International Inc. (“Honeywell” or “the Company”) invents and commercializes technologies that address some of the world’s most critical challenges around energy, safety, security, productivity and global urbanization. As a diversified technology and manufacturing company, we are uniquely positioned to blend physical products with software to serve customers worldwide with aerospace products and services, turbochargers, energy efficient products and solutions for homes, businesses and transportation, specialty chemicals, electronic and advanced materials, process technology for refining and petrochemicals, and productivity, sensing, safety and security technologies for buildings, homes and industries. Our products and solutions enable a safer, more comfortable and more productive world, enhancing the quality of life of people around the globe. Honeywell was incorporated in Delaware in 1985.</w:t>
      </w:r>
    </w:p>
    <w:p>
      <w:pPr>
        <w:spacing w:after="0" w:line="30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Annual Report on Form 10-K, Quarterly Reports on Form 10-Q, Current Reports on Form 8-K and any amendments to those reports, are available free of charge on our website (www.honeywell.com) under the heading Investor Relations (see SEC Filings and Reports) immediately after they are filed with, or furnished to, the Securities and Exchange Commission (SEC). In addition, in this Annual Report on Form 10-K, the Company incorporates by reference certain information from parts of its Proxy Statement for the 2018 Annual Meeting of Stockholders, which we expect to file with the SEC on or about March 8, 2018, and which will also be available free of charge on our website.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Businesses</w:t>
      </w:r>
    </w:p>
    <w:p>
      <w:pPr>
        <w:spacing w:after="0" w:line="130"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We globally manage our business operations through four segments: Aerospace, Home and Building Technologies, Performance Materials and Technologies, and Safety and Productivity Solutions. Financial information related to our segments is included in Note 21 Segment Financial Data of Notes to Consolidated Financial Statements. Effective October 2017, the Company realigned the Smart Energy business, previously part of the Home and Building Technologies segment, into the Process Solutions business within the Performance Materials and Technologies segment. The business descriptions below reflect that realignment.</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major products/services, customers/uses and key competitors of each of our segments are: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Aerospace is a leading global supplier of products, software and services for aircraft and vehicles that it sells to original equipment manufacturers (OEM) and other customers in a variety of end markets: air transport, regional, business and general aviation aircraft, airlines, aircraft operators, defense and space contractors and automotive and truck manufacturers. Aerospace is a leading provider of aircraft engines, integrated avionics, systems and service solutions, and related products and services for aircraft manufacturers, and turbochargers to improve the performance and efficiency of passenger cars and commercial vehicles. Aerospace also provides spare parts, repair, overhaul and maintenance services (principally to aircraft operators) for the aftermarket. Aerospace products and services include auxiliary power units, propulsion engines, environmental control systems, wireless connectivity services, electric power systems, engine controls, flight safety, communications, navigation hardware and software, radar and surveillance systems, aircraft lighting, management and technical services, advanced systems and instruments, satellite and space components, aircraft wheels and brakes, repair and overhaul services, turbochargers and thermal systems.</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Home and Building Technologies</w:t>
      </w:r>
    </w:p>
    <w:p>
      <w:pPr>
        <w:spacing w:after="0" w:line="130"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color w:val="auto"/>
        </w:rPr>
        <w:t>Home and Building Technologies is a leading global provider of products, software, solutions and technologies that help owners of homes stay connected and in control of their comfort, security and energy use; and enable commercial building owners and occupants to ensure their facilities are safe, energy efficient, sustainable and productive. Home and Building Technologies products and services include controls and displays for heating, cooling, indoor air quality, ventilation, humidification,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 w:name="page5"/>
    <w:bookmarkEnd w:id="4"/>
    <w:p>
      <w:pPr>
        <w:ind w:right="100"/>
        <w:spacing w:after="0" w:line="241" w:lineRule="auto"/>
        <w:rPr>
          <w:sz w:val="20"/>
          <w:szCs w:val="20"/>
          <w:color w:val="auto"/>
        </w:rPr>
      </w:pPr>
      <w:r>
        <w:rPr>
          <w:rFonts w:ascii="Arial" w:cs="Arial" w:eastAsia="Arial" w:hAnsi="Arial"/>
          <w:sz w:val="19"/>
          <w:szCs w:val="19"/>
          <w:color w:val="auto"/>
        </w:rPr>
        <w:t>combustion, lighting and home automation; advanced software applications for home/building control and optimization; sensors, switches, control systems and instruments for measuring pressure, air flow, temperature and electrical current; products, services and solutions for measurement, regulation, control and metering of gases and electricity; metering and communications systems for water utilities and industries; access control; video surveillance; fire products; remote patient monitoring systems; and installation, maintenance and upgrades of systems that keep buildings safe, comfortable and productive.</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Performance Materials and Technologies is a global leader in developing and manufacturing advanced materials, process technologies and automation solutions.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Process Solutions is a pioneer in automation control, instrumentation, advanced software and related services for the oil and gas, refining, pulp and paper, industrial power generation, chemicals and petrochemicals, biofuels, life sciences, and metals, minerals and mining industries. Through its metering business, Process Solutions also enables utilities and distribution companies to deploy advanced capabilities that transform operations, improve reliability and environmental sustainability, and better serve customers. Advanced Materials manufactures a wide variety of high-performance products, including fluorocarbons, hydrofluoroolefins, specialty films, waxes, additives, advanced fibers, customized research chemicals and intermediates, and electronic materials and chemicals.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Safety and Productivity Solutions</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Safety and Productivity Solutions is a leading global provider of products, software and connected solutions to customers around the globe that improve productivity, workplace safety and asset performance. Safety products include personal protection equipment and footwear designed for work, play and outdoor activities. Productivity Solutions products and services include gas detection technology;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are subject to competition in substantially all product and service areas. Some of our key competitors are:</w:t>
      </w:r>
    </w:p>
    <w:p>
      <w:pPr>
        <w:spacing w:after="0" w:line="92" w:lineRule="exact"/>
        <w:rPr>
          <w:sz w:val="20"/>
          <w:szCs w:val="20"/>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Aerospace: Borg-Warner (automotive), Garmin, General Electric, Rockwell Collins, Thales and United Technologies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Home and Building Technologies: Emerson Electric, Itron, Johnson Controls, Schneider and Siemens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Performance Materials and Technologies: Albemarle, BASF, Dow, Dupont, Emerson and Sinopec</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
        </w:numPr>
        <w:rPr>
          <w:rFonts w:ascii="Arial" w:cs="Arial" w:eastAsia="Arial" w:hAnsi="Arial"/>
          <w:sz w:val="19"/>
          <w:szCs w:val="19"/>
          <w:color w:val="auto"/>
        </w:rPr>
      </w:pPr>
      <w:r>
        <w:rPr>
          <w:rFonts w:ascii="Arial" w:cs="Arial" w:eastAsia="Arial" w:hAnsi="Arial"/>
          <w:sz w:val="19"/>
          <w:szCs w:val="19"/>
          <w:color w:val="auto"/>
        </w:rPr>
        <w:t>Safety and Productivity Solutions: 3M, Mine Safety Appliances (MSA), Kion Group, TE Connectivity and Zebra Technologies</w:t>
      </w:r>
    </w:p>
    <w:p>
      <w:pPr>
        <w:spacing w:after="0" w:line="119"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Many of our competitors have substantial</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1" w:right="279" w:bottom="1440" w:gutter="0" w:footer="0" w:header="0"/>
        </w:sectPr>
      </w:pPr>
    </w:p>
    <w:bookmarkStart w:id="5" w:name="page6"/>
    <w:bookmarkEnd w:id="5"/>
    <w:p>
      <w:pPr>
        <w:ind w:right="160"/>
        <w:spacing w:after="0" w:line="253" w:lineRule="auto"/>
        <w:rPr>
          <w:sz w:val="20"/>
          <w:szCs w:val="20"/>
          <w:color w:val="auto"/>
        </w:rPr>
      </w:pPr>
      <w:r>
        <w:rPr>
          <w:rFonts w:ascii="Arial" w:cs="Arial" w:eastAsia="Arial" w:hAnsi="Arial"/>
          <w:sz w:val="19"/>
          <w:szCs w:val="19"/>
          <w:color w:val="auto"/>
        </w:rPr>
        <w:t>financial resources and significant technological capabilities. In addition, some of our products compete with the captive component divisions of OEMs.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 Sales</w:t>
      </w:r>
    </w:p>
    <w:p>
      <w:pPr>
        <w:spacing w:after="0" w:line="130" w:lineRule="exact"/>
        <w:rPr>
          <w:sz w:val="20"/>
          <w:szCs w:val="20"/>
          <w:color w:val="auto"/>
        </w:rPr>
      </w:pPr>
    </w:p>
    <w:p>
      <w:pPr>
        <w:ind w:right="240" w:firstLine="357"/>
        <w:spacing w:after="0" w:line="245" w:lineRule="auto"/>
        <w:rPr>
          <w:sz w:val="20"/>
          <w:szCs w:val="20"/>
          <w:color w:val="auto"/>
        </w:rPr>
      </w:pPr>
      <w:r>
        <w:rPr>
          <w:rFonts w:ascii="Arial" w:cs="Arial" w:eastAsia="Arial" w:hAnsi="Arial"/>
          <w:sz w:val="19"/>
          <w:szCs w:val="19"/>
          <w:color w:val="auto"/>
        </w:rPr>
        <w:t>Our Aerospace segment sales were 36%, 38% and 39% of our total sales in 2017, 2016 and 2015. Our sales to commercial aerospace OEMs were 6%, 6% and 8% of our total sales in 2017, 2016 and 2015. In addition, our sales to commercial aftermarket customers of aerospace products and services were 13%, 12% and 12% of our total sales in 2017, 2016 and 2015.</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Government Sales</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Sales to the U.S. Government (principally by Aerospace), acting through its various departments and agencies and through prime contractors, amounted to $3,203 million, $3,330 million and $3,743 million in 2017, 2016 and 2015, which included sales to the U.S. Department of Defense, as a prime contractor and subcontractor, of $2,546 million, $2,647 million and $2,680 million in 2017, 2016 and 2015. U.S. defense spending decreased in 2017 compared to 2016. We do not expect our overall operating results to be significantly affected by any proposed changes in 2018 federal defense spending due principally to the varied mix of the government programs which impact us (OEMs’ production, engineering development programs, aftermarket spares and repairs and overhaul programs), as well as our diversified commercial businesses.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130"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Our total backlog at December 31, 2017 and 2016 was $ 17,690 million and $ 17,277 million. We anticipate that approximately $12,337 million of the 2017 backlog will be filled in 2018. We believe that backlog is not necessarily a reliable indicator of our future sales because a substantial portion of the orders constituting this backlog may be canceled at the customer’s option. The 2016 backlog previously disclosed has been revised to apply the methodology used for the 2017 backlog and excludes certain previously included amounts that do not meet the criteria for inclusion.</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Operations</w:t>
      </w:r>
    </w:p>
    <w:p>
      <w:pPr>
        <w:spacing w:after="0" w:line="130"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color w:val="auto"/>
        </w:rPr>
        <w:t>We are engaged in manufacturing, sales, service and research and development (R&amp;D) globally. U.S. exports and non-U.S. manufactured products are significant to our operations. U.S. exports comprised 12% of our total sales in 2017, 13% in 2016 and 14% in 2015. Non-U.S. manufactured products and services, mainly in Europe and Asia, were 44% of our total sales in 2017, 43% in 2016 and 39% in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6"/>
                <w:szCs w:val="16"/>
                <w:b w:val="1"/>
                <w:bCs w:val="1"/>
                <w:color w:val="auto"/>
              </w:rPr>
              <w:t>Year Ended December 31, 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5"/>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Home and</w:t>
            </w:r>
          </w:p>
        </w:tc>
        <w:tc>
          <w:tcPr>
            <w:tcW w:w="300" w:type="dxa"/>
            <w:vAlign w:val="bottom"/>
          </w:tcPr>
          <w:p>
            <w:pPr>
              <w:spacing w:after="0"/>
              <w:rPr>
                <w:sz w:val="13"/>
                <w:szCs w:val="13"/>
                <w:color w:val="auto"/>
              </w:rPr>
            </w:pPr>
          </w:p>
        </w:tc>
        <w:tc>
          <w:tcPr>
            <w:tcW w:w="128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Performance</w:t>
            </w:r>
          </w:p>
        </w:tc>
        <w:tc>
          <w:tcPr>
            <w:tcW w:w="30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Safety and</w:t>
            </w:r>
          </w:p>
        </w:tc>
      </w:tr>
      <w:tr>
        <w:trPr>
          <w:trHeight w:val="176"/>
        </w:trPr>
        <w:tc>
          <w:tcPr>
            <w:tcW w:w="5520" w:type="dxa"/>
            <w:vAlign w:val="bottom"/>
          </w:tcPr>
          <w:p>
            <w:pPr>
              <w:ind w:left="1200"/>
              <w:spacing w:after="0" w:line="176" w:lineRule="exact"/>
              <w:rPr>
                <w:sz w:val="20"/>
                <w:szCs w:val="20"/>
                <w:color w:val="auto"/>
              </w:rPr>
            </w:pPr>
            <w:r>
              <w:rPr>
                <w:rFonts w:ascii="Arial" w:cs="Arial" w:eastAsia="Arial" w:hAnsi="Arial"/>
                <w:sz w:val="16"/>
                <w:szCs w:val="16"/>
                <w:b w:val="1"/>
                <w:bCs w:val="1"/>
                <w:color w:val="auto"/>
              </w:rPr>
              <w:t>Manufactured Products and Systems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Building</w:t>
            </w:r>
          </w:p>
        </w:tc>
        <w:tc>
          <w:tcPr>
            <w:tcW w:w="300" w:type="dxa"/>
            <w:vAlign w:val="bottom"/>
          </w:tcPr>
          <w:p>
            <w:pPr>
              <w:spacing w:after="0"/>
              <w:rPr>
                <w:sz w:val="15"/>
                <w:szCs w:val="15"/>
                <w:color w:val="auto"/>
              </w:rPr>
            </w:pPr>
          </w:p>
        </w:tc>
        <w:tc>
          <w:tcPr>
            <w:tcW w:w="1280" w:type="dxa"/>
            <w:vAlign w:val="bottom"/>
          </w:tcPr>
          <w:p>
            <w:pPr>
              <w:ind w:left="120"/>
              <w:spacing w:after="0" w:line="176" w:lineRule="exact"/>
              <w:rPr>
                <w:sz w:val="20"/>
                <w:szCs w:val="20"/>
                <w:color w:val="auto"/>
              </w:rPr>
            </w:pPr>
            <w:r>
              <w:rPr>
                <w:rFonts w:ascii="Arial" w:cs="Arial" w:eastAsia="Arial" w:hAnsi="Arial"/>
                <w:sz w:val="16"/>
                <w:szCs w:val="16"/>
                <w:b w:val="1"/>
                <w:bCs w:val="1"/>
                <w:color w:val="auto"/>
              </w:rPr>
              <w:t>Materials and</w:t>
            </w:r>
          </w:p>
        </w:tc>
        <w:tc>
          <w:tcPr>
            <w:tcW w:w="30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Productivity</w:t>
            </w:r>
          </w:p>
        </w:tc>
      </w:tr>
      <w:tr>
        <w:trPr>
          <w:trHeight w:val="190"/>
        </w:trPr>
        <w:tc>
          <w:tcPr>
            <w:tcW w:w="5520" w:type="dxa"/>
            <w:vAlign w:val="bottom"/>
            <w:tcBorders>
              <w:bottom w:val="single" w:sz="8" w:color="auto"/>
            </w:tcBorders>
          </w:tcPr>
          <w:p>
            <w:pPr>
              <w:ind w:left="1920"/>
              <w:spacing w:after="0"/>
              <w:rPr>
                <w:sz w:val="20"/>
                <w:szCs w:val="20"/>
                <w:color w:val="auto"/>
              </w:rPr>
            </w:pPr>
            <w:r>
              <w:rPr>
                <w:rFonts w:ascii="Arial" w:cs="Arial" w:eastAsia="Arial" w:hAnsi="Arial"/>
                <w:sz w:val="16"/>
                <w:szCs w:val="16"/>
                <w:b w:val="1"/>
                <w:bCs w:val="1"/>
                <w:color w:val="auto"/>
              </w:rPr>
              <w:t>Performance of Services</w:t>
            </w:r>
          </w:p>
        </w:tc>
        <w:tc>
          <w:tcPr>
            <w:tcW w:w="300" w:type="dxa"/>
            <w:vAlign w:val="bottom"/>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Technologies</w:t>
            </w:r>
          </w:p>
        </w:tc>
        <w:tc>
          <w:tcPr>
            <w:tcW w:w="300" w:type="dxa"/>
            <w:vAlign w:val="bottom"/>
          </w:tcPr>
          <w:p>
            <w:pPr>
              <w:spacing w:after="0"/>
              <w:rPr>
                <w:sz w:val="16"/>
                <w:szCs w:val="16"/>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Technologies</w:t>
            </w:r>
          </w:p>
        </w:tc>
        <w:tc>
          <w:tcPr>
            <w:tcW w:w="3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Solutions</w:t>
            </w:r>
          </w:p>
        </w:tc>
      </w:tr>
      <w:tr>
        <w:trPr>
          <w:trHeight w:val="237"/>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3"/>
          </w:tcPr>
          <w:p>
            <w:pPr>
              <w:jc w:val="right"/>
              <w:ind w:right="441"/>
              <w:spacing w:after="0"/>
              <w:rPr>
                <w:sz w:val="20"/>
                <w:szCs w:val="20"/>
                <w:color w:val="auto"/>
              </w:rPr>
            </w:pPr>
            <w:r>
              <w:rPr>
                <w:rFonts w:ascii="Arial" w:cs="Arial" w:eastAsia="Arial" w:hAnsi="Arial"/>
                <w:sz w:val="16"/>
                <w:szCs w:val="16"/>
                <w:b w:val="1"/>
                <w:bCs w:val="1"/>
                <w:color w:val="auto"/>
              </w:rPr>
              <w:t>(% of Segment Sales)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U.S. Exports</w:t>
            </w:r>
          </w:p>
        </w:tc>
        <w:tc>
          <w:tcPr>
            <w:tcW w:w="128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21%</w:t>
            </w:r>
          </w:p>
        </w:tc>
        <w:tc>
          <w:tcPr>
            <w:tcW w:w="156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1%</w:t>
            </w:r>
          </w:p>
        </w:tc>
        <w:tc>
          <w:tcPr>
            <w:tcW w:w="1580" w:type="dxa"/>
            <w:vAlign w:val="bottom"/>
            <w:gridSpan w:val="2"/>
            <w:shd w:val="clear" w:color="auto" w:fill="E5FFFF"/>
          </w:tcPr>
          <w:p>
            <w:pPr>
              <w:jc w:val="right"/>
              <w:ind w:right="281"/>
              <w:spacing w:after="0"/>
              <w:rPr>
                <w:sz w:val="20"/>
                <w:szCs w:val="20"/>
                <w:color w:val="auto"/>
              </w:rPr>
            </w:pPr>
            <w:r>
              <w:rPr>
                <w:rFonts w:ascii="Arial" w:cs="Arial" w:eastAsia="Arial" w:hAnsi="Arial"/>
                <w:sz w:val="19"/>
                <w:szCs w:val="19"/>
                <w:color w:val="auto"/>
              </w:rPr>
              <w:t>15%</w:t>
            </w:r>
          </w:p>
        </w:tc>
        <w:tc>
          <w:tcPr>
            <w:tcW w:w="148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4%</w:t>
            </w:r>
          </w:p>
        </w:tc>
      </w:tr>
      <w:tr>
        <w:trPr>
          <w:trHeight w:val="261"/>
        </w:trPr>
        <w:tc>
          <w:tcPr>
            <w:tcW w:w="5520" w:type="dxa"/>
            <w:vAlign w:val="bottom"/>
          </w:tcPr>
          <w:p>
            <w:pPr>
              <w:spacing w:after="0"/>
              <w:rPr>
                <w:sz w:val="20"/>
                <w:szCs w:val="20"/>
                <w:color w:val="auto"/>
              </w:rPr>
            </w:pPr>
            <w:r>
              <w:rPr>
                <w:rFonts w:ascii="Arial" w:cs="Arial" w:eastAsia="Arial" w:hAnsi="Arial"/>
                <w:sz w:val="19"/>
                <w:szCs w:val="19"/>
                <w:color w:val="auto"/>
              </w:rPr>
              <w:t>Non-U.S.</w:t>
            </w:r>
          </w:p>
        </w:tc>
        <w:tc>
          <w:tcPr>
            <w:tcW w:w="1280" w:type="dxa"/>
            <w:vAlign w:val="bottom"/>
            <w:gridSpan w:val="2"/>
          </w:tcPr>
          <w:p>
            <w:pPr>
              <w:jc w:val="right"/>
              <w:ind w:right="161"/>
              <w:spacing w:after="0"/>
              <w:rPr>
                <w:sz w:val="20"/>
                <w:szCs w:val="20"/>
                <w:color w:val="auto"/>
              </w:rPr>
            </w:pPr>
            <w:r>
              <w:rPr>
                <w:rFonts w:ascii="Arial" w:cs="Arial" w:eastAsia="Arial" w:hAnsi="Arial"/>
                <w:sz w:val="19"/>
                <w:szCs w:val="19"/>
                <w:color w:val="auto"/>
              </w:rPr>
              <w:t>34%</w:t>
            </w:r>
          </w:p>
        </w:tc>
        <w:tc>
          <w:tcPr>
            <w:tcW w:w="1560" w:type="dxa"/>
            <w:vAlign w:val="bottom"/>
            <w:gridSpan w:val="2"/>
          </w:tcPr>
          <w:p>
            <w:pPr>
              <w:jc w:val="right"/>
              <w:ind w:right="261"/>
              <w:spacing w:after="0"/>
              <w:rPr>
                <w:sz w:val="20"/>
                <w:szCs w:val="20"/>
                <w:color w:val="auto"/>
              </w:rPr>
            </w:pPr>
            <w:r>
              <w:rPr>
                <w:rFonts w:ascii="Arial" w:cs="Arial" w:eastAsia="Arial" w:hAnsi="Arial"/>
                <w:sz w:val="19"/>
                <w:szCs w:val="19"/>
                <w:color w:val="auto"/>
              </w:rPr>
              <w:t>50%</w:t>
            </w:r>
          </w:p>
        </w:tc>
        <w:tc>
          <w:tcPr>
            <w:tcW w:w="1580" w:type="dxa"/>
            <w:vAlign w:val="bottom"/>
            <w:gridSpan w:val="2"/>
          </w:tcPr>
          <w:p>
            <w:pPr>
              <w:jc w:val="right"/>
              <w:ind w:right="281"/>
              <w:spacing w:after="0"/>
              <w:rPr>
                <w:sz w:val="20"/>
                <w:szCs w:val="20"/>
                <w:color w:val="auto"/>
              </w:rPr>
            </w:pPr>
            <w:r>
              <w:rPr>
                <w:rFonts w:ascii="Arial" w:cs="Arial" w:eastAsia="Arial" w:hAnsi="Arial"/>
                <w:sz w:val="19"/>
                <w:szCs w:val="19"/>
                <w:color w:val="auto"/>
              </w:rPr>
              <w:t>54%</w:t>
            </w:r>
          </w:p>
        </w:tc>
        <w:tc>
          <w:tcPr>
            <w:tcW w:w="1480" w:type="dxa"/>
            <w:vAlign w:val="bottom"/>
            <w:gridSpan w:val="2"/>
          </w:tcPr>
          <w:p>
            <w:pPr>
              <w:jc w:val="right"/>
              <w:ind w:right="241"/>
              <w:spacing w:after="0"/>
              <w:rPr>
                <w:sz w:val="20"/>
                <w:szCs w:val="20"/>
                <w:color w:val="auto"/>
              </w:rPr>
            </w:pPr>
            <w:r>
              <w:rPr>
                <w:rFonts w:ascii="Arial" w:cs="Arial" w:eastAsia="Arial" w:hAnsi="Arial"/>
                <w:sz w:val="19"/>
                <w:szCs w:val="19"/>
                <w:color w:val="auto"/>
              </w:rPr>
              <w:t>41%</w:t>
            </w:r>
          </w:p>
        </w:tc>
      </w:tr>
    </w:tbl>
    <w:p>
      <w:pPr>
        <w:spacing w:after="0" w:line="91" w:lineRule="exact"/>
        <w:rPr>
          <w:sz w:val="20"/>
          <w:szCs w:val="20"/>
          <w:color w:val="auto"/>
        </w:rPr>
      </w:pPr>
    </w:p>
    <w:p>
      <w:pPr>
        <w:ind w:right="1120" w:firstLine="357"/>
        <w:spacing w:after="0" w:line="253" w:lineRule="auto"/>
        <w:rPr>
          <w:sz w:val="20"/>
          <w:szCs w:val="20"/>
          <w:color w:val="auto"/>
        </w:rPr>
      </w:pPr>
      <w:r>
        <w:rPr>
          <w:rFonts w:ascii="Arial" w:cs="Arial" w:eastAsia="Arial" w:hAnsi="Arial"/>
          <w:sz w:val="19"/>
          <w:szCs w:val="19"/>
          <w:color w:val="auto"/>
        </w:rPr>
        <w:t>Information related to risks attendant to our foreign operations is included in Item 1A. Risk Factors under the caption “Macroeconomic and Industry Risks.”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w:t>
      </w:r>
    </w:p>
    <w:p>
      <w:pPr>
        <w:spacing w:after="0" w:line="116" w:lineRule="exact"/>
        <w:rPr>
          <w:sz w:val="20"/>
          <w:szCs w:val="20"/>
          <w:color w:val="auto"/>
        </w:rPr>
      </w:pPr>
    </w:p>
    <w:p>
      <w:pPr>
        <w:ind w:right="320" w:firstLine="357"/>
        <w:spacing w:after="0" w:line="245" w:lineRule="auto"/>
        <w:rPr>
          <w:sz w:val="20"/>
          <w:szCs w:val="20"/>
          <w:color w:val="auto"/>
        </w:rPr>
      </w:pPr>
      <w:r>
        <w:rPr>
          <w:rFonts w:ascii="Arial" w:cs="Arial" w:eastAsia="Arial" w:hAnsi="Arial"/>
          <w:sz w:val="19"/>
          <w:szCs w:val="19"/>
          <w:color w:val="auto"/>
        </w:rPr>
        <w:t>The principal raw materials used in our operations are generally readily available. Although we occasionally experience disruption in raw materials supply, we experienced no significant problems in the purchase of key raw materials or commodities in 2017. We are not dependent on any one supplier for a material amount of our raw materials.</w:t>
      </w:r>
    </w:p>
    <w:p>
      <w:pPr>
        <w:spacing w:after="0" w:line="87"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The costs of certain key raw materials, including R240, fluorspar, copper, ethylene and perchloroethylene in Performance Materials and Technologies and nickel, steel, titanium and other metals in Aerospace, are expected to continue to fluctuate. We will continue to attempt to offset raw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6" w:name="page7"/>
    <w:bookmarkEnd w:id="6"/>
    <w:p>
      <w:pPr>
        <w:ind w:right="220"/>
        <w:spacing w:after="0" w:line="253" w:lineRule="auto"/>
        <w:rPr>
          <w:sz w:val="20"/>
          <w:szCs w:val="20"/>
          <w:color w:val="auto"/>
        </w:rPr>
      </w:pPr>
      <w:r>
        <w:rPr>
          <w:rFonts w:ascii="Arial" w:cs="Arial" w:eastAsia="Arial" w:hAnsi="Arial"/>
          <w:sz w:val="19"/>
          <w:szCs w:val="19"/>
          <w:color w:val="auto"/>
        </w:rPr>
        <w:t>material cost increases with formula or long-term supply agreements, price increases and hedging activities where feasible. We do not presently anticipate that a shortage of raw materials will cause any material adverse impacts during 2018.</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Trademarks, Licenses and Distribution Rights</w:t>
      </w:r>
    </w:p>
    <w:p>
      <w:pPr>
        <w:spacing w:after="0" w:line="130" w:lineRule="exact"/>
        <w:rPr>
          <w:sz w:val="20"/>
          <w:szCs w:val="20"/>
          <w:color w:val="auto"/>
        </w:rPr>
      </w:pPr>
    </w:p>
    <w:p>
      <w:pPr>
        <w:jc w:val="both"/>
        <w:ind w:right="80" w:firstLine="357"/>
        <w:spacing w:after="0" w:line="241" w:lineRule="auto"/>
        <w:rPr>
          <w:sz w:val="20"/>
          <w:szCs w:val="20"/>
          <w:color w:val="auto"/>
        </w:rPr>
      </w:pPr>
      <w:r>
        <w:rPr>
          <w:rFonts w:ascii="Arial" w:cs="Arial" w:eastAsia="Arial" w:hAnsi="Arial"/>
          <w:sz w:val="19"/>
          <w:szCs w:val="19"/>
          <w:color w:val="auto"/>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30" w:lineRule="exact"/>
        <w:rPr>
          <w:sz w:val="20"/>
          <w:szCs w:val="20"/>
          <w:color w:val="auto"/>
        </w:rPr>
      </w:pPr>
    </w:p>
    <w:p>
      <w:pPr>
        <w:ind w:right="340" w:firstLine="357"/>
        <w:spacing w:after="0" w:line="242" w:lineRule="auto"/>
        <w:rPr>
          <w:sz w:val="20"/>
          <w:szCs w:val="20"/>
          <w:color w:val="auto"/>
        </w:rPr>
      </w:pPr>
      <w:r>
        <w:rPr>
          <w:rFonts w:ascii="Arial" w:cs="Arial" w:eastAsia="Arial" w:hAnsi="Arial"/>
          <w:sz w:val="19"/>
          <w:szCs w:val="19"/>
          <w:color w:val="auto"/>
        </w:rPr>
        <w:t>The Company’s principal research and development activities are in the U.S., India, Europe, and China. Research and development expense totaled $1,835 million, $1,864 million and $1,856 million in 2017, 2016 and 2015. R&amp;D expense was 5% of sales in each of 2017, 2016 and 2015. Customer-sponsored (principally by the U.S. Government) R&amp;D activities amounted to an additional $876 million, $967 million and $998 million in 2017, 2016 and 2015.</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w:t>
      </w:r>
    </w:p>
    <w:p>
      <w:pPr>
        <w:spacing w:after="0" w:line="130"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We are subject to various federal, state, local and foreign government requirements regarding protection of human health and the environment.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are and have been engaged in the handling, manufacturing,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also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Although there is a possibility that a responsible party might have to bear more than its proportional share of the cleanup costs if it is unable to obtain appropriate contribution from other responsible parties, we do not anticipate having to bear significantly more than our proportional share in multi-party situations taken as a whole.</w:t>
      </w:r>
    </w:p>
    <w:p>
      <w:pPr>
        <w:spacing w:after="0" w:line="94"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earnings, competitive position or financial standing. We will continue to monitor emerging developments in this area.</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ind w:right="380" w:firstLine="357"/>
        <w:spacing w:after="0" w:line="253" w:lineRule="auto"/>
        <w:rPr>
          <w:sz w:val="20"/>
          <w:szCs w:val="20"/>
          <w:color w:val="auto"/>
        </w:rPr>
      </w:pPr>
      <w:r>
        <w:rPr>
          <w:rFonts w:ascii="Arial" w:cs="Arial" w:eastAsia="Arial" w:hAnsi="Arial"/>
          <w:sz w:val="19"/>
          <w:szCs w:val="19"/>
          <w:color w:val="auto"/>
        </w:rPr>
        <w:t>We have approximately 131,000 employees at December 31, 2017, of whom approximately 46,000 are located in the United States.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Executive Officers of the Registrant</w:t>
      </w:r>
    </w:p>
    <w:p>
      <w:pPr>
        <w:spacing w:after="0" w:line="130" w:lineRule="exact"/>
        <w:rPr>
          <w:sz w:val="20"/>
          <w:szCs w:val="20"/>
          <w:color w:val="auto"/>
        </w:rPr>
      </w:pPr>
    </w:p>
    <w:p>
      <w:pPr>
        <w:ind w:right="720" w:firstLine="357"/>
        <w:spacing w:after="0" w:line="246" w:lineRule="auto"/>
        <w:rPr>
          <w:sz w:val="20"/>
          <w:szCs w:val="20"/>
          <w:color w:val="auto"/>
        </w:rPr>
      </w:pPr>
      <w:r>
        <w:rPr>
          <w:rFonts w:ascii="Arial" w:cs="Arial" w:eastAsia="Arial" w:hAnsi="Arial"/>
          <w:sz w:val="19"/>
          <w:szCs w:val="19"/>
          <w:color w:val="auto"/>
        </w:rPr>
        <w:t>The executive officers of Honeywell, listed as follows, are elected annually by the Board of Directors. There are no family relationships among them.</w:t>
      </w:r>
    </w:p>
    <w:tbl>
      <w:tblPr>
        <w:tblLayout w:type="fixed"/>
        <w:tblInd w:w="0" w:type="dxa"/>
        <w:tblCellMar>
          <w:top w:w="0" w:type="dxa"/>
          <w:left w:w="0" w:type="dxa"/>
          <w:bottom w:w="0" w:type="dxa"/>
          <w:right w:w="0" w:type="dxa"/>
        </w:tblCellMar>
      </w:tblPr>
      <w:tr>
        <w:trPr>
          <w:trHeight w:val="172"/>
        </w:trPr>
        <w:tc>
          <w:tcPr>
            <w:tcW w:w="384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8"/>
              </w:rPr>
              <w:t>Name, Age,</w:t>
            </w:r>
          </w:p>
        </w:tc>
        <w:tc>
          <w:tcPr>
            <w:tcW w:w="300" w:type="dxa"/>
            <w:vAlign w:val="bottom"/>
          </w:tcPr>
          <w:p>
            <w:pPr>
              <w:spacing w:after="0"/>
              <w:rPr>
                <w:sz w:val="14"/>
                <w:szCs w:val="14"/>
                <w:color w:val="auto"/>
              </w:rPr>
            </w:pPr>
          </w:p>
        </w:tc>
        <w:tc>
          <w:tcPr>
            <w:tcW w:w="7280" w:type="dxa"/>
            <w:vAlign w:val="bottom"/>
          </w:tcPr>
          <w:p>
            <w:pPr>
              <w:spacing w:after="0"/>
              <w:rPr>
                <w:sz w:val="14"/>
                <w:szCs w:val="14"/>
                <w:color w:val="auto"/>
              </w:rPr>
            </w:pPr>
          </w:p>
        </w:tc>
      </w:tr>
      <w:tr>
        <w:trPr>
          <w:trHeight w:val="176"/>
        </w:trPr>
        <w:tc>
          <w:tcPr>
            <w:tcW w:w="3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Date First</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76"/>
        </w:trPr>
        <w:tc>
          <w:tcPr>
            <w:tcW w:w="3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Elected an</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90"/>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Executive Officer</w:t>
            </w:r>
          </w:p>
        </w:tc>
        <w:tc>
          <w:tcPr>
            <w:tcW w:w="300" w:type="dxa"/>
            <w:vAlign w:val="bottom"/>
          </w:tcPr>
          <w:p>
            <w:pPr>
              <w:spacing w:after="0"/>
              <w:rPr>
                <w:sz w:val="16"/>
                <w:szCs w:val="16"/>
                <w:color w:val="auto"/>
              </w:rPr>
            </w:pPr>
          </w:p>
        </w:tc>
        <w:tc>
          <w:tcPr>
            <w:tcW w:w="728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Business Experience</w:t>
            </w:r>
          </w:p>
        </w:tc>
      </w:tr>
      <w:tr>
        <w:trPr>
          <w:trHeight w:val="192"/>
        </w:trPr>
        <w:tc>
          <w:tcPr>
            <w:tcW w:w="3840" w:type="dxa"/>
            <w:vAlign w:val="bottom"/>
          </w:tcPr>
          <w:p>
            <w:pPr>
              <w:jc w:val="center"/>
              <w:spacing w:after="0" w:line="192" w:lineRule="exact"/>
              <w:rPr>
                <w:sz w:val="20"/>
                <w:szCs w:val="20"/>
                <w:color w:val="auto"/>
              </w:rPr>
            </w:pPr>
            <w:r>
              <w:rPr>
                <w:rFonts w:ascii="Arial" w:cs="Arial" w:eastAsia="Arial" w:hAnsi="Arial"/>
                <w:sz w:val="18"/>
                <w:szCs w:val="18"/>
                <w:color w:val="auto"/>
              </w:rPr>
              <w:t>Darius Adamczyk, 52</w:t>
            </w:r>
          </w:p>
        </w:tc>
        <w:tc>
          <w:tcPr>
            <w:tcW w:w="300" w:type="dxa"/>
            <w:vAlign w:val="bottom"/>
          </w:tcPr>
          <w:p>
            <w:pPr>
              <w:spacing w:after="0"/>
              <w:rPr>
                <w:sz w:val="16"/>
                <w:szCs w:val="16"/>
                <w:color w:val="auto"/>
              </w:rPr>
            </w:pPr>
          </w:p>
        </w:tc>
        <w:tc>
          <w:tcPr>
            <w:tcW w:w="7280" w:type="dxa"/>
            <w:vAlign w:val="bottom"/>
          </w:tcPr>
          <w:p>
            <w:pPr>
              <w:spacing w:after="0" w:line="192" w:lineRule="exact"/>
              <w:rPr>
                <w:sz w:val="20"/>
                <w:szCs w:val="20"/>
                <w:color w:val="auto"/>
              </w:rPr>
            </w:pPr>
            <w:r>
              <w:rPr>
                <w:rFonts w:ascii="Arial" w:cs="Arial" w:eastAsia="Arial" w:hAnsi="Arial"/>
                <w:sz w:val="18"/>
                <w:szCs w:val="18"/>
                <w:color w:val="auto"/>
              </w:rPr>
              <w:t>President and Chief Executive Officer since April 2017. Chief Operating Officer since from</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2017(a)</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April 2016 to March 2017. President and Chief Executive Officer Performance</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Materials and Technologies from April 2014 to April 2016. President of Honeywell</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Process Solutions from April 2012 to April 2014. President of Honeywell Scanning &amp;</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Mobility from July 2008 to April 2012.</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Rajeev Gautam, 65</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Performance Materials and Technologies since</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April 2016. President of Honeywell UOP from January 2009 to April 2016.</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Mark R. James, 56</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Human Resources, Procurement and Communications since</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2007</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November 2007.</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Anne T. Madden, 53</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and General Counsel since October 2017. Vice President of</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2017</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Corporate Development and Global M&amp;A from January 2002 to October 2017.</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Timothy O. Mahoney, 61</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Aerospace since September 2009.</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2009</w:t>
            </w:r>
          </w:p>
        </w:tc>
        <w:tc>
          <w:tcPr>
            <w:tcW w:w="30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Gary S. Michel, 55</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Home and Building Technologies since October</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2017</w:t>
            </w:r>
          </w:p>
        </w:tc>
        <w:tc>
          <w:tcPr>
            <w:tcW w:w="758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Krishna Mikkilineni, 58</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Engineering, Operations and Information Technology since April</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2010</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2013. Senior Vice President Engineering and Operations from April 2010 to April 2013</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and President Honeywell Technology Solutions from January 2009 to April 2013.</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Thomas A. Szlosek, 54</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Senior Vice President and Chief Financial Officer since April 2014. Vice President of</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2014</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Corporate Finance from April 2013 to April 2014. Chief Financial Officer of Automation</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and Control Solutions from February 2007 to April 2013.</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w w:val="99"/>
              </w:rPr>
              <w:t>John F. Waldron, 42</w:t>
            </w:r>
          </w:p>
        </w:tc>
        <w:tc>
          <w:tcPr>
            <w:tcW w:w="758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President and Chief Executive Officer, Safety and Productivity Solutions since July 2016.</w:t>
            </w:r>
          </w:p>
        </w:tc>
      </w:tr>
      <w:tr>
        <w:trPr>
          <w:trHeight w:val="203"/>
        </w:trPr>
        <w:tc>
          <w:tcPr>
            <w:tcW w:w="3840" w:type="dxa"/>
            <w:vAlign w:val="bottom"/>
          </w:tcPr>
          <w:p>
            <w:pPr>
              <w:jc w:val="center"/>
              <w:spacing w:after="0" w:line="202" w:lineRule="exact"/>
              <w:rPr>
                <w:sz w:val="20"/>
                <w:szCs w:val="20"/>
                <w:color w:val="auto"/>
              </w:rPr>
            </w:pPr>
            <w:r>
              <w:rPr>
                <w:rFonts w:ascii="Arial" w:cs="Arial" w:eastAsia="Arial" w:hAnsi="Arial"/>
                <w:sz w:val="18"/>
                <w:szCs w:val="18"/>
                <w:color w:val="auto"/>
              </w:rPr>
              <w:t>2016</w:t>
            </w: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President of Sensing and Productivity Solutions from July 2015 to July 2016. President</w:t>
            </w:r>
          </w:p>
        </w:tc>
      </w:tr>
      <w:tr>
        <w:trPr>
          <w:trHeight w:val="203"/>
        </w:trPr>
        <w:tc>
          <w:tcPr>
            <w:tcW w:w="3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Pr>
          <w:p>
            <w:pPr>
              <w:ind w:left="220"/>
              <w:spacing w:after="0" w:line="202" w:lineRule="exact"/>
              <w:rPr>
                <w:sz w:val="20"/>
                <w:szCs w:val="20"/>
                <w:color w:val="auto"/>
              </w:rPr>
            </w:pPr>
            <w:r>
              <w:rPr>
                <w:rFonts w:ascii="Arial" w:cs="Arial" w:eastAsia="Arial" w:hAnsi="Arial"/>
                <w:sz w:val="18"/>
                <w:szCs w:val="18"/>
                <w:color w:val="auto"/>
              </w:rPr>
              <w:t>of Scanning and Mobility from April 2012 to July 2015. Vice President and General</w:t>
            </w:r>
          </w:p>
        </w:tc>
      </w:tr>
      <w:tr>
        <w:trPr>
          <w:trHeight w:val="220"/>
        </w:trPr>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80" w:type="dxa"/>
            <w:vAlign w:val="bottom"/>
          </w:tcPr>
          <w:p>
            <w:pPr>
              <w:ind w:left="220"/>
              <w:spacing w:after="0"/>
              <w:rPr>
                <w:sz w:val="20"/>
                <w:szCs w:val="20"/>
                <w:color w:val="auto"/>
              </w:rPr>
            </w:pPr>
            <w:r>
              <w:rPr>
                <w:rFonts w:ascii="Arial" w:cs="Arial" w:eastAsia="Arial" w:hAnsi="Arial"/>
                <w:sz w:val="18"/>
                <w:szCs w:val="18"/>
                <w:color w:val="auto"/>
              </w:rPr>
              <w:t>Manager of Americas Scanning and Mobility from January 2012 to April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97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9"/>
          <w:szCs w:val="19"/>
          <w:color w:val="auto"/>
        </w:rPr>
        <w:t>(a) Also a Director.</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About Forward-Looking Statements</w:t>
      </w:r>
    </w:p>
    <w:p>
      <w:pPr>
        <w:spacing w:after="0" w:line="130"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We describe many of the trends and other factors that drive our business and future results in Item 7. Management’s Discussion and Analysis of Financial Condition and Results of Operations and in other parts of this report (including this Item 1A). Such discussions contain forward-looking statements within the meaning of Section 21E of the Securities Exchange Act of 1934.</w:t>
      </w:r>
    </w:p>
    <w:p>
      <w:pPr>
        <w:spacing w:after="0" w:line="87" w:lineRule="exact"/>
        <w:rPr>
          <w:sz w:val="20"/>
          <w:szCs w:val="20"/>
          <w:color w:val="auto"/>
        </w:rPr>
      </w:pPr>
    </w:p>
    <w:p>
      <w:pPr>
        <w:ind w:right="640" w:firstLine="357"/>
        <w:spacing w:after="0" w:line="253" w:lineRule="auto"/>
        <w:rPr>
          <w:sz w:val="20"/>
          <w:szCs w:val="20"/>
          <w:color w:val="auto"/>
        </w:rPr>
      </w:pPr>
      <w:r>
        <w:rPr>
          <w:rFonts w:ascii="Arial" w:cs="Arial" w:eastAsia="Arial" w:hAnsi="Arial"/>
          <w:sz w:val="19"/>
          <w:szCs w:val="19"/>
          <w:color w:val="auto"/>
        </w:rPr>
        <w:t>Forward-looking statements are those that address activities, events or developments that management intends, expects, projects, believes or anticipates will or may occur in the future. They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 w:name="page9"/>
    <w:bookmarkEnd w:id="8"/>
    <w:p>
      <w:pPr>
        <w:ind w:right="180"/>
        <w:spacing w:after="0" w:line="239" w:lineRule="auto"/>
        <w:rPr>
          <w:sz w:val="20"/>
          <w:szCs w:val="20"/>
          <w:color w:val="auto"/>
        </w:rPr>
      </w:pPr>
      <w:r>
        <w:rPr>
          <w:rFonts w:ascii="Arial" w:cs="Arial" w:eastAsia="Arial" w:hAnsi="Arial"/>
          <w:sz w:val="19"/>
          <w:szCs w:val="19"/>
          <w:color w:val="auto"/>
        </w:rPr>
        <w:t>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including with respect to any changes in or abandonment of the proposed spin-offs.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 These factors may be revised or supplemented in subsequent reports on Forms 10-Q and 8-K.</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w:t>
      </w:r>
    </w:p>
    <w:p>
      <w:pPr>
        <w:spacing w:after="0" w:line="130" w:lineRule="exact"/>
        <w:rPr>
          <w:sz w:val="20"/>
          <w:szCs w:val="20"/>
          <w:color w:val="auto"/>
        </w:rPr>
      </w:pPr>
    </w:p>
    <w:p>
      <w:pPr>
        <w:jc w:val="both"/>
        <w:ind w:right="320" w:firstLine="357"/>
        <w:spacing w:after="0" w:line="253" w:lineRule="auto"/>
        <w:rPr>
          <w:sz w:val="20"/>
          <w:szCs w:val="20"/>
          <w:color w:val="auto"/>
        </w:rPr>
      </w:pPr>
      <w:r>
        <w:rPr>
          <w:rFonts w:ascii="Arial" w:cs="Arial" w:eastAsia="Arial" w:hAnsi="Arial"/>
          <w:sz w:val="19"/>
          <w:szCs w:val="19"/>
          <w:color w:val="auto"/>
        </w:rPr>
        <w:t>Our business, operating results, cash flows and financial condition are subject to the principal risks and uncertainties set forth below, any one of which could cause our actual results to vary materially from recent results or from our anticipated future results.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Macroeconomic and Industry Risks</w:t>
      </w:r>
    </w:p>
    <w:p>
      <w:pPr>
        <w:spacing w:after="0" w:line="187"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i w:val="1"/>
          <w:iCs w:val="1"/>
          <w:color w:val="auto"/>
        </w:rPr>
        <w:t>Industry and economic conditions may adversely affect the markets and operating conditions of our customers, which in turn can affect demand for our products and services and our results of operations.</w:t>
      </w:r>
    </w:p>
    <w:p>
      <w:pPr>
        <w:spacing w:after="0" w:line="3" w:lineRule="exact"/>
        <w:rPr>
          <w:sz w:val="20"/>
          <w:szCs w:val="20"/>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Aerospace</w:t>
      </w:r>
      <w:r>
        <w:rPr>
          <w:rFonts w:ascii="Arial" w:cs="Arial" w:eastAsia="Arial" w:hAnsi="Arial"/>
          <w:sz w:val="19"/>
          <w:szCs w:val="19"/>
          <w:color w:val="auto"/>
        </w:rPr>
        <w:t>—Operating results of Aerospace are directly tied to cyclical industry and economic conditions, as well as 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customer buying patterns of aftermarket parts, supplier stability, factory transitions and capacity constraints. The operating results of our Commercial Aviation business unit may be adversely affected by downturns in the global demand for air travel which impacts new aircraft production or the delay or cancellation of new aircraft orders, delays in launch schedules for new aircraft, the retirement of aircraft and global flying hours, which impact air transport, regional, business and general aviation aircraft utilization rates.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Results may also be impacted by the potential introduction of counterfeit parts into our global supply chain. Operating results in our Transportation Systems business unit may be affected by the level of production and demand for automobiles and trucks equipped with turbochargers, regulatory changes regarding automobile and truck emissions and fuel economy, growing importance of automotive electrification, consumer demand and spending for automotive aftermarket products and delays in launch schedules for new automobile and truck platforms.</w:t>
      </w:r>
    </w:p>
    <w:p>
      <w:pPr>
        <w:spacing w:after="0" w:line="63" w:lineRule="exact"/>
        <w:rPr>
          <w:rFonts w:ascii="Arial" w:cs="Arial" w:eastAsia="Arial" w:hAnsi="Arial"/>
          <w:sz w:val="19"/>
          <w:szCs w:val="19"/>
          <w:color w:val="auto"/>
        </w:rPr>
      </w:pPr>
    </w:p>
    <w:p>
      <w:pPr>
        <w:ind w:left="540" w:right="140" w:hanging="168"/>
        <w:spacing w:after="0" w:line="251"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Home and Building Technologies</w:t>
      </w:r>
      <w:r>
        <w:rPr>
          <w:rFonts w:ascii="Arial" w:cs="Arial" w:eastAsia="Arial" w:hAnsi="Arial"/>
          <w:sz w:val="19"/>
          <w:szCs w:val="19"/>
          <w:color w:val="auto"/>
        </w:rPr>
        <w:t>—Operating results may be adversely impacted by downturns in the level of global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residential and commercial construction activity (including retrofits and upgrades), lower capital spending and operating expenditures on building projects, less industrial plant expansion, changes in the competitive landscape including new market entrants and new technologies, and fluctuations in inventory levels in distribution channels.</w:t>
      </w:r>
    </w:p>
    <w:p>
      <w:pPr>
        <w:spacing w:after="0" w:line="44" w:lineRule="exact"/>
        <w:rPr>
          <w:rFonts w:ascii="Arial" w:cs="Arial" w:eastAsia="Arial" w:hAnsi="Arial"/>
          <w:sz w:val="19"/>
          <w:szCs w:val="19"/>
          <w:color w:val="auto"/>
        </w:rPr>
      </w:pPr>
    </w:p>
    <w:p>
      <w:pPr>
        <w:ind w:left="540" w:right="20" w:hanging="168"/>
        <w:spacing w:after="0" w:line="246"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Materials and Technologies</w:t>
      </w:r>
      <w:r>
        <w:rPr>
          <w:rFonts w:ascii="Arial" w:cs="Arial" w:eastAsia="Arial" w:hAnsi="Arial"/>
          <w:sz w:val="19"/>
          <w:szCs w:val="19"/>
          <w:color w:val="auto"/>
        </w:rPr>
        <w:t>—Operating results may be adversely impacted by downturns in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utilization for chemical, industrial, refining, petrochemical and semiconductor plants, our customers’ availability of capital for refinery construction and expansion, raw material demand and supply volatility, product commoditization, and our ability to maximize our facilities’ production capacity and minimize downtime. In particular, the volatility in oil and natural gas prices have and will continue to impact our customers’ operating levels and capital spending and thus demand for our products and services.</w:t>
      </w:r>
    </w:p>
    <w:p>
      <w:pPr>
        <w:spacing w:after="0" w:line="271" w:lineRule="exact"/>
        <w:rPr>
          <w:rFonts w:ascii="Arial" w:cs="Arial" w:eastAsia="Arial" w:hAnsi="Arial"/>
          <w:sz w:val="19"/>
          <w:szCs w:val="19"/>
          <w:color w:val="auto"/>
        </w:rPr>
      </w:pPr>
    </w:p>
    <w:p>
      <w:pPr>
        <w:ind w:left="540" w:right="120" w:hanging="168"/>
        <w:spacing w:after="0" w:line="280" w:lineRule="auto"/>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Safety and Productivity Solutions</w:t>
      </w:r>
      <w:r>
        <w:rPr>
          <w:rFonts w:ascii="Arial" w:cs="Arial" w:eastAsia="Arial" w:hAnsi="Arial"/>
          <w:sz w:val="19"/>
          <w:szCs w:val="19"/>
          <w:color w:val="auto"/>
        </w:rPr>
        <w:t>—Operating results may be adversely impacted by downturns in the level of global capital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spending and operating expenditures, including in the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9" w:name="page10"/>
    <w:bookmarkEnd w:id="9"/>
    <w:p>
      <w:pPr>
        <w:ind w:left="520" w:right="240"/>
        <w:spacing w:after="0" w:line="241" w:lineRule="auto"/>
        <w:rPr>
          <w:sz w:val="20"/>
          <w:szCs w:val="20"/>
          <w:color w:val="auto"/>
        </w:rPr>
      </w:pPr>
      <w:r>
        <w:rPr>
          <w:rFonts w:ascii="Arial" w:cs="Arial" w:eastAsia="Arial" w:hAnsi="Arial"/>
          <w:sz w:val="19"/>
          <w:szCs w:val="19"/>
          <w:color w:val="auto"/>
        </w:rPr>
        <w:t>oil and gas industry, reduced investments in process automation, safety monitoring, and plant capacity utilization initiatives, fluctuations in retail markets, lower customer demand due to the failure to anticipate and respond to overall trends related to end market demand, changes in the competitive landscape including new market entrants and technology that may lead to product commoditization, and adverse industry economic conditions, all of which could result in lower market share, reduced selling prices and lower margins.</w:t>
      </w:r>
    </w:p>
    <w:p>
      <w:pPr>
        <w:spacing w:after="0" w:line="284"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An increasing percentage of our sales and operations is in non-U.S. jurisdictions and is subject to the economic, political, regulatory, foreign exchange and other risks of international operations.</w:t>
      </w:r>
    </w:p>
    <w:p>
      <w:pPr>
        <w:spacing w:after="0" w:line="54"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sanctions and embargoes), violations by our employees of anti-corruption laws (despite our efforts to mitigate these risks),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including the United Kingdom referendum in favor of exiting the European Union and the evolving international and domestic political, regulatory and economic landscape, the potential for changes in global trade policies including sanctions and trade barriers, trends such as populism, economic nationalism and negative sentiment toward multinational companies,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92"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Operating outside of the United States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related to our defined benefit pension plans may adversely impact our results of operations and cash flow.</w:t>
      </w:r>
    </w:p>
    <w:p>
      <w:pPr>
        <w:spacing w:after="0" w:line="130" w:lineRule="exact"/>
        <w:rPr>
          <w:sz w:val="20"/>
          <w:szCs w:val="20"/>
          <w:color w:val="auto"/>
        </w:rPr>
      </w:pPr>
    </w:p>
    <w:p>
      <w:pPr>
        <w:ind w:right="240" w:firstLine="357"/>
        <w:spacing w:after="0"/>
        <w:rPr>
          <w:sz w:val="20"/>
          <w:szCs w:val="20"/>
          <w:color w:val="auto"/>
        </w:rPr>
      </w:pPr>
      <w:r>
        <w:rPr>
          <w:rFonts w:ascii="Arial" w:cs="Arial" w:eastAsia="Arial" w:hAnsi="Arial"/>
          <w:sz w:val="19"/>
          <w:szCs w:val="19"/>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Operational Risks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76" w:lineRule="exact"/>
        <w:rPr>
          <w:sz w:val="20"/>
          <w:szCs w:val="20"/>
          <w:color w:val="auto"/>
        </w:rPr>
      </w:pPr>
    </w:p>
    <w:p>
      <w:pPr>
        <w:ind w:right="320" w:firstLine="357"/>
        <w:spacing w:after="0" w:line="253" w:lineRule="auto"/>
        <w:rPr>
          <w:sz w:val="20"/>
          <w:szCs w:val="20"/>
          <w:color w:val="auto"/>
        </w:rPr>
      </w:pPr>
      <w:r>
        <w:rPr>
          <w:rFonts w:ascii="Arial" w:cs="Arial" w:eastAsia="Arial" w:hAnsi="Arial"/>
          <w:sz w:val="19"/>
          <w:szCs w:val="19"/>
          <w:color w:val="auto"/>
        </w:rPr>
        <w:t>The cost of raw materials is a key element in the cost of our products, particularly in Performance Materials and Technologies (R240, fluorspar, copper, ethylene and perchloroethylene) and in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 w:name="page11"/>
    <w:bookmarkEnd w:id="10"/>
    <w:p>
      <w:pPr>
        <w:jc w:val="both"/>
        <w:ind w:right="680"/>
        <w:spacing w:after="0" w:line="245" w:lineRule="auto"/>
        <w:rPr>
          <w:sz w:val="20"/>
          <w:szCs w:val="20"/>
          <w:color w:val="auto"/>
        </w:rPr>
      </w:pPr>
      <w:r>
        <w:rPr>
          <w:rFonts w:ascii="Arial" w:cs="Arial" w:eastAsia="Arial" w:hAnsi="Arial"/>
          <w:sz w:val="19"/>
          <w:szCs w:val="19"/>
          <w:color w:val="auto"/>
        </w:rPr>
        <w:t>Aerospace (nickel, steel, titanium and other metals). Our inability to offset material price inflation through increased prices to customers, formula or long-term fixed price contracts with suppliers, productivity actions or through commodity hedges could adversely affect our results of operations.</w:t>
      </w:r>
    </w:p>
    <w:p>
      <w:pPr>
        <w:spacing w:after="0" w:line="87" w:lineRule="exact"/>
        <w:rPr>
          <w:sz w:val="20"/>
          <w:szCs w:val="20"/>
          <w:color w:val="auto"/>
        </w:rPr>
      </w:pPr>
    </w:p>
    <w:p>
      <w:pPr>
        <w:ind w:right="80" w:firstLine="357"/>
        <w:spacing w:after="0"/>
        <w:rPr>
          <w:sz w:val="20"/>
          <w:szCs w:val="20"/>
          <w:color w:val="auto"/>
        </w:rPr>
      </w:pPr>
      <w:r>
        <w:rPr>
          <w:rFonts w:ascii="Arial" w:cs="Arial" w:eastAsia="Arial" w:hAnsi="Arial"/>
          <w:sz w:val="19"/>
          <w:szCs w:val="19"/>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unable to successfully execute or effectively integrate acquisitions, and divestitures may not occur as planned.</w:t>
      </w:r>
    </w:p>
    <w:p>
      <w:pPr>
        <w:spacing w:after="0" w:line="13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regularly review our portfolio of businesses and pursue growth through acquisitions and seek to divest non-core businesses. We may not be able to complete transactions on favorable terms, on a timely basis, or at all, and during integration we may discover cybersecurity and compliance issues.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 -core assets and businesses on satisfactory terms and conditions; and (iv) the discovery of unanticipated liabilities, labor relations difficulties or other problems in acquired businesses for which we lack contractual protections, insurance or indemnities, or with regard to divested businesses, claims by purchasers to whom we have provided contractual indemnification.</w:t>
      </w:r>
    </w:p>
    <w:p>
      <w:pPr>
        <w:spacing w:after="0" w:line="275" w:lineRule="exact"/>
        <w:rPr>
          <w:sz w:val="20"/>
          <w:szCs w:val="20"/>
          <w:color w:val="auto"/>
        </w:rPr>
      </w:pPr>
    </w:p>
    <w:p>
      <w:pPr>
        <w:jc w:val="both"/>
        <w:ind w:right="120"/>
        <w:spacing w:after="0" w:line="258" w:lineRule="auto"/>
        <w:rPr>
          <w:sz w:val="20"/>
          <w:szCs w:val="20"/>
          <w:color w:val="auto"/>
        </w:rPr>
      </w:pPr>
      <w:r>
        <w:rPr>
          <w:rFonts w:ascii="Arial" w:cs="Arial" w:eastAsia="Arial" w:hAnsi="Arial"/>
          <w:sz w:val="19"/>
          <w:szCs w:val="19"/>
          <w:b w:val="1"/>
          <w:bCs w:val="1"/>
          <w:i w:val="1"/>
          <w:iCs w:val="1"/>
          <w:color w:val="auto"/>
        </w:rPr>
        <w:t>The proposed spin-offs of our Homes and Global Distribution business and of our Transportation Systems business into two stand-alone, publicly-traded companies are each contingent upon the satisfaction of a number of conditions, may not be completed on the currently contemplated timeline, or at all, and may not achieve the intended benefits.</w:t>
      </w:r>
    </w:p>
    <w:p>
      <w:pPr>
        <w:spacing w:after="0" w:line="7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On October 10, 2017, the Company announced its intention to separately spin-off our Homes and Global Distribution business, which is part of our Home and Building Technologies segment, and our Transportation Systems business, which is part of our Aerospace segment, into two stand-alone, publicly-traded companies. Completion of each proposed spin-off is subject to readiness of each spin-off to operate as an independent public company, finalization of the financial statements of the spun-off business, assurance that the separation will be tax-free to our shareowners for U.S. federal income tax purposes, finalization of the capital structure of the three corporations, the effectiveness of appropriate filings with the U.S. Securities and Exchange Commission, final approval of the Board of Directors, and other customary matters. Each proposed spin-off is complex in nature, and may be affected by unanticipated developments, credit and equity markets, or changes in market conditions. These or other unanticipated developments could delay or prevent the proposed spin-offs or cause the proposed spin-offs to occur on terms or conditions that are less favorable than anticipated, including without limitation, the failure to qualify as tax-free to our shareowners, and the inability of the two spun-off companies to incur sufficient indebtedness to allow for a distribution to Honeywell of proceeds concurrently with the consummation of the spin-offs or to make ongoing cash contributions towards the satisfaction of certain of our legacy asbestos and environmental remediation liabilities. Furthermore, if the spin-offs are completed, we cannot assure you that each will be successful in meeting its objectives. There is the potential for business disruption and significant separation costs. Any of these factors could have a material adverse effect on our business, financial condition, results of operations, cash flows and/or the price of our common stock.</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1" w:right="319" w:bottom="1440" w:gutter="0" w:footer="0" w:header="0"/>
        </w:sectPr>
      </w:pPr>
    </w:p>
    <w:bookmarkStart w:id="11" w:name="page12"/>
    <w:bookmarkEnd w:id="11"/>
    <w:p>
      <w:pPr>
        <w:ind w:right="540"/>
        <w:spacing w:after="0" w:line="280" w:lineRule="auto"/>
        <w:rPr>
          <w:sz w:val="20"/>
          <w:szCs w:val="20"/>
          <w:color w:val="auto"/>
        </w:rPr>
      </w:pPr>
      <w:r>
        <w:rPr>
          <w:rFonts w:ascii="Arial" w:cs="Arial" w:eastAsia="Arial" w:hAnsi="Arial"/>
          <w:sz w:val="19"/>
          <w:szCs w:val="19"/>
          <w:b w:val="1"/>
          <w:bCs w:val="1"/>
          <w:i w:val="1"/>
          <w:iCs w:val="1"/>
          <w:color w:val="auto"/>
        </w:rPr>
        <w:t>Our future growth is largely dependent upon our ability to develop new technologies and introduce new products that achieve market acceptance in increasingly competitive markets with acceptable margins.</w:t>
      </w:r>
    </w:p>
    <w:p>
      <w:pPr>
        <w:spacing w:after="0" w:line="54"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Our future growth rate depends upon a number of factors, including our ability to (i) identify and evolve with emerging technological and broader industry trends in our target end-markets, (ii) develop and maintain competitive products, (iii) 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monitor disruptive technologies and business models, (vii) achieve sufficient return on investment for new products introduced based on capital expenditures and research and development spending, (viii) respond to changes in overall trends related to end market demand, and (x) attract, develop and retain individuals with the requisite technical expertise and understanding of customers’ needs to develop new technologies and introduce new products.</w:t>
      </w:r>
    </w:p>
    <w:p>
      <w:pPr>
        <w:spacing w:after="0" w:line="95" w:lineRule="exact"/>
        <w:rPr>
          <w:sz w:val="20"/>
          <w:szCs w:val="20"/>
          <w:color w:val="auto"/>
        </w:rPr>
      </w:pPr>
    </w:p>
    <w:p>
      <w:pPr>
        <w:ind w:right="180" w:firstLine="357"/>
        <w:spacing w:after="0" w:line="253" w:lineRule="auto"/>
        <w:rPr>
          <w:sz w:val="20"/>
          <w:szCs w:val="20"/>
          <w:color w:val="auto"/>
        </w:rPr>
      </w:pPr>
      <w:r>
        <w:rPr>
          <w:rFonts w:ascii="Arial" w:cs="Arial" w:eastAsia="Arial" w:hAnsi="Arial"/>
          <w:sz w:val="19"/>
          <w:szCs w:val="19"/>
          <w:color w:val="auto"/>
        </w:rPr>
        <w:t>The failure of our technologies or products to gain market acceptance due to more attractive offerings by our competitors could significantly reduce our revenues and adversely affect our competitive standing and prospects.</w:t>
      </w:r>
    </w:p>
    <w:p>
      <w:pPr>
        <w:spacing w:after="0" w:line="272"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b w:val="1"/>
          <w:bCs w:val="1"/>
          <w:i w:val="1"/>
          <w:iCs w:val="1"/>
          <w:color w:val="auto"/>
        </w:rPr>
        <w:t>Failure to increase productivity through sustainable operational improvements, as well as an inability to successfully execute repositioning projects or to effectively manage our workforce, may reduce our profitability or adversely impact our businesses.</w:t>
      </w:r>
    </w:p>
    <w:p>
      <w:pPr>
        <w:spacing w:after="0" w:line="62"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of the planned initiatives,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 could have a material adverse effect on our business, reputation, financial position and results of operations.</w:t>
      </w:r>
    </w:p>
    <w:p>
      <w:pPr>
        <w:spacing w:after="0" w:line="288"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b w:val="1"/>
          <w:bCs w:val="1"/>
          <w:i w:val="1"/>
          <w:iCs w:val="1"/>
          <w:color w:val="auto"/>
        </w:rPr>
        <w:t>As a supplier to the U.S. Government, we are subject to unique risks, such as the right of the U.S. Government to terminate contracts for convenience and to conduct audits and investigations of our operations and performance.</w:t>
      </w:r>
    </w:p>
    <w:p>
      <w:pPr>
        <w:spacing w:after="0" w:line="54"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have made adjustments and paid voluntary refunds in the past and may do so in the future.</w:t>
      </w:r>
    </w:p>
    <w:p>
      <w:pPr>
        <w:spacing w:after="0" w:line="91"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We are also subject to government investigations of business practices and compliance with government procurement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284" w:lineRule="exact"/>
        <w:rPr>
          <w:sz w:val="20"/>
          <w:szCs w:val="20"/>
          <w:color w:val="auto"/>
        </w:rPr>
      </w:pPr>
    </w:p>
    <w:p>
      <w:pPr>
        <w:ind w:right="800"/>
        <w:spacing w:after="0" w:line="280" w:lineRule="auto"/>
        <w:rPr>
          <w:sz w:val="20"/>
          <w:szCs w:val="20"/>
          <w:color w:val="auto"/>
        </w:rPr>
      </w:pPr>
      <w:r>
        <w:rPr>
          <w:rFonts w:ascii="Arial" w:cs="Arial" w:eastAsia="Arial" w:hAnsi="Arial"/>
          <w:sz w:val="19"/>
          <w:szCs w:val="19"/>
          <w:b w:val="1"/>
          <w:bCs w:val="1"/>
          <w:i w:val="1"/>
          <w:iCs w:val="1"/>
          <w:color w:val="auto"/>
        </w:rPr>
        <w:t>Our operations and the prior operations of predecessor companies expose us to the risk of material environmental liabilities.</w:t>
      </w:r>
    </w:p>
    <w:p>
      <w:pPr>
        <w:spacing w:after="0" w:line="54" w:lineRule="exact"/>
        <w:rPr>
          <w:sz w:val="20"/>
          <w:szCs w:val="20"/>
          <w:color w:val="auto"/>
        </w:rPr>
      </w:pPr>
    </w:p>
    <w:p>
      <w:pPr>
        <w:ind w:right="400" w:firstLine="357"/>
        <w:spacing w:after="0" w:line="253" w:lineRule="auto"/>
        <w:rPr>
          <w:sz w:val="20"/>
          <w:szCs w:val="20"/>
          <w:color w:val="auto"/>
        </w:rPr>
      </w:pPr>
      <w:r>
        <w:rPr>
          <w:rFonts w:ascii="Arial" w:cs="Arial" w:eastAsia="Arial" w:hAnsi="Arial"/>
          <w:sz w:val="19"/>
          <w:szCs w:val="19"/>
          <w:color w:val="auto"/>
        </w:rPr>
        <w:t>Mainly because of past operations and operations of predecessor companies, we are subject to potentially material liabilities related to the remediation of environmental hazards and to claims of</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12" w:name="page13"/>
    <w:bookmarkEnd w:id="12"/>
    <w:p>
      <w:pPr>
        <w:ind w:right="140"/>
        <w:spacing w:after="0" w:line="239" w:lineRule="auto"/>
        <w:rPr>
          <w:sz w:val="20"/>
          <w:szCs w:val="20"/>
          <w:color w:val="auto"/>
        </w:rPr>
      </w:pPr>
      <w:r>
        <w:rPr>
          <w:rFonts w:ascii="Arial" w:cs="Arial" w:eastAsia="Arial" w:hAnsi="Arial"/>
          <w:sz w:val="19"/>
          <w:szCs w:val="19"/>
          <w:color w:val="auto"/>
        </w:rPr>
        <w:t>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and can impose substantial fines and criminal sanctions for violations, and require installation of costly equipment or operational changes to limit emissions and/or decrease the likelihood of accidental hazardous substance releases. In addition, changes in laws, regulations and enforcement of policies, the discovery of previously unknown contamination or new technology or information related to individual sites, the establishment of stricter state or federal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84" w:lineRule="exact"/>
        <w:rPr>
          <w:sz w:val="20"/>
          <w:szCs w:val="20"/>
          <w:color w:val="auto"/>
        </w:rPr>
      </w:pPr>
    </w:p>
    <w:p>
      <w:pPr>
        <w:ind w:right="300"/>
        <w:spacing w:after="0" w:line="280" w:lineRule="auto"/>
        <w:rPr>
          <w:sz w:val="20"/>
          <w:szCs w:val="20"/>
          <w:color w:val="auto"/>
        </w:rPr>
      </w:pPr>
      <w:r>
        <w:rPr>
          <w:rFonts w:ascii="Arial" w:cs="Arial" w:eastAsia="Arial" w:hAnsi="Arial"/>
          <w:sz w:val="19"/>
          <w:szCs w:val="19"/>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54"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product software designs which we believe are less susceptible to cyber attacks,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Cybersecurity incidents aimed at the software imbedded in our products could lead to third party claims that our product failures have caused a similar range of damages to our customers, and this risk is enhanced by the increasingly connected nature of our products. The potential consequences of a material cybersecurity incident include financial loss, reputational damage, litigation with third parties, theft of intellectual property, fines levied by the Federal Trade Commission, diminution in the value of our investment in research, development and engineering, and increased cybersecurity protection and remediation costs due to the increasing sophistication and proliferation of threats, which in turn could adversely affect our competitiveness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Data privacy, identity protection, and information security may require significant resources and presents certain risks.</w:t>
      </w:r>
    </w:p>
    <w:p>
      <w:pPr>
        <w:spacing w:after="0" w:line="130"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We collect, store, have access to and otherwise process certain confidential or sensitive data, including proprietary business information, personal data and other information that is subject to privacy and security laws, regulations and/or customer-imposed controls. Despite our efforts to protect such data, we may be vulnerable to material security breaches, theft, misplaced or lost data, programming errors, or employee errors that could potentially lead to the compromising of such data, improper use of our systems, software solutions or networks, unauthorized access, use, disclosure, modification or destruction of information, defective products, production downtimes and operational disruptions. In addition, we operate in an environment in which there are different and potentially conflicting data privacy laws in effect in the various U.S. states and foreign jurisdictions in which we operate and we must understand and comply with each law and standard in each of these jurisdictions while ensuring the data is secure. Government enforcement actions can be costly and interrupt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13" w:name="page14"/>
    <w:bookmarkEnd w:id="13"/>
    <w:p>
      <w:pPr>
        <w:ind w:right="140"/>
        <w:spacing w:after="0" w:line="253" w:lineRule="auto"/>
        <w:rPr>
          <w:sz w:val="20"/>
          <w:szCs w:val="20"/>
          <w:color w:val="auto"/>
        </w:rPr>
      </w:pPr>
      <w:r>
        <w:rPr>
          <w:rFonts w:ascii="Arial" w:cs="Arial" w:eastAsia="Arial" w:hAnsi="Arial"/>
          <w:sz w:val="19"/>
          <w:szCs w:val="19"/>
          <w:color w:val="auto"/>
        </w:rPr>
        <w:t>regular operation of our business, and violations of data privacy laws can result in fines, reputational damage and civil lawsuits, any of which may adversely affect our business, reputation and financial statements.</w:t>
      </w:r>
    </w:p>
    <w:p>
      <w:pPr>
        <w:spacing w:after="0" w:line="272" w:lineRule="exact"/>
        <w:rPr>
          <w:sz w:val="20"/>
          <w:szCs w:val="20"/>
          <w:color w:val="auto"/>
        </w:rPr>
      </w:pPr>
    </w:p>
    <w:p>
      <w:pPr>
        <w:ind w:right="400"/>
        <w:spacing w:after="0" w:line="280" w:lineRule="auto"/>
        <w:rPr>
          <w:sz w:val="20"/>
          <w:szCs w:val="20"/>
          <w:color w:val="auto"/>
        </w:rPr>
      </w:pPr>
      <w:r>
        <w:rPr>
          <w:rFonts w:ascii="Arial" w:cs="Arial" w:eastAsia="Arial" w:hAnsi="Arial"/>
          <w:sz w:val="19"/>
          <w:szCs w:val="19"/>
          <w:b w:val="1"/>
          <w:bCs w:val="1"/>
          <w:i w:val="1"/>
          <w:iCs w:val="1"/>
          <w:color w:val="auto"/>
        </w:rPr>
        <w:t>A material disruption of our operations, particularly at our manufacturing facilities or within our information technology infrastructure, could adversely affect our business.</w:t>
      </w:r>
    </w:p>
    <w:p>
      <w:pPr>
        <w:spacing w:after="0" w:line="54"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Our facilities, supply chains, distribution systems and information technology systems are subject to catastrophic loss due to natural disasters including hurricanes and floods, power outages, fires, explosions, terrorism, equipment failures, sabotage, adverse weather conditions, public health crises, labor disputes, critical supply failure, inaccurate downtime forecast, political disruption, and other reasons, which can result in undesirable consequences, including financial losses and damaged relationships with customers. We employ information technology systems and networks to support the business and rely on them to process, transmit and store electronic information, and to manage or support a variety of business processes and activities. Disruptions to our information technology infrastructure from system failures, shutdowns, power outages, telecommunication or utility failures,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Legal and Regulatory Risks</w:t>
      </w:r>
    </w:p>
    <w:p>
      <w:pPr>
        <w:spacing w:after="0" w:line="187"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Our U.S. and non-U.S. tax liabilities are dependent, in part, upon the distribution of income among various jurisdictions in which we operate.</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Changes in tax laws or regulations, including further regulatory developments arising from U.S. tax reform legislation as well as multi-jurisdictional changes enacted in response to the action items provided by the Organization for Economic Co-operation and Development (OECD), will increase tax uncertainty and impact our provision for 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legislation or government regulations or policies can have a significant impact on our results of operations.</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The sales and margins of each of our segments are directly impacted by government regulations including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while emissions, fuel economy and energy efficiency standards for motor vehicles can impact Transportation Systems. Within Home and Building Technologies, the demand for and cost of providing products, services and solutions can be impacted by fire, security, safety, health care, environmental and energy efficiency standards and regulations. Performance Materials and Technologies’ results of operations can be impacted by environmental standards, regulations, and judicial determinations. Growth in all our businesses within emerging markets may be adversely impacted by the inability to acquire and retain qualified employees where local employment law mandates may be restrictive. Noncompliance with legislation and regulations can result in fines and penalties.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14" w:name="page15"/>
    <w:bookmarkEnd w:id="14"/>
    <w:p>
      <w:pPr>
        <w:ind w:right="180"/>
        <w:spacing w:after="0" w:line="280" w:lineRule="auto"/>
        <w:rPr>
          <w:sz w:val="20"/>
          <w:szCs w:val="20"/>
          <w:color w:val="auto"/>
        </w:rPr>
      </w:pPr>
      <w:r>
        <w:rPr>
          <w:rFonts w:ascii="Arial" w:cs="Arial" w:eastAsia="Arial" w:hAnsi="Arial"/>
          <w:sz w:val="19"/>
          <w:szCs w:val="19"/>
          <w:b w:val="1"/>
          <w:bCs w:val="1"/>
          <w:i w:val="1"/>
          <w:iCs w:val="1"/>
          <w:color w:val="auto"/>
        </w:rPr>
        <w:t>We cannot predict with certainty the outcome of litigation matters, government proceedings and other contingencies and uncertainties.</w:t>
      </w:r>
    </w:p>
    <w:p>
      <w:pPr>
        <w:spacing w:after="0" w:line="54"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5" w:right="319" w:bottom="1440" w:gutter="0" w:footer="0" w:header="0"/>
        </w:sectPr>
      </w:pPr>
    </w:p>
    <w:bookmarkStart w:id="15" w:name="page16"/>
    <w:bookmarkEnd w:id="15"/>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Properties</w:t>
      </w:r>
    </w:p>
    <w:p>
      <w:pPr>
        <w:spacing w:after="0" w:line="147"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We have approximately 1,287 locations, of which 296 are manufacturing sites. Our properties and equipment are in good operating condition and are adequate for our present needs. We do not anticipate difficulty in renewing existing leases as they expire or in finding alternative facilities.</w:t>
      </w:r>
    </w:p>
    <w:p>
      <w:pPr>
        <w:spacing w:after="0" w:line="25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147"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We are subject to a number of lawsuits, investigations and claims (some of which involve substantial amounts) arising out of the conduct of our business. See a discussion of environmental, asbestos and other litigation matters in Note 19 Commitments and Contingencies of Notes to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16" w:name="page17"/>
    <w:bookmarkEnd w:id="16"/>
    <w:p>
      <w:pPr>
        <w:jc w:val="center"/>
        <w:spacing w:after="0"/>
        <w:rPr>
          <w:sz w:val="20"/>
          <w:szCs w:val="20"/>
          <w:color w:val="auto"/>
        </w:rPr>
      </w:pPr>
      <w:r>
        <w:rPr>
          <w:rFonts w:ascii="Arial" w:cs="Arial" w:eastAsia="Arial" w:hAnsi="Arial"/>
          <w:sz w:val="23"/>
          <w:szCs w:val="23"/>
          <w:b w:val="1"/>
          <w:bCs w:val="1"/>
          <w:color w:val="auto"/>
        </w:rPr>
        <w:t>Part II.</w:t>
      </w:r>
    </w:p>
    <w:p>
      <w:pPr>
        <w:spacing w:after="0" w:line="181" w:lineRule="exact"/>
        <w:rPr>
          <w:sz w:val="20"/>
          <w:szCs w:val="20"/>
          <w:color w:val="auto"/>
        </w:rPr>
      </w:pPr>
    </w:p>
    <w:p>
      <w:pPr>
        <w:ind w:left="800" w:right="380" w:hanging="790"/>
        <w:spacing w:after="0" w:line="280"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64"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Honeywell’s common stock is listed on the New York Stock Exchange. Market and dividend information for Honeywell’s common stock is included in Note 24 Unaudited Quarterly Financial Information of Notes to Consolidated Financial Statements.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record holders of our common stock at December 31, 2017 was 47,678.</w:t>
      </w:r>
    </w:p>
    <w:p>
      <w:pPr>
        <w:spacing w:after="0" w:line="106"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Information regarding securities authorized for issuance under equity compensation plans is included in Item 12. Security Ownership of Certain Beneficial Owners and Management and Related Stockholder Matters under the caption “Equity Compensation Plans.”</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Honeywell purchased 10,300,000 shares of its common stock, par value $1 per share, in the quarter ending December 31, 2017. In December 2017, the Board of Directors authorized the repurchase of up to a total of $8 billion of Honeywell common stock, which included amounts remaining under and replaced the previously approved share repurchase program. $7.7 billion remained available as of as of December 31, 2017 for additional share repurchases. Honeywell presently expects to repurchase outstanding shares from time to time to generally offset the dilutive impact of employee stock 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the level of our operating, financing and other investing activities.</w:t>
      </w:r>
    </w:p>
    <w:p>
      <w:pPr>
        <w:spacing w:after="0" w:line="96"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The following table summarizes Honeywell’s purchase of its common stock for the three months ended December 31, 2017: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spacing w:after="0"/>
              <w:rPr>
                <w:sz w:val="13"/>
                <w:szCs w:val="13"/>
                <w:color w:val="auto"/>
              </w:rPr>
            </w:pPr>
          </w:p>
        </w:tc>
        <w:tc>
          <w:tcPr>
            <w:tcW w:w="34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6"/>
              </w:rPr>
              <w:t>Total Number</w:t>
            </w: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of Shares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8"/>
              </w:rPr>
              <w:t>Approximate Dollar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Purchased as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7"/>
              </w:rPr>
              <w:t>Value of Shares that</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Total</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Part of Publicly</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7"/>
              </w:rPr>
              <w:t>May Yet be Purchased</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48"/>
              <w:spacing w:after="0" w:line="176" w:lineRule="exact"/>
              <w:rPr>
                <w:sz w:val="20"/>
                <w:szCs w:val="20"/>
                <w:color w:val="auto"/>
              </w:rPr>
            </w:pPr>
            <w:r>
              <w:rPr>
                <w:rFonts w:ascii="Arial" w:cs="Arial" w:eastAsia="Arial" w:hAnsi="Arial"/>
                <w:sz w:val="16"/>
                <w:szCs w:val="16"/>
                <w:b w:val="1"/>
                <w:bCs w:val="1"/>
                <w:color w:val="auto"/>
                <w:w w:val="98"/>
              </w:rPr>
              <w:t>Average</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Announced</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35"/>
              <w:spacing w:after="0" w:line="176" w:lineRule="exact"/>
              <w:rPr>
                <w:sz w:val="20"/>
                <w:szCs w:val="20"/>
                <w:color w:val="auto"/>
              </w:rPr>
            </w:pPr>
            <w:r>
              <w:rPr>
                <w:rFonts w:ascii="Arial" w:cs="Arial" w:eastAsia="Arial" w:hAnsi="Arial"/>
                <w:sz w:val="16"/>
                <w:szCs w:val="16"/>
                <w:b w:val="1"/>
                <w:bCs w:val="1"/>
                <w:color w:val="auto"/>
                <w:w w:val="98"/>
              </w:rPr>
              <w:t>Under Plans or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Shares</w:t>
            </w:r>
          </w:p>
        </w:tc>
        <w:tc>
          <w:tcPr>
            <w:tcW w:w="30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Price Paid</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Plans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jc w:val="center"/>
              <w:ind w:right="115"/>
              <w:spacing w:after="0" w:line="176" w:lineRule="exact"/>
              <w:rPr>
                <w:sz w:val="20"/>
                <w:szCs w:val="20"/>
                <w:color w:val="auto"/>
              </w:rPr>
            </w:pPr>
            <w:r>
              <w:rPr>
                <w:rFonts w:ascii="Arial" w:cs="Arial" w:eastAsia="Arial" w:hAnsi="Arial"/>
                <w:sz w:val="16"/>
                <w:szCs w:val="16"/>
                <w:b w:val="1"/>
                <w:bCs w:val="1"/>
                <w:color w:val="auto"/>
                <w:w w:val="99"/>
              </w:rPr>
              <w:t>Programs</w:t>
            </w:r>
          </w:p>
        </w:tc>
        <w:tc>
          <w:tcPr>
            <w:tcW w:w="5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3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 Share</w:t>
            </w:r>
          </w:p>
        </w:tc>
        <w:tc>
          <w:tcPr>
            <w:tcW w:w="3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or Programs</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98"/>
              </w:rPr>
              <w:t>(Dollars in millions)</w:t>
            </w:r>
          </w:p>
        </w:tc>
        <w:tc>
          <w:tcPr>
            <w:tcW w:w="520" w:type="dxa"/>
            <w:vAlign w:val="bottom"/>
          </w:tcPr>
          <w:p>
            <w:pPr>
              <w:spacing w:after="0"/>
              <w:rPr>
                <w:sz w:val="16"/>
                <w:szCs w:val="16"/>
                <w:color w:val="auto"/>
              </w:rPr>
            </w:pPr>
          </w:p>
        </w:tc>
      </w:tr>
      <w:tr>
        <w:trPr>
          <w:trHeight w:val="237"/>
        </w:trPr>
        <w:tc>
          <w:tcPr>
            <w:tcW w:w="500" w:type="dxa"/>
            <w:vAlign w:val="bottom"/>
          </w:tcPr>
          <w:p>
            <w:pPr>
              <w:spacing w:after="0"/>
              <w:rPr>
                <w:sz w:val="20"/>
                <w:szCs w:val="20"/>
                <w:color w:val="auto"/>
              </w:rPr>
            </w:pPr>
          </w:p>
        </w:tc>
        <w:tc>
          <w:tcPr>
            <w:tcW w:w="34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October 2017</w:t>
            </w:r>
          </w:p>
        </w:tc>
        <w:tc>
          <w:tcPr>
            <w:tcW w:w="300" w:type="dxa"/>
            <w:vAlign w:val="bottom"/>
            <w:shd w:val="clear" w:color="auto" w:fill="E5FFFF"/>
          </w:tcPr>
          <w:p>
            <w:pPr>
              <w:spacing w:after="0"/>
              <w:rPr>
                <w:sz w:val="20"/>
                <w:szCs w:val="20"/>
                <w:color w:val="auto"/>
              </w:rPr>
            </w:pP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0"/>
                <w:szCs w:val="20"/>
                <w:color w:val="auto"/>
              </w:rPr>
            </w:pPr>
          </w:p>
        </w:tc>
        <w:tc>
          <w:tcPr>
            <w:tcW w:w="1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020" w:type="dxa"/>
            <w:vAlign w:val="bottom"/>
            <w:shd w:val="clear" w:color="auto" w:fill="E5FFFF"/>
          </w:tcPr>
          <w:p>
            <w:pPr>
              <w:jc w:val="right"/>
              <w:ind w:right="115"/>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3440" w:type="dxa"/>
            <w:vAlign w:val="bottom"/>
          </w:tcPr>
          <w:p>
            <w:pPr>
              <w:jc w:val="center"/>
              <w:spacing w:after="0"/>
              <w:rPr>
                <w:sz w:val="20"/>
                <w:szCs w:val="20"/>
                <w:color w:val="auto"/>
              </w:rPr>
            </w:pPr>
            <w:r>
              <w:rPr>
                <w:rFonts w:ascii="Arial" w:cs="Arial" w:eastAsia="Arial" w:hAnsi="Arial"/>
                <w:sz w:val="19"/>
                <w:szCs w:val="19"/>
                <w:color w:val="auto"/>
              </w:rPr>
              <w:t>November 2017</w:t>
            </w:r>
          </w:p>
        </w:tc>
        <w:tc>
          <w:tcPr>
            <w:tcW w:w="1380" w:type="dxa"/>
            <w:vAlign w:val="bottom"/>
            <w:gridSpan w:val="2"/>
          </w:tcPr>
          <w:p>
            <w:pPr>
              <w:jc w:val="right"/>
              <w:spacing w:after="0"/>
              <w:rPr>
                <w:sz w:val="20"/>
                <w:szCs w:val="20"/>
                <w:color w:val="auto"/>
              </w:rPr>
            </w:pPr>
            <w:r>
              <w:rPr>
                <w:rFonts w:ascii="Arial" w:cs="Arial" w:eastAsia="Arial" w:hAnsi="Arial"/>
                <w:sz w:val="19"/>
                <w:szCs w:val="19"/>
                <w:color w:val="auto"/>
              </w:rPr>
              <w:t>4,200,000</w:t>
            </w:r>
          </w:p>
        </w:tc>
        <w:tc>
          <w:tcPr>
            <w:tcW w:w="460" w:type="dxa"/>
            <w:vAlign w:val="bottom"/>
            <w:gridSpan w:val="2"/>
          </w:tcPr>
          <w:p>
            <w:pPr>
              <w:jc w:val="center"/>
              <w:ind w:left="183"/>
              <w:spacing w:after="0"/>
              <w:rPr>
                <w:sz w:val="20"/>
                <w:szCs w:val="20"/>
                <w:color w:val="auto"/>
              </w:rPr>
            </w:pPr>
            <w:r>
              <w:rPr>
                <w:rFonts w:ascii="Arial" w:cs="Arial" w:eastAsia="Arial" w:hAnsi="Arial"/>
                <w:sz w:val="19"/>
                <w:szCs w:val="19"/>
                <w:color w:val="auto"/>
                <w:w w:val="94"/>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146.89</w:t>
            </w:r>
          </w:p>
        </w:tc>
        <w:tc>
          <w:tcPr>
            <w:tcW w:w="1780" w:type="dxa"/>
            <w:vAlign w:val="bottom"/>
            <w:gridSpan w:val="2"/>
          </w:tcPr>
          <w:p>
            <w:pPr>
              <w:jc w:val="right"/>
              <w:spacing w:after="0"/>
              <w:rPr>
                <w:sz w:val="20"/>
                <w:szCs w:val="20"/>
                <w:color w:val="auto"/>
              </w:rPr>
            </w:pPr>
            <w:r>
              <w:rPr>
                <w:rFonts w:ascii="Arial" w:cs="Arial" w:eastAsia="Arial" w:hAnsi="Arial"/>
                <w:sz w:val="19"/>
                <w:szCs w:val="19"/>
                <w:color w:val="auto"/>
              </w:rPr>
              <w:t>4,200,000</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2020" w:type="dxa"/>
            <w:vAlign w:val="bottom"/>
          </w:tcPr>
          <w:p>
            <w:pPr>
              <w:jc w:val="right"/>
              <w:ind w:right="115"/>
              <w:spacing w:after="0"/>
              <w:rPr>
                <w:sz w:val="20"/>
                <w:szCs w:val="20"/>
                <w:color w:val="auto"/>
              </w:rPr>
            </w:pPr>
            <w:r>
              <w:rPr>
                <w:rFonts w:ascii="Arial" w:cs="Arial" w:eastAsia="Arial" w:hAnsi="Arial"/>
                <w:sz w:val="19"/>
                <w:szCs w:val="19"/>
                <w:color w:val="auto"/>
              </w:rPr>
              <w:t>2,125</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4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December 2017</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6,100,000</w:t>
            </w:r>
          </w:p>
        </w:tc>
        <w:tc>
          <w:tcPr>
            <w:tcW w:w="46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153.54</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6,100,000</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2020" w:type="dxa"/>
            <w:vAlign w:val="bottom"/>
            <w:shd w:val="clear" w:color="auto" w:fill="E5FFFF"/>
          </w:tcPr>
          <w:p>
            <w:pPr>
              <w:jc w:val="right"/>
              <w:ind w:right="115"/>
              <w:spacing w:after="0"/>
              <w:rPr>
                <w:sz w:val="20"/>
                <w:szCs w:val="20"/>
                <w:color w:val="auto"/>
              </w:rPr>
            </w:pPr>
            <w:r>
              <w:rPr>
                <w:rFonts w:ascii="Arial" w:cs="Arial" w:eastAsia="Arial" w:hAnsi="Arial"/>
                <w:sz w:val="19"/>
                <w:szCs w:val="19"/>
                <w:color w:val="auto"/>
              </w:rPr>
              <w:t>7,737</w:t>
            </w:r>
          </w:p>
        </w:tc>
        <w:tc>
          <w:tcPr>
            <w:tcW w:w="520" w:type="dxa"/>
            <w:vAlign w:val="bottom"/>
          </w:tcPr>
          <w:p>
            <w:pPr>
              <w:spacing w:after="0"/>
              <w:rPr>
                <w:sz w:val="21"/>
                <w:szCs w:val="21"/>
                <w:color w:val="auto"/>
              </w:rPr>
            </w:pPr>
          </w:p>
        </w:tc>
      </w:tr>
      <w:tr>
        <w:trPr>
          <w:trHeight w:val="342"/>
        </w:trPr>
        <w:tc>
          <w:tcPr>
            <w:tcW w:w="5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gridSpan w:val="3"/>
          </w:tcPr>
          <w:p>
            <w:pPr>
              <w:jc w:val="center"/>
              <w:ind w:right="388"/>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following graph compares the five-year cumulative total return on our common stock to the total returns on the Standard &amp; Poor’s (S&amp;P) 500 Stock Index and a composite of S&amp;P’s Industrial Conglomerates and Aerospace and Defense indices, on a 65%/35%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2012 and that all dividends were reinvested.</w:t>
      </w:r>
    </w:p>
    <w:p>
      <w:pPr>
        <w:spacing w:after="0" w:line="283"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151130</wp:posOffset>
            </wp:positionV>
            <wp:extent cx="5411470" cy="3258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147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5"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147"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6"/>
                <w:szCs w:val="16"/>
                <w:b w:val="1"/>
                <w:bCs w:val="1"/>
                <w:color w:val="auto"/>
                <w:w w:val="98"/>
              </w:rPr>
              <w:t>Years Ended December 31,</w:t>
            </w:r>
          </w:p>
        </w:tc>
        <w:tc>
          <w:tcPr>
            <w:tcW w:w="900" w:type="dxa"/>
            <w:vAlign w:val="bottom"/>
            <w:tcBorders>
              <w:bottom w:val="single" w:sz="8" w:color="auto"/>
            </w:tcBorders>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88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rPr>
              <w:t>2017(1)</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201"/>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5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6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90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Results of Operations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Net sales</w:t>
            </w:r>
          </w:p>
        </w:tc>
        <w:tc>
          <w:tcPr>
            <w:tcW w:w="880" w:type="dxa"/>
            <w:vAlign w:val="bottom"/>
          </w:tcPr>
          <w:p>
            <w:pPr>
              <w:jc w:val="right"/>
              <w:spacing w:after="0"/>
              <w:rPr>
                <w:sz w:val="20"/>
                <w:szCs w:val="20"/>
                <w:color w:val="auto"/>
              </w:rPr>
            </w:pPr>
            <w:r>
              <w:rPr>
                <w:rFonts w:ascii="Arial" w:cs="Arial" w:eastAsia="Arial" w:hAnsi="Arial"/>
                <w:sz w:val="19"/>
                <w:szCs w:val="19"/>
                <w:color w:val="auto"/>
              </w:rPr>
              <w:t>$ 40,534</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$ 39,302</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$ 38,581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$ 40,306</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  39,055</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4,809</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4,768</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4,239</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3,924</w:t>
            </w: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9"/>
                <w:szCs w:val="19"/>
                <w:b w:val="1"/>
                <w:bCs w:val="1"/>
                <w:color w:val="auto"/>
              </w:rPr>
              <w:t>Earnings Per Common Share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Earnings from continuing operations: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ind w:left="360"/>
              <w:spacing w:after="0"/>
              <w:rPr>
                <w:sz w:val="20"/>
                <w:szCs w:val="20"/>
                <w:color w:val="auto"/>
              </w:rPr>
            </w:pPr>
            <w:r>
              <w:rPr>
                <w:rFonts w:ascii="Arial" w:cs="Arial" w:eastAsia="Arial" w:hAnsi="Arial"/>
                <w:sz w:val="19"/>
                <w:szCs w:val="19"/>
                <w:color w:val="auto"/>
              </w:rPr>
              <w:t>Basic</w:t>
            </w:r>
          </w:p>
        </w:tc>
        <w:tc>
          <w:tcPr>
            <w:tcW w:w="880" w:type="dxa"/>
            <w:vAlign w:val="bottom"/>
          </w:tcPr>
          <w:p>
            <w:pPr>
              <w:jc w:val="right"/>
              <w:spacing w:after="0"/>
              <w:rPr>
                <w:sz w:val="20"/>
                <w:szCs w:val="20"/>
                <w:color w:val="auto"/>
              </w:rPr>
            </w:pPr>
            <w:r>
              <w:rPr>
                <w:rFonts w:ascii="Arial" w:cs="Arial" w:eastAsia="Arial" w:hAnsi="Arial"/>
                <w:sz w:val="19"/>
                <w:szCs w:val="19"/>
                <w:color w:val="auto"/>
              </w:rPr>
              <w:t>2.17</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6.29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6.11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5.40</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4.99</w:t>
            </w: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Assuming dilution</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6.20</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5.33</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4.92</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Dividends per share</w:t>
            </w:r>
          </w:p>
        </w:tc>
        <w:tc>
          <w:tcPr>
            <w:tcW w:w="880" w:type="dxa"/>
            <w:vAlign w:val="bottom"/>
          </w:tcPr>
          <w:p>
            <w:pPr>
              <w:jc w:val="right"/>
              <w:spacing w:after="0"/>
              <w:rPr>
                <w:sz w:val="20"/>
                <w:szCs w:val="20"/>
                <w:color w:val="auto"/>
              </w:rPr>
            </w:pPr>
            <w:r>
              <w:rPr>
                <w:rFonts w:ascii="Arial" w:cs="Arial" w:eastAsia="Arial" w:hAnsi="Arial"/>
                <w:sz w:val="19"/>
                <w:szCs w:val="19"/>
                <w:color w:val="auto"/>
              </w:rPr>
              <w:t>2.74</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2.45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2.15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1.87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1.68</w:t>
            </w: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Financial Position at Year-End</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880" w:type="dxa"/>
            <w:vAlign w:val="bottom"/>
          </w:tcPr>
          <w:p>
            <w:pPr>
              <w:jc w:val="right"/>
              <w:spacing w:after="0"/>
              <w:rPr>
                <w:sz w:val="20"/>
                <w:szCs w:val="20"/>
                <w:color w:val="auto"/>
              </w:rPr>
            </w:pPr>
            <w:r>
              <w:rPr>
                <w:rFonts w:ascii="Arial" w:cs="Arial" w:eastAsia="Arial" w:hAnsi="Arial"/>
                <w:sz w:val="19"/>
                <w:szCs w:val="19"/>
                <w:color w:val="auto"/>
              </w:rPr>
              <w:t>5,926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5,793</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5,789</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5,383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5,278</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Total assets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59,387</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54,146</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49,316</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45,451</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45,435</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Short-term debt</w:t>
            </w:r>
          </w:p>
        </w:tc>
        <w:tc>
          <w:tcPr>
            <w:tcW w:w="880" w:type="dxa"/>
            <w:vAlign w:val="bottom"/>
          </w:tcPr>
          <w:p>
            <w:pPr>
              <w:jc w:val="right"/>
              <w:spacing w:after="0"/>
              <w:rPr>
                <w:sz w:val="20"/>
                <w:szCs w:val="20"/>
                <w:color w:val="auto"/>
              </w:rPr>
            </w:pPr>
            <w:r>
              <w:rPr>
                <w:rFonts w:ascii="Arial" w:cs="Arial" w:eastAsia="Arial" w:hAnsi="Arial"/>
                <w:sz w:val="19"/>
                <w:szCs w:val="19"/>
                <w:color w:val="auto"/>
              </w:rPr>
              <w:t>5,309</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3,593</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6,514</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2,637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2,028</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Long-term debt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12,573</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12,182</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5,554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6,046</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6,801</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Total debt</w:t>
            </w:r>
          </w:p>
        </w:tc>
        <w:tc>
          <w:tcPr>
            <w:tcW w:w="880" w:type="dxa"/>
            <w:vAlign w:val="bottom"/>
          </w:tcPr>
          <w:p>
            <w:pPr>
              <w:jc w:val="right"/>
              <w:spacing w:after="0"/>
              <w:rPr>
                <w:sz w:val="20"/>
                <w:szCs w:val="20"/>
                <w:color w:val="auto"/>
              </w:rPr>
            </w:pPr>
            <w:r>
              <w:rPr>
                <w:rFonts w:ascii="Arial" w:cs="Arial" w:eastAsia="Arial" w:hAnsi="Arial"/>
                <w:sz w:val="19"/>
                <w:szCs w:val="19"/>
                <w:color w:val="auto"/>
              </w:rPr>
              <w:t>17,882</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15,775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12,068</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8,683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8,829</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Redeemable noncontrolling interest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290</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w:t>
            </w:r>
          </w:p>
        </w:tc>
      </w:tr>
      <w:tr>
        <w:trPr>
          <w:trHeight w:val="261"/>
        </w:trPr>
        <w:tc>
          <w:tcPr>
            <w:tcW w:w="5780" w:type="dxa"/>
            <w:vAlign w:val="bottom"/>
          </w:tcPr>
          <w:p>
            <w:pPr>
              <w:spacing w:after="0"/>
              <w:rPr>
                <w:sz w:val="20"/>
                <w:szCs w:val="20"/>
                <w:color w:val="auto"/>
              </w:rPr>
            </w:pPr>
            <w:r>
              <w:rPr>
                <w:rFonts w:ascii="Arial" w:cs="Arial" w:eastAsia="Arial" w:hAnsi="Arial"/>
                <w:sz w:val="19"/>
                <w:szCs w:val="19"/>
                <w:color w:val="auto"/>
              </w:rPr>
              <w:t>Shareowners’ equity</w:t>
            </w:r>
          </w:p>
        </w:tc>
        <w:tc>
          <w:tcPr>
            <w:tcW w:w="880" w:type="dxa"/>
            <w:vAlign w:val="bottom"/>
          </w:tcPr>
          <w:p>
            <w:pPr>
              <w:jc w:val="right"/>
              <w:spacing w:after="0"/>
              <w:rPr>
                <w:sz w:val="20"/>
                <w:szCs w:val="20"/>
                <w:color w:val="auto"/>
              </w:rPr>
            </w:pPr>
            <w:r>
              <w:rPr>
                <w:rFonts w:ascii="Arial" w:cs="Arial" w:eastAsia="Arial" w:hAnsi="Arial"/>
                <w:sz w:val="19"/>
                <w:szCs w:val="19"/>
                <w:color w:val="auto"/>
              </w:rPr>
              <w:t>17,439</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19,547</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18,418</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17,784</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17,579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right="80" w:hanging="338"/>
        <w:spacing w:after="0" w:line="253" w:lineRule="auto"/>
        <w:tabs>
          <w:tab w:leader="none" w:pos="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2017 Net Income attributable to Honeywell and Earnings Per Common Share were impacted by the Tax Cuts and Jobs Act; see Note 5 Income Taxes of Notes to Consolidated Financial Statements for further details.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9" w:name="page20"/>
    <w:bookmarkEnd w:id="19"/>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(Dollars in millions, except per share amounts)</w:t>
      </w:r>
    </w:p>
    <w:p>
      <w:pPr>
        <w:spacing w:after="0" w:line="13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or “the Company”) for the three years ended December 31, 2017. All references to Notes relate to Notes to Consolidated Financial Statements in Item 8. Financial Statements and Supplementary Data.</w:t>
      </w:r>
    </w:p>
    <w:p>
      <w:pPr>
        <w:spacing w:after="0" w:line="91" w:lineRule="exact"/>
        <w:rPr>
          <w:sz w:val="20"/>
          <w:szCs w:val="20"/>
          <w:color w:val="auto"/>
        </w:rPr>
      </w:pPr>
    </w:p>
    <w:p>
      <w:pPr>
        <w:ind w:right="120" w:firstLine="357"/>
        <w:spacing w:after="0" w:line="245" w:lineRule="auto"/>
        <w:rPr>
          <w:sz w:val="20"/>
          <w:szCs w:val="20"/>
          <w:color w:val="auto"/>
        </w:rPr>
      </w:pPr>
      <w:r>
        <w:rPr>
          <w:rFonts w:ascii="Arial" w:cs="Arial" w:eastAsia="Arial" w:hAnsi="Arial"/>
          <w:sz w:val="19"/>
          <w:szCs w:val="19"/>
          <w:color w:val="auto"/>
        </w:rPr>
        <w:t>In October 2017, the Company announced the results of a comprehensive portfolio review which included the announcement of our intent to spin-off our Homes and Global Distribution business, as well as our Transportation Systems business, into two stand-alone, publicly traded companies.</w:t>
      </w:r>
    </w:p>
    <w:p>
      <w:pPr>
        <w:spacing w:after="0" w:line="87"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Effective October 2017, we realigned the Smart Energy business, previously part of the Home and Building Technologies segment, into the Process Solutions business within the Performance Materials and Technologies segment. Effective July 2016, the Company realigned the business units comprising its Automation and Control Solutions segment by forming two new segments: Home and Building Technologies and Safety and Productivity Solutions. These realignments have no impact on the Company’s historical consolidated financial position, results of operations or cash flows. Prior period amounts have been reclassified to conform to current period segment presentation.</w:t>
      </w:r>
    </w:p>
    <w:p>
      <w:pPr>
        <w:spacing w:after="0" w:line="94" w:lineRule="exact"/>
        <w:rPr>
          <w:sz w:val="20"/>
          <w:szCs w:val="20"/>
          <w:color w:val="auto"/>
        </w:rPr>
      </w:pPr>
    </w:p>
    <w:p>
      <w:pPr>
        <w:ind w:right="280" w:firstLine="357"/>
        <w:spacing w:after="0" w:line="241" w:lineRule="auto"/>
        <w:rPr>
          <w:sz w:val="20"/>
          <w:szCs w:val="20"/>
          <w:color w:val="auto"/>
        </w:rPr>
      </w:pPr>
      <w:r>
        <w:rPr>
          <w:rFonts w:ascii="Arial" w:cs="Arial" w:eastAsia="Arial" w:hAnsi="Arial"/>
          <w:sz w:val="19"/>
          <w:szCs w:val="19"/>
          <w:color w:val="auto"/>
        </w:rPr>
        <w:t>On October 1, 2016, the Company completed the tax-free spin-off of its Resins and Chemicals business, part of Performance Materials and Technologies, into a standalone, publicly-traded company (named AdvanSix Inc. (“AdvanSix”)) to Honeywell shareowners. The assets and liabilities associated with AdvanSix have been removed from the Company’s Consolidated Balance Sheet as of the effective date of the spin-off. The results of operations for AdvanSix are included in the Consolidated Statement of Operations through the effective date of the spin-off.</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On September 16, 2016, the Company completed the sale of the Aerospace government services business, Honeywell Technology Solutions Inc (“HTSI” or “government services business”). The assets and liabilities associated with HTSI have been removed from the Company’s Consolidated Balance Sheet as of the effective date of the sale. The results of operations for HTSI are included in the Consolidated Statement of Operations through the effective date of the sale.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During 2017, Honeywell continued to successfully deliver on its financial commitments while still creating long-term value for our shareowners. We grew net sales 3% to $40,534 million and grew income before taxes 7% to $6,902 million. The improvement in year over year income before taxes was attributable to both organic sales growth as well as operational improvements that increased operating margins. We believe our ability to consistently grow earnings derives from the consistent, rigorous deployment of the Honeywell Operating System as well as a long history of identifying and investing in productivity initiatives. We have made concerted efforts to revitalize our commercial excellence processes, such as Velocity Product Development (“VPD”), which enables higher organic revenue at better margins.</w:t>
      </w:r>
    </w:p>
    <w:p>
      <w:pPr>
        <w:spacing w:after="0" w:line="91" w:lineRule="exact"/>
        <w:rPr>
          <w:sz w:val="20"/>
          <w:szCs w:val="20"/>
          <w:color w:val="auto"/>
        </w:rPr>
      </w:pPr>
    </w:p>
    <w:p>
      <w:pPr>
        <w:ind w:right="300" w:firstLine="357"/>
        <w:spacing w:after="0"/>
        <w:rPr>
          <w:sz w:val="20"/>
          <w:szCs w:val="20"/>
          <w:color w:val="auto"/>
        </w:rPr>
      </w:pPr>
      <w:r>
        <w:rPr>
          <w:rFonts w:ascii="Arial" w:cs="Arial" w:eastAsia="Arial" w:hAnsi="Arial"/>
          <w:sz w:val="19"/>
          <w:szCs w:val="19"/>
          <w:color w:val="auto"/>
        </w:rPr>
        <w:t>We are careful to not allow the attainment of short-term financial results imperil the creation of long-term, sustainable shareowner value. Hence, as part of the announcement in October 2017 of the results of our portfolio review, we affirmed our commitment to a strategy and investments that are intended to enable us to become one of the world’s leading software industrial companies. Our refocused strategy and investments are intended to take better advantage of our core technological and software strengths in high growth businesses that participate in six attractive industrial end markets. Each of these end markets is characterized by favorable global mega-trends including energy efficiency, infrastructure investment, urbanization and safety.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20" w:name="page21"/>
    <w:bookmarkEnd w:id="20"/>
    <w:p>
      <w:pPr>
        <w:ind w:left="360"/>
        <w:spacing w:after="0"/>
        <w:rPr>
          <w:sz w:val="20"/>
          <w:szCs w:val="20"/>
          <w:color w:val="auto"/>
        </w:rPr>
      </w:pPr>
      <w:r>
        <w:rPr>
          <w:rFonts w:ascii="Arial" w:cs="Arial" w:eastAsia="Arial" w:hAnsi="Arial"/>
          <w:sz w:val="19"/>
          <w:szCs w:val="19"/>
          <w:color w:val="auto"/>
        </w:rPr>
        <w:t>In 2017 we deployed capital of over $6 billion, including the following:</w:t>
      </w:r>
    </w:p>
    <w:p>
      <w:pPr>
        <w:spacing w:after="0" w:line="68" w:lineRule="exact"/>
        <w:rPr>
          <w:sz w:val="20"/>
          <w:szCs w:val="20"/>
          <w:color w:val="auto"/>
        </w:rPr>
      </w:pPr>
    </w:p>
    <w:p>
      <w:pPr>
        <w:ind w:left="540" w:hanging="168"/>
        <w:spacing w:after="0" w:line="258"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Share Repurchases</w:t>
      </w:r>
      <w:r>
        <w:rPr>
          <w:rFonts w:ascii="Arial" w:cs="Arial" w:eastAsia="Arial" w:hAnsi="Arial"/>
          <w:sz w:val="19"/>
          <w:szCs w:val="19"/>
          <w:color w:val="auto"/>
        </w:rPr>
        <w:t>—we continue to repurchase our shares with the goal of keeping share count flat by offsetting the dilutive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impact of employee stock based compensation and savings plans. Additionally, we seek to reduce share count via share repurchases as and when attractive opportunities arise. In 2017, we repurchased 20.5 million shares for $2.9 billion.</w:t>
      </w:r>
    </w:p>
    <w:p>
      <w:pPr>
        <w:spacing w:after="0" w:line="38" w:lineRule="exact"/>
        <w:rPr>
          <w:rFonts w:ascii="Arial" w:cs="Arial" w:eastAsia="Arial" w:hAnsi="Arial"/>
          <w:sz w:val="19"/>
          <w:szCs w:val="19"/>
          <w:color w:val="auto"/>
        </w:rPr>
      </w:pPr>
    </w:p>
    <w:p>
      <w:pPr>
        <w:ind w:left="540" w:right="320" w:hanging="168"/>
        <w:spacing w:after="0" w:line="258" w:lineRule="auto"/>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Dividend</w:t>
      </w:r>
      <w:r>
        <w:rPr>
          <w:rFonts w:ascii="Arial" w:cs="Arial" w:eastAsia="Arial" w:hAnsi="Arial"/>
          <w:sz w:val="19"/>
          <w:szCs w:val="19"/>
          <w:color w:val="auto"/>
        </w:rPr>
        <w:t>—In 2017, we paid cash dividends of $2.1 billion and increased our annual dividend rate by 12%, as we seek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continue to grow the dividend faster than earnings. Since 2010, we have increased the dividend rate by 10% or more eight times.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
        </w:numPr>
        <w:rPr>
          <w:rFonts w:ascii="Arial" w:cs="Arial" w:eastAsia="Arial" w:hAnsi="Arial"/>
          <w:sz w:val="19"/>
          <w:szCs w:val="19"/>
          <w:color w:val="auto"/>
        </w:rPr>
      </w:pPr>
      <w:r>
        <w:rPr>
          <w:rFonts w:ascii="Arial" w:cs="Arial" w:eastAsia="Arial" w:hAnsi="Arial"/>
          <w:sz w:val="19"/>
          <w:szCs w:val="19"/>
          <w:b w:val="1"/>
          <w:bCs w:val="1"/>
          <w:i w:val="1"/>
          <w:iCs w:val="1"/>
          <w:color w:val="auto"/>
        </w:rPr>
        <w:t>Capital Investment in Facilities</w:t>
      </w:r>
      <w:r>
        <w:rPr>
          <w:rFonts w:ascii="Arial" w:cs="Arial" w:eastAsia="Arial" w:hAnsi="Arial"/>
          <w:sz w:val="19"/>
          <w:szCs w:val="19"/>
          <w:color w:val="auto"/>
        </w:rPr>
        <w:t>—we invested over $1 billion in capital expenditures focused on high return projects.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Sales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00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$ 40,534</w:t>
            </w:r>
          </w:p>
        </w:tc>
        <w:tc>
          <w:tcPr>
            <w:tcW w:w="1320" w:type="dxa"/>
            <w:vAlign w:val="bottom"/>
            <w:gridSpan w:val="3"/>
            <w:shd w:val="clear" w:color="auto" w:fill="E5FFFF"/>
          </w:tcPr>
          <w:p>
            <w:pPr>
              <w:jc w:val="right"/>
              <w:ind w:right="121"/>
              <w:spacing w:after="0"/>
              <w:rPr>
                <w:sz w:val="20"/>
                <w:szCs w:val="20"/>
                <w:color w:val="auto"/>
              </w:rPr>
            </w:pPr>
            <w:r>
              <w:rPr>
                <w:rFonts w:ascii="Arial" w:cs="Arial" w:eastAsia="Arial" w:hAnsi="Arial"/>
                <w:sz w:val="19"/>
                <w:szCs w:val="19"/>
                <w:color w:val="auto"/>
              </w:rPr>
              <w:t>$ 39,302</w:t>
            </w: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38,581</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 change compared with prior period</w:t>
            </w:r>
          </w:p>
        </w:tc>
        <w:tc>
          <w:tcPr>
            <w:tcW w:w="1000" w:type="dxa"/>
            <w:vAlign w:val="bottom"/>
          </w:tcPr>
          <w:p>
            <w:pPr>
              <w:jc w:val="right"/>
              <w:spacing w:after="0"/>
              <w:rPr>
                <w:sz w:val="20"/>
                <w:szCs w:val="20"/>
                <w:color w:val="auto"/>
              </w:rPr>
            </w:pPr>
            <w:r>
              <w:rPr>
                <w:rFonts w:ascii="Arial" w:cs="Arial" w:eastAsia="Arial" w:hAnsi="Arial"/>
                <w:sz w:val="19"/>
                <w:szCs w:val="19"/>
                <w:color w:val="auto"/>
              </w:rPr>
              <w:t>3%</w:t>
            </w:r>
          </w:p>
        </w:tc>
        <w:tc>
          <w:tcPr>
            <w:tcW w:w="1320" w:type="dxa"/>
            <w:vAlign w:val="bottom"/>
            <w:gridSpan w:val="3"/>
          </w:tcPr>
          <w:p>
            <w:pPr>
              <w:jc w:val="right"/>
              <w:spacing w:after="0"/>
              <w:rPr>
                <w:sz w:val="20"/>
                <w:szCs w:val="20"/>
                <w:color w:val="auto"/>
              </w:rPr>
            </w:pPr>
            <w:r>
              <w:rPr>
                <w:rFonts w:ascii="Arial" w:cs="Arial" w:eastAsia="Arial" w:hAnsi="Arial"/>
                <w:sz w:val="19"/>
                <w:szCs w:val="19"/>
                <w:color w:val="auto"/>
              </w:rPr>
              <w:t>2%</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960" w:type="dxa"/>
            <w:vAlign w:val="bottom"/>
            <w:gridSpan w:val="2"/>
          </w:tcPr>
          <w:p>
            <w:pPr>
              <w:spacing w:after="0"/>
              <w:rPr>
                <w:sz w:val="20"/>
                <w:szCs w:val="20"/>
                <w:color w:val="auto"/>
              </w:rPr>
            </w:pPr>
            <w:r>
              <w:rPr>
                <w:rFonts w:ascii="Arial" w:cs="Arial" w:eastAsia="Arial" w:hAnsi="Arial"/>
                <w:sz w:val="19"/>
                <w:szCs w:val="19"/>
                <w:color w:val="auto"/>
              </w:rPr>
              <w:t>The change in net sales is attributable to the following:</w:t>
            </w:r>
          </w:p>
        </w:tc>
        <w:tc>
          <w:tcPr>
            <w:tcW w:w="1000" w:type="dxa"/>
            <w:vAlign w:val="bottom"/>
          </w:tcPr>
          <w:p>
            <w:pPr>
              <w:spacing w:after="0"/>
              <w:rPr>
                <w:sz w:val="24"/>
                <w:szCs w:val="24"/>
                <w:color w:val="auto"/>
              </w:rPr>
            </w:pPr>
          </w:p>
        </w:tc>
        <w:tc>
          <w:tcPr>
            <w:tcW w:w="1580" w:type="dxa"/>
            <w:vAlign w:val="bottom"/>
            <w:gridSpan w:val="4"/>
            <w:vMerge w:val="restart"/>
          </w:tcPr>
          <w:p>
            <w:pPr>
              <w:jc w:val="right"/>
              <w:ind w:right="43"/>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4"/>
                <w:szCs w:val="24"/>
                <w:color w:val="auto"/>
              </w:rPr>
            </w:pPr>
          </w:p>
        </w:tc>
        <w:tc>
          <w:tcPr>
            <w:tcW w:w="960" w:type="dxa"/>
            <w:vAlign w:val="bottom"/>
            <w:gridSpan w:val="2"/>
            <w:vMerge w:val="restart"/>
          </w:tcPr>
          <w:p>
            <w:pPr>
              <w:jc w:val="right"/>
              <w:ind w:right="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Versus</w:t>
            </w: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Versus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c>
          <w:tcPr>
            <w:tcW w:w="6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Volume</w:t>
            </w:r>
          </w:p>
        </w:tc>
        <w:tc>
          <w:tcPr>
            <w:tcW w:w="1000" w:type="dxa"/>
            <w:vAlign w:val="bottom"/>
            <w:shd w:val="clear" w:color="auto" w:fill="E5FFFF"/>
          </w:tcPr>
          <w:p>
            <w:pPr>
              <w:spacing w:after="0"/>
              <w:rPr>
                <w:sz w:val="20"/>
                <w:szCs w:val="20"/>
                <w:color w:val="auto"/>
              </w:rPr>
            </w:pPr>
          </w:p>
        </w:tc>
        <w:tc>
          <w:tcPr>
            <w:tcW w:w="15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0"/>
                <w:szCs w:val="20"/>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Price</w:t>
            </w:r>
          </w:p>
        </w:tc>
        <w:tc>
          <w:tcPr>
            <w:tcW w:w="1000" w:type="dxa"/>
            <w:vAlign w:val="bottom"/>
          </w:tcPr>
          <w:p>
            <w:pPr>
              <w:spacing w:after="0"/>
              <w:rPr>
                <w:sz w:val="21"/>
                <w:szCs w:val="21"/>
                <w:color w:val="auto"/>
              </w:rPr>
            </w:pPr>
          </w:p>
        </w:tc>
        <w:tc>
          <w:tcPr>
            <w:tcW w:w="1580" w:type="dxa"/>
            <w:vAlign w:val="bottom"/>
            <w:gridSpan w:val="4"/>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shd w:val="clear" w:color="auto" w:fill="E5FFFF"/>
          </w:tcPr>
          <w:p>
            <w:pPr>
              <w:spacing w:after="0"/>
              <w:rPr>
                <w:sz w:val="20"/>
                <w:szCs w:val="20"/>
                <w:color w:val="auto"/>
              </w:rPr>
            </w:pPr>
            <w:r>
              <w:rPr>
                <w:rFonts w:ascii="Arial" w:cs="Arial" w:eastAsia="Arial" w:hAnsi="Arial"/>
                <w:sz w:val="19"/>
                <w:szCs w:val="19"/>
                <w:color w:val="auto"/>
              </w:rPr>
              <w:t>Acquisitions/Divestitures</w:t>
            </w:r>
          </w:p>
        </w:tc>
        <w:tc>
          <w:tcPr>
            <w:tcW w:w="1000" w:type="dxa"/>
            <w:vAlign w:val="bottom"/>
            <w:shd w:val="clear" w:color="auto" w:fill="E5FFFF"/>
          </w:tcPr>
          <w:p>
            <w:pPr>
              <w:spacing w:after="0"/>
              <w:rPr>
                <w:sz w:val="21"/>
                <w:szCs w:val="21"/>
                <w:color w:val="auto"/>
              </w:rPr>
            </w:pPr>
          </w:p>
        </w:tc>
        <w:tc>
          <w:tcPr>
            <w:tcW w:w="15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4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682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82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15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1"/>
                <w:szCs w:val="21"/>
                <w:color w:val="auto"/>
              </w:rPr>
            </w:pP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discussion of net sales by segment can be found in the Review of Business Segments section of this MD&amp;A.</w:t>
      </w:r>
    </w:p>
    <w:p>
      <w:pPr>
        <w:spacing w:after="0" w:line="106" w:lineRule="exact"/>
        <w:rPr>
          <w:sz w:val="20"/>
          <w:szCs w:val="20"/>
          <w:color w:val="auto"/>
        </w:rPr>
      </w:pPr>
    </w:p>
    <w:p>
      <w:pPr>
        <w:ind w:right="240" w:firstLine="357"/>
        <w:spacing w:after="0" w:line="253" w:lineRule="auto"/>
        <w:rPr>
          <w:sz w:val="20"/>
          <w:szCs w:val="20"/>
          <w:color w:val="auto"/>
        </w:rPr>
      </w:pPr>
      <w:r>
        <w:rPr>
          <w:rFonts w:ascii="Arial" w:cs="Arial" w:eastAsia="Arial" w:hAnsi="Arial"/>
          <w:sz w:val="19"/>
          <w:szCs w:val="19"/>
          <w:color w:val="auto"/>
        </w:rPr>
        <w:t>The foreign currency translation impact in 2017 compared with 2016 was flat. The strengthening of the Euro was offset by the weakening of the British Pound against the U.S. Dollar.</w:t>
      </w:r>
    </w:p>
    <w:p>
      <w:pPr>
        <w:spacing w:after="0" w:line="80"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The foreign currency translation impact in 2016 compared with 2015 is principally driven by the weakening of the British Pound, Chinese Renminbi and Canadian Dollar, partially offset by the strengthening of the Japanese Yen against the U.S. Dollar.</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Cost of Products and Services Sold</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6"/>
                <w:szCs w:val="16"/>
                <w:color w:val="auto"/>
              </w:rPr>
            </w:pP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2015</w:t>
            </w:r>
          </w:p>
        </w:tc>
      </w:tr>
      <w:tr>
        <w:trPr>
          <w:trHeight w:val="237"/>
        </w:trPr>
        <w:tc>
          <w:tcPr>
            <w:tcW w:w="676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9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$ 27,575</w:t>
            </w:r>
          </w:p>
        </w:tc>
        <w:tc>
          <w:tcPr>
            <w:tcW w:w="13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$ 27,150</w:t>
            </w:r>
          </w:p>
        </w:tc>
        <w:tc>
          <w:tcPr>
            <w:tcW w:w="136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$ 26,747</w:t>
            </w:r>
          </w:p>
        </w:tc>
      </w:tr>
      <w:tr>
        <w:trPr>
          <w:trHeight w:val="243"/>
        </w:trPr>
        <w:tc>
          <w:tcPr>
            <w:tcW w:w="6760" w:type="dxa"/>
            <w:vAlign w:val="bottom"/>
          </w:tcPr>
          <w:p>
            <w:pPr>
              <w:spacing w:after="0"/>
              <w:rPr>
                <w:sz w:val="20"/>
                <w:szCs w:val="20"/>
                <w:color w:val="auto"/>
              </w:rPr>
            </w:pPr>
            <w:r>
              <w:rPr>
                <w:rFonts w:ascii="Arial" w:cs="Arial" w:eastAsia="Arial" w:hAnsi="Arial"/>
                <w:sz w:val="19"/>
                <w:szCs w:val="19"/>
                <w:color w:val="auto"/>
              </w:rPr>
              <w:t>% change compared with prior period</w:t>
            </w:r>
          </w:p>
        </w:tc>
        <w:tc>
          <w:tcPr>
            <w:tcW w:w="980" w:type="dxa"/>
            <w:vAlign w:val="bottom"/>
          </w:tcPr>
          <w:p>
            <w:pPr>
              <w:jc w:val="right"/>
              <w:spacing w:after="0"/>
              <w:rPr>
                <w:sz w:val="20"/>
                <w:szCs w:val="20"/>
                <w:color w:val="auto"/>
              </w:rPr>
            </w:pPr>
            <w:r>
              <w:rPr>
                <w:rFonts w:ascii="Arial" w:cs="Arial" w:eastAsia="Arial" w:hAnsi="Arial"/>
                <w:sz w:val="19"/>
                <w:szCs w:val="19"/>
                <w:color w:val="auto"/>
              </w:rPr>
              <w:t>2%</w:t>
            </w:r>
          </w:p>
        </w:tc>
        <w:tc>
          <w:tcPr>
            <w:tcW w:w="130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6760" w:type="dxa"/>
            <w:vAlign w:val="bottom"/>
            <w:shd w:val="clear" w:color="auto" w:fill="E5FFFF"/>
          </w:tcPr>
          <w:p>
            <w:pPr>
              <w:spacing w:after="0"/>
              <w:rPr>
                <w:sz w:val="20"/>
                <w:szCs w:val="20"/>
                <w:color w:val="auto"/>
              </w:rPr>
            </w:pPr>
            <w:r>
              <w:rPr>
                <w:rFonts w:ascii="Arial" w:cs="Arial" w:eastAsia="Arial" w:hAnsi="Arial"/>
                <w:sz w:val="19"/>
                <w:szCs w:val="19"/>
                <w:color w:val="auto"/>
              </w:rPr>
              <w:t>Gross Margin percentage</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30.7%</w:t>
            </w:r>
          </w:p>
        </w:tc>
      </w:tr>
    </w:tbl>
    <w:p>
      <w:pPr>
        <w:spacing w:after="0" w:line="17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Cost of products and services sold increased in 2017 compared with 2016 principally due to increased direct material costs of approximately $290 million (driven by higher sales volume and acquisitions partially offset by divestitures and productivity, net of inflation), higher repositioning and other charges of approximately $260 million and higher depreciation and amortization of approximately $90 million, partially offset by higher pension and other postretirement benefits income, and lower pension mark-to-market expense, allocated to cost of products and services sold of approximately $110 million, and decreased indirect material costs of approximately $70 million.</w:t>
      </w:r>
    </w:p>
    <w:p>
      <w:pPr>
        <w:spacing w:after="0" w:line="94" w:lineRule="exact"/>
        <w:rPr>
          <w:sz w:val="20"/>
          <w:szCs w:val="20"/>
          <w:color w:val="auto"/>
        </w:rPr>
      </w:pPr>
    </w:p>
    <w:p>
      <w:pPr>
        <w:ind w:right="420" w:firstLine="357"/>
        <w:spacing w:after="0" w:line="242" w:lineRule="auto"/>
        <w:rPr>
          <w:sz w:val="20"/>
          <w:szCs w:val="20"/>
          <w:color w:val="auto"/>
        </w:rPr>
      </w:pPr>
      <w:r>
        <w:rPr>
          <w:rFonts w:ascii="Arial" w:cs="Arial" w:eastAsia="Arial" w:hAnsi="Arial"/>
          <w:sz w:val="19"/>
          <w:szCs w:val="19"/>
          <w:color w:val="auto"/>
        </w:rPr>
        <w:t>Gross margin percentage increased in 2017 compared with 2016 principally due to higher gross margin in Aerospace and Performance Materials and Technologies (approximately 1.7 percentage point impact collectively) and higher pension and other postretirement benefits income and lower pension market to market expense allocated to cost of products and services sold (approximately 0.3 percentage point impact), partially offset by higher repositioning and other charges (approximately</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1" w:right="319" w:bottom="1440" w:gutter="0" w:footer="0" w:header="0"/>
        </w:sectPr>
      </w:pPr>
    </w:p>
    <w:bookmarkStart w:id="21" w:name="page22"/>
    <w:bookmarkEnd w:id="21"/>
    <w:p>
      <w:pPr>
        <w:ind w:right="600"/>
        <w:spacing w:after="0" w:line="253" w:lineRule="auto"/>
        <w:rPr>
          <w:sz w:val="20"/>
          <w:szCs w:val="20"/>
          <w:color w:val="auto"/>
        </w:rPr>
      </w:pPr>
      <w:r>
        <w:rPr>
          <w:rFonts w:ascii="Arial" w:cs="Arial" w:eastAsia="Arial" w:hAnsi="Arial"/>
          <w:sz w:val="19"/>
          <w:szCs w:val="19"/>
          <w:color w:val="auto"/>
        </w:rPr>
        <w:t>0.6 percentage point impact) and by lower gross margin in Home and Building Solutions and Safety and Productivity Solutions (approximately 0.3 percentage point impact collectively).</w:t>
      </w:r>
    </w:p>
    <w:p>
      <w:pPr>
        <w:spacing w:after="0" w:line="80"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Cost of products and services sold increased in 2016 compared with 2015 principally due to increased direct material costs of approximately $380 million (driven primarily by acquisitions, net of divestitures, partially offset by the favorable impact of productivity, net of inflation, and foreign currency translation), higher depreciation and amortization attributable to acquisitions of approximately $135 million and increased pension mark-to-market expense allocated to cost of products and services sold of $70 million, partially offset by higher pension and other postretirement benefits income allocated to cost of products and services sold of $200 million.</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Gross margin percentage increased in 2016 compared with 2015 principally due to higher gross margin in Performance Materials and Technologies (approximately 0.2 percentage point impact) and higher pension and other postretirement benefits income allocated to cost of products and services sold (approximately 0.5 percentage point impact), partially offset by lower gross margin in Aerospace, Home and Building Technologies and Safety and Productivity Solutions an (approximately 0.3 percentage point impact collectively) and increased pension mark-to-market expense allocated to cost of products and services sold (approximately 0.2 percentage point impact).</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2015</w:t>
            </w:r>
          </w:p>
        </w:tc>
      </w:tr>
      <w:tr>
        <w:trPr>
          <w:trHeight w:val="237"/>
        </w:trPr>
        <w:tc>
          <w:tcPr>
            <w:tcW w:w="716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expense</w:t>
            </w:r>
          </w:p>
        </w:tc>
        <w:tc>
          <w:tcPr>
            <w:tcW w:w="86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$ 5,808</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$ 5,469</w:t>
            </w:r>
          </w:p>
        </w:tc>
        <w:tc>
          <w:tcPr>
            <w:tcW w:w="12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$ 5,006</w:t>
            </w:r>
          </w:p>
        </w:tc>
      </w:tr>
      <w:tr>
        <w:trPr>
          <w:trHeight w:val="261"/>
        </w:trPr>
        <w:tc>
          <w:tcPr>
            <w:tcW w:w="7160" w:type="dxa"/>
            <w:vAlign w:val="bottom"/>
          </w:tcPr>
          <w:p>
            <w:pPr>
              <w:spacing w:after="0"/>
              <w:rPr>
                <w:sz w:val="20"/>
                <w:szCs w:val="20"/>
                <w:color w:val="auto"/>
              </w:rPr>
            </w:pPr>
            <w:r>
              <w:rPr>
                <w:rFonts w:ascii="Arial" w:cs="Arial" w:eastAsia="Arial" w:hAnsi="Arial"/>
                <w:sz w:val="19"/>
                <w:szCs w:val="19"/>
                <w:color w:val="auto"/>
              </w:rPr>
              <w:t>% of sales</w:t>
            </w:r>
          </w:p>
        </w:tc>
        <w:tc>
          <w:tcPr>
            <w:tcW w:w="860" w:type="dxa"/>
            <w:vAlign w:val="bottom"/>
          </w:tcPr>
          <w:p>
            <w:pPr>
              <w:jc w:val="right"/>
              <w:spacing w:after="0"/>
              <w:rPr>
                <w:sz w:val="20"/>
                <w:szCs w:val="20"/>
                <w:color w:val="auto"/>
              </w:rPr>
            </w:pPr>
            <w:r>
              <w:rPr>
                <w:rFonts w:ascii="Arial" w:cs="Arial" w:eastAsia="Arial" w:hAnsi="Arial"/>
                <w:sz w:val="19"/>
                <w:szCs w:val="19"/>
                <w:color w:val="auto"/>
              </w:rPr>
              <w:t>14.3%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13.9%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13.0%</w:t>
            </w:r>
          </w:p>
        </w:tc>
      </w:tr>
    </w:tbl>
    <w:p>
      <w:pPr>
        <w:spacing w:after="0" w:line="77" w:lineRule="exact"/>
        <w:rPr>
          <w:sz w:val="20"/>
          <w:szCs w:val="20"/>
          <w:color w:val="auto"/>
        </w:rPr>
      </w:pPr>
    </w:p>
    <w:p>
      <w:pPr>
        <w:ind w:right="320" w:firstLine="357"/>
        <w:spacing w:after="0" w:line="245" w:lineRule="auto"/>
        <w:rPr>
          <w:sz w:val="20"/>
          <w:szCs w:val="20"/>
          <w:color w:val="auto"/>
        </w:rPr>
      </w:pPr>
      <w:r>
        <w:rPr>
          <w:rFonts w:ascii="Arial" w:cs="Arial" w:eastAsia="Arial" w:hAnsi="Arial"/>
          <w:sz w:val="19"/>
          <w:szCs w:val="19"/>
          <w:color w:val="auto"/>
        </w:rPr>
        <w:t>Selling, general and administrative expenses (SG&amp;A) increased in 2017 compared with 2016 primarily due to increased labor costs (driven primarily by acquisitions, net of divestitures, investment for growth and merit increases), and higher repositioning charges, partially offset by decreased pension mark-to-market expense allocated to SG&amp;A.</w:t>
      </w:r>
    </w:p>
    <w:p>
      <w:pPr>
        <w:spacing w:after="0" w:line="87" w:lineRule="exact"/>
        <w:rPr>
          <w:sz w:val="20"/>
          <w:szCs w:val="20"/>
          <w:color w:val="auto"/>
        </w:rPr>
      </w:pPr>
    </w:p>
    <w:p>
      <w:pPr>
        <w:ind w:right="200" w:firstLine="357"/>
        <w:spacing w:after="0" w:line="242" w:lineRule="auto"/>
        <w:rPr>
          <w:sz w:val="20"/>
          <w:szCs w:val="20"/>
          <w:color w:val="auto"/>
        </w:rPr>
      </w:pPr>
      <w:r>
        <w:rPr>
          <w:rFonts w:ascii="Arial" w:cs="Arial" w:eastAsia="Arial" w:hAnsi="Arial"/>
          <w:sz w:val="19"/>
          <w:szCs w:val="19"/>
          <w:color w:val="auto"/>
        </w:rPr>
        <w:t>SG&amp;A increased in 2016 compared with 2015 primarily due to increased labor costs (driven primarily by acquisitions, net of divestitures, investment for growth and merit increases), increased pension mark-to-market expense allocated to SG&amp;A and higher repositioning charges, partially offset by the favorable impact from foreign currency translation and increased pension income allocated to SG&amp;A.</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Tax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2015</w:t>
            </w:r>
          </w:p>
        </w:tc>
      </w:tr>
      <w:tr>
        <w:trPr>
          <w:trHeight w:val="237"/>
        </w:trPr>
        <w:tc>
          <w:tcPr>
            <w:tcW w:w="716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86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$ 5,204</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$ 1,601</w:t>
            </w:r>
          </w:p>
        </w:tc>
        <w:tc>
          <w:tcPr>
            <w:tcW w:w="120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$ 1,739</w:t>
            </w:r>
          </w:p>
        </w:tc>
      </w:tr>
      <w:tr>
        <w:trPr>
          <w:trHeight w:val="261"/>
        </w:trPr>
        <w:tc>
          <w:tcPr>
            <w:tcW w:w="7160" w:type="dxa"/>
            <w:vAlign w:val="bottom"/>
          </w:tcPr>
          <w:p>
            <w:pPr>
              <w:spacing w:after="0"/>
              <w:rPr>
                <w:sz w:val="20"/>
                <w:szCs w:val="20"/>
                <w:color w:val="auto"/>
              </w:rPr>
            </w:pPr>
            <w:r>
              <w:rPr>
                <w:rFonts w:ascii="Arial" w:cs="Arial" w:eastAsia="Arial" w:hAnsi="Arial"/>
                <w:sz w:val="19"/>
                <w:szCs w:val="19"/>
                <w:color w:val="auto"/>
              </w:rPr>
              <w:t>Effective tax rate</w:t>
            </w:r>
          </w:p>
        </w:tc>
        <w:tc>
          <w:tcPr>
            <w:tcW w:w="860" w:type="dxa"/>
            <w:vAlign w:val="bottom"/>
          </w:tcPr>
          <w:p>
            <w:pPr>
              <w:jc w:val="right"/>
              <w:spacing w:after="0"/>
              <w:rPr>
                <w:sz w:val="20"/>
                <w:szCs w:val="20"/>
                <w:color w:val="auto"/>
              </w:rPr>
            </w:pPr>
            <w:r>
              <w:rPr>
                <w:rFonts w:ascii="Arial" w:cs="Arial" w:eastAsia="Arial" w:hAnsi="Arial"/>
                <w:sz w:val="19"/>
                <w:szCs w:val="19"/>
                <w:color w:val="auto"/>
              </w:rPr>
              <w:t>75.4%</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24.8%</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26.4%</w:t>
            </w:r>
          </w:p>
        </w:tc>
      </w:tr>
    </w:tbl>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On December 22, 2017, the U.S. enacted the Tax Cuts and Jobs Act (“Tax Act”) that instituted fundamental changes to the U.S. tax system. The Tax Act includes changes to the taxation of foreign earnings by implementing a dividend exemption system, expansion of the current anti-deferral rules, a minimum tax on low-taxed foreign earnings and new measures to deter base erosion. The Tax Act also permanently reduces the corporate tax rate from 35% to 21%, imposes a one-time mandatory transition tax on the historical earnings of foreign affiliates and implements a territorial style tax system. The impacts of these changes are reflected in the 2017 tax expense which resulted in a provisional charge of approximately $3.8 billion, which is subject to adjustment given the provisional nature of the charge. This resulted in an effective tax rate higher than the statutory rate in 2017.</w:t>
      </w:r>
    </w:p>
    <w:p>
      <w:pPr>
        <w:spacing w:after="0" w:line="91"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The effective tax rates for 2016 and 2015 were lower than the U.S. statutory rate of 35% primarily due to lower tax rates on non-U.S. earnings.</w:t>
      </w:r>
    </w:p>
    <w:p>
      <w:pPr>
        <w:spacing w:after="0" w:line="80"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The Company currently expects the effective tax rate for 2018 to be in the range of 22.0% and 23.0%. The effective tax rate may vary from quarter to quarter due to unusual or infrequently occurring items, the resolution of income tax audits, changes in tax laws, the tax impact from employee share-based payments, taxes incurred in connection to the territorial style tax system, or other items such as pension mark-to-market adjustments.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22" w:name="page23"/>
    <w:bookmarkEnd w:id="22"/>
    <w:p>
      <w:pPr>
        <w:ind w:right="760" w:firstLine="357"/>
        <w:spacing w:after="0" w:line="253" w:lineRule="auto"/>
        <w:rPr>
          <w:sz w:val="20"/>
          <w:szCs w:val="20"/>
          <w:color w:val="auto"/>
        </w:rPr>
      </w:pPr>
      <w:r>
        <w:rPr>
          <w:rFonts w:ascii="Arial" w:cs="Arial" w:eastAsia="Arial" w:hAnsi="Arial"/>
          <w:sz w:val="19"/>
          <w:szCs w:val="19"/>
          <w:color w:val="auto"/>
        </w:rPr>
        <w:t>For further discussion of changes in the effective tax rate, see Note 5 Income Taxes of Notes to Consolidated Financial Statements.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Income Attributable to Honeywell</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2015</w:t>
            </w:r>
          </w:p>
        </w:tc>
      </w:tr>
      <w:tr>
        <w:trPr>
          <w:trHeight w:val="237"/>
        </w:trPr>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4,809</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4,768</w:t>
            </w:r>
          </w:p>
        </w:tc>
      </w:tr>
      <w:tr>
        <w:trPr>
          <w:trHeight w:val="261"/>
        </w:trPr>
        <w:tc>
          <w:tcPr>
            <w:tcW w:w="744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2.14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6.20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6.04</w:t>
            </w:r>
          </w:p>
        </w:tc>
      </w:tr>
    </w:tbl>
    <w:p>
      <w:pPr>
        <w:spacing w:after="0" w:line="91"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Earnings per share of common stock–assuming dilution decreased in 2017 compared with 2016 primarily driven by additional income tax expense from the Tax Act, higher repositioning and other charges, partially offset by higher segment profit across all segments, lower pension mark-to-market expense and increased pension and other postretirement income.</w:t>
      </w:r>
    </w:p>
    <w:p>
      <w:pPr>
        <w:spacing w:after="0" w:line="8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Earnings per share of common stock–assuming dilution increased in 2016 compared with 2015 primarily driven by increased pension and other postretirement income, higher segment profit in Home and Building Technologies and Performance Materials and Technologies, the gain related to the Honeywell Technology Solutions, Inc. divestiture, a decrease in the weighted average shares outstanding and the tax benefit from adoption of the Financial Accounting Standards Board’s (FASB) accounting standard related to employee share-based payment accounting, partially offset by lower segment profit in Aerospace and Safety and Productivity Solutions, increased pension mark-to-market expense and higher repositioning and other charges.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OVERVIEW</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consolidated results are principally impacted by:</w:t>
      </w:r>
    </w:p>
    <w:p>
      <w:pPr>
        <w:spacing w:after="0" w:line="92" w:lineRule="exact"/>
        <w:rPr>
          <w:sz w:val="20"/>
          <w:szCs w:val="20"/>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Changes in global economic growth rates and industry conditions and demand in our key end markets;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of fluctuations in foreign currency exchange rates (in particular the Euro), relative to the U.S. Dollar;</w:t>
      </w:r>
    </w:p>
    <w:p>
      <w:pPr>
        <w:spacing w:after="0" w:line="105"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extent to which cost savings from productivity actions are able to offset or exceed the impact of material and non-material inflation;</w:t>
      </w:r>
    </w:p>
    <w:p>
      <w:pPr>
        <w:spacing w:after="0" w:line="66" w:lineRule="exact"/>
        <w:rPr>
          <w:rFonts w:ascii="Arial" w:cs="Arial" w:eastAsia="Arial" w:hAnsi="Arial"/>
          <w:sz w:val="19"/>
          <w:szCs w:val="19"/>
          <w:color w:val="auto"/>
        </w:rPr>
      </w:pPr>
    </w:p>
    <w:p>
      <w:pPr>
        <w:ind w:left="540" w:right="260" w:hanging="16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of the pension discount rate and asset returns on pension expense, including mark-to-market adjustments, and funding requirements; and</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impact from the Tax Act.</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2018 areas of focus, most of which are applicable to each of our segments include:</w:t>
      </w:r>
    </w:p>
    <w:p>
      <w:pPr>
        <w:spacing w:after="0" w:line="92" w:lineRule="exact"/>
        <w:rPr>
          <w:sz w:val="20"/>
          <w:szCs w:val="20"/>
          <w:color w:val="auto"/>
        </w:rPr>
      </w:pPr>
    </w:p>
    <w:p>
      <w:pPr>
        <w:ind w:left="540" w:right="38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Driving profitable organic growth through R&amp;D and technological excellence to deliver innovative products that customers value and expansion and localization of our footprint in high growth regions;</w:t>
      </w:r>
    </w:p>
    <w:p>
      <w:pPr>
        <w:spacing w:after="0" w:line="66" w:lineRule="exact"/>
        <w:rPr>
          <w:rFonts w:ascii="Arial" w:cs="Arial" w:eastAsia="Arial" w:hAnsi="Arial"/>
          <w:sz w:val="19"/>
          <w:szCs w:val="19"/>
          <w:color w:val="auto"/>
        </w:rPr>
      </w:pPr>
    </w:p>
    <w:p>
      <w:pPr>
        <w:ind w:left="540" w:right="12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Executing on our strategy to become a software-industrial company, which for us means products and services that facilitate the connected plane, home, building and factory;</w:t>
      </w:r>
    </w:p>
    <w:p>
      <w:pPr>
        <w:spacing w:after="0" w:line="66" w:lineRule="exact"/>
        <w:rPr>
          <w:rFonts w:ascii="Arial" w:cs="Arial" w:eastAsia="Arial" w:hAnsi="Arial"/>
          <w:sz w:val="19"/>
          <w:szCs w:val="19"/>
          <w:color w:val="auto"/>
        </w:rPr>
      </w:pPr>
    </w:p>
    <w:p>
      <w:pPr>
        <w:ind w:left="540" w:right="34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Expanding margins by maintaining and improving the Company’s cost structure through manufacturing and administrative process improvements, repositioning, and other productivity actions;</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Executing disciplined, rigorous M&amp;A and integration processes to deliver growth through acquisitions;</w:t>
      </w:r>
    </w:p>
    <w:p>
      <w:pPr>
        <w:spacing w:after="0" w:line="105" w:lineRule="exact"/>
        <w:rPr>
          <w:rFonts w:ascii="Arial" w:cs="Arial" w:eastAsia="Arial" w:hAnsi="Arial"/>
          <w:sz w:val="19"/>
          <w:szCs w:val="19"/>
          <w:color w:val="auto"/>
        </w:rPr>
      </w:pPr>
    </w:p>
    <w:p>
      <w:pPr>
        <w:ind w:left="540" w:right="20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Ensuring the successful completion of the proposed spin-offs of our Homes and Global Distribution business, as well as our Transportation Systems business, into two stand-alone, publicly traded companies;</w:t>
      </w:r>
    </w:p>
    <w:p>
      <w:pPr>
        <w:spacing w:after="0" w:line="66" w:lineRule="exact"/>
        <w:rPr>
          <w:rFonts w:ascii="Arial" w:cs="Arial" w:eastAsia="Arial" w:hAnsi="Arial"/>
          <w:sz w:val="19"/>
          <w:szCs w:val="19"/>
          <w:color w:val="auto"/>
        </w:rPr>
      </w:pPr>
    </w:p>
    <w:p>
      <w:pPr>
        <w:ind w:left="540" w:right="72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Controlling corporate costs, including costs incurred for asbestos and environmental matters, pension and other post-retirement benefits;</w:t>
      </w:r>
    </w:p>
    <w:p>
      <w:pPr>
        <w:spacing w:after="0" w:line="66" w:lineRule="exact"/>
        <w:rPr>
          <w:rFonts w:ascii="Arial" w:cs="Arial" w:eastAsia="Arial" w:hAnsi="Arial"/>
          <w:sz w:val="19"/>
          <w:szCs w:val="19"/>
          <w:color w:val="auto"/>
        </w:rPr>
      </w:pPr>
    </w:p>
    <w:p>
      <w:pPr>
        <w:ind w:left="540" w:right="820" w:hanging="168"/>
        <w:spacing w:after="0" w:line="253"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Increasing availability of capital through strong cash flow conversion from effective working capital management and proactively managing debt levels to enable the Company to smartly</w:t>
      </w:r>
    </w:p>
    <w:p>
      <w:pPr>
        <w:spacing w:after="0" w:line="8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91" w:right="359" w:bottom="1440" w:gutter="0" w:footer="0" w:header="0"/>
        </w:sectPr>
      </w:pPr>
    </w:p>
    <w:bookmarkStart w:id="23" w:name="page24"/>
    <w:bookmarkEnd w:id="23"/>
    <w:p>
      <w:pPr>
        <w:ind w:left="540"/>
        <w:spacing w:after="0"/>
        <w:rPr>
          <w:sz w:val="20"/>
          <w:szCs w:val="20"/>
          <w:color w:val="auto"/>
        </w:rPr>
      </w:pPr>
      <w:r>
        <w:rPr>
          <w:rFonts w:ascii="Arial" w:cs="Arial" w:eastAsia="Arial" w:hAnsi="Arial"/>
          <w:sz w:val="19"/>
          <w:szCs w:val="19"/>
          <w:color w:val="auto"/>
        </w:rPr>
        <w:t>deploy capital for strategic acquisitions, dividends, share repurchases and capital expenditures; and</w:t>
      </w:r>
    </w:p>
    <w:p>
      <w:pPr>
        <w:spacing w:after="0" w:line="92" w:lineRule="exact"/>
        <w:rPr>
          <w:sz w:val="20"/>
          <w:szCs w:val="20"/>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Aligning our operating structure to benefit from the territorial tax system being implemented by the Tax Act.</w:t>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Review of Business Segments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9"/>
          </w:tcPr>
          <w:p>
            <w:pPr>
              <w:jc w:val="right"/>
              <w:ind w:right="381"/>
              <w:spacing w:after="0"/>
              <w:rPr>
                <w:sz w:val="20"/>
                <w:szCs w:val="20"/>
                <w:color w:val="auto"/>
              </w:rPr>
            </w:pPr>
            <w:r>
              <w:rPr>
                <w:rFonts w:ascii="Arial" w:cs="Arial" w:eastAsia="Arial" w:hAnsi="Arial"/>
                <w:sz w:val="16"/>
                <w:szCs w:val="16"/>
                <w:b w:val="1"/>
                <w:bCs w:val="1"/>
                <w:color w:val="auto"/>
              </w:rPr>
              <w:t>% Change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18"/>
            <w:vMerge w:val="restart"/>
          </w:tcPr>
          <w:p>
            <w:pPr>
              <w:jc w:val="center"/>
              <w:ind w:right="820"/>
              <w:spacing w:after="0"/>
              <w:rPr>
                <w:sz w:val="20"/>
                <w:szCs w:val="20"/>
                <w:color w:val="auto"/>
              </w:rPr>
            </w:pPr>
            <w:r>
              <w:rPr>
                <w:rFonts w:ascii="Arial" w:cs="Arial" w:eastAsia="Arial" w:hAnsi="Arial"/>
                <w:sz w:val="16"/>
                <w:szCs w:val="16"/>
                <w:b w:val="1"/>
                <w:bCs w:val="1"/>
                <w:color w:val="auto"/>
                <w:w w:val="98"/>
              </w:rPr>
              <w:t>Years Ended December 31,</w:t>
            </w:r>
          </w:p>
        </w:tc>
        <w:tc>
          <w:tcPr>
            <w:tcW w:w="520" w:type="dxa"/>
            <w:vAlign w:val="bottom"/>
            <w:gridSpan w:val="3"/>
          </w:tcPr>
          <w:p>
            <w:pPr>
              <w:jc w:val="center"/>
              <w:ind w:left="47"/>
              <w:spacing w:after="0" w:line="155" w:lineRule="exact"/>
              <w:rPr>
                <w:sz w:val="20"/>
                <w:szCs w:val="20"/>
                <w:color w:val="auto"/>
              </w:rPr>
            </w:pPr>
            <w:r>
              <w:rPr>
                <w:rFonts w:ascii="Arial" w:cs="Arial" w:eastAsia="Arial" w:hAnsi="Arial"/>
                <w:sz w:val="16"/>
                <w:szCs w:val="16"/>
                <w:b w:val="1"/>
                <w:bCs w:val="1"/>
                <w:color w:val="auto"/>
                <w:w w:val="95"/>
              </w:rPr>
              <w:t>2017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4"/>
          </w:tcPr>
          <w:p>
            <w:pPr>
              <w:jc w:val="right"/>
              <w:ind w:right="101"/>
              <w:spacing w:after="0" w:line="155"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18"/>
            <w:vMerge w:val="continue"/>
          </w:tcPr>
          <w:p>
            <w:pPr>
              <w:spacing w:after="0"/>
              <w:rPr>
                <w:sz w:val="15"/>
                <w:szCs w:val="15"/>
                <w:color w:val="auto"/>
              </w:rPr>
            </w:pPr>
          </w:p>
        </w:tc>
        <w:tc>
          <w:tcPr>
            <w:tcW w:w="900" w:type="dxa"/>
            <w:vAlign w:val="bottom"/>
            <w:gridSpan w:val="6"/>
          </w:tcPr>
          <w:p>
            <w:pPr>
              <w:jc w:val="center"/>
              <w:ind w:right="220"/>
              <w:spacing w:after="0" w:line="177" w:lineRule="exact"/>
              <w:rPr>
                <w:sz w:val="20"/>
                <w:szCs w:val="20"/>
                <w:color w:val="auto"/>
              </w:rPr>
            </w:pPr>
            <w:r>
              <w:rPr>
                <w:rFonts w:ascii="Arial" w:cs="Arial" w:eastAsia="Arial" w:hAnsi="Arial"/>
                <w:sz w:val="16"/>
                <w:szCs w:val="16"/>
                <w:b w:val="1"/>
                <w:bCs w:val="1"/>
                <w:color w:val="auto"/>
                <w:w w:val="97"/>
              </w:rPr>
              <w:t>Versus</w:t>
            </w:r>
          </w:p>
        </w:tc>
        <w:tc>
          <w:tcPr>
            <w:tcW w:w="80" w:type="dxa"/>
            <w:vAlign w:val="bottom"/>
          </w:tcPr>
          <w:p>
            <w:pPr>
              <w:spacing w:after="0"/>
              <w:rPr>
                <w:sz w:val="15"/>
                <w:szCs w:val="15"/>
                <w:color w:val="auto"/>
              </w:rPr>
            </w:pPr>
          </w:p>
        </w:tc>
        <w:tc>
          <w:tcPr>
            <w:tcW w:w="700" w:type="dxa"/>
            <w:vAlign w:val="bottom"/>
            <w:gridSpan w:val="3"/>
          </w:tcPr>
          <w:p>
            <w:pPr>
              <w:jc w:val="right"/>
              <w:ind w:right="21"/>
              <w:spacing w:after="0" w:line="177" w:lineRule="exact"/>
              <w:rPr>
                <w:sz w:val="20"/>
                <w:szCs w:val="20"/>
                <w:color w:val="auto"/>
              </w:rPr>
            </w:pPr>
            <w:r>
              <w:rPr>
                <w:rFonts w:ascii="Arial" w:cs="Arial" w:eastAsia="Arial" w:hAnsi="Arial"/>
                <w:sz w:val="16"/>
                <w:szCs w:val="16"/>
                <w:b w:val="1"/>
                <w:bCs w:val="1"/>
                <w:color w:val="auto"/>
              </w:rPr>
              <w:t>Versus</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5"/>
              </w:rPr>
              <w:t>2017</w:t>
            </w: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3"/>
          </w:tcPr>
          <w:p>
            <w:pPr>
              <w:jc w:val="center"/>
              <w:ind w:right="88"/>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center"/>
              <w:ind w:right="52"/>
              <w:spacing w:after="0" w:line="169" w:lineRule="exact"/>
              <w:rPr>
                <w:sz w:val="20"/>
                <w:szCs w:val="20"/>
                <w:color w:val="auto"/>
              </w:rPr>
            </w:pPr>
            <w:r>
              <w:rPr>
                <w:rFonts w:ascii="Arial" w:cs="Arial" w:eastAsia="Arial" w:hAnsi="Arial"/>
                <w:sz w:val="16"/>
                <w:szCs w:val="16"/>
                <w:b w:val="1"/>
                <w:bCs w:val="1"/>
                <w:color w:val="auto"/>
              </w:rPr>
              <w:t>2015</w:t>
            </w: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3"/>
          </w:tcPr>
          <w:p>
            <w:pPr>
              <w:jc w:val="center"/>
              <w:ind w:left="47"/>
              <w:spacing w:after="0" w:line="169" w:lineRule="exact"/>
              <w:rPr>
                <w:sz w:val="20"/>
                <w:szCs w:val="20"/>
                <w:color w:val="auto"/>
              </w:rPr>
            </w:pPr>
            <w:r>
              <w:rPr>
                <w:rFonts w:ascii="Arial" w:cs="Arial" w:eastAsia="Arial" w:hAnsi="Arial"/>
                <w:sz w:val="16"/>
                <w:szCs w:val="16"/>
                <w:b w:val="1"/>
                <w:bCs w:val="1"/>
                <w:color w:val="auto"/>
                <w:w w:val="95"/>
              </w:rPr>
              <w:t>2016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101"/>
              <w:spacing w:after="0" w:line="169" w:lineRule="exact"/>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9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Aerospace Sales</w:t>
            </w:r>
          </w:p>
        </w:tc>
        <w:tc>
          <w:tcPr>
            <w:tcW w:w="300" w:type="dxa"/>
            <w:vAlign w:val="bottom"/>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auto"/>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Commercial Aviation Original Equipment</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  2,475</w:t>
            </w:r>
          </w:p>
        </w:tc>
        <w:tc>
          <w:tcPr>
            <w:tcW w:w="3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9"/>
                <w:szCs w:val="19"/>
                <w:color w:val="auto"/>
                <w:w w:val="94"/>
              </w:rPr>
              <w:t>$</w:t>
            </w: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2,525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2,905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9"/>
                <w:szCs w:val="19"/>
                <w:color w:val="auto"/>
              </w:rPr>
              <w:t>(2)%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9"/>
                <w:szCs w:val="19"/>
                <w:color w:val="auto"/>
              </w:rPr>
              <w:t>(13)%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Commercial Aviation Aftermarket</w:t>
            </w:r>
          </w:p>
        </w:tc>
        <w:tc>
          <w:tcPr>
            <w:tcW w:w="11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5,103</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4,796</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4,656</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6%</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Defense and Space</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4,053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4,375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4,715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9"/>
                <w:szCs w:val="19"/>
                <w:color w:val="auto"/>
              </w:rPr>
              <w:t>(7)%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9"/>
                <w:szCs w:val="19"/>
                <w:color w:val="auto"/>
              </w:rPr>
              <w:t>(7)%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Transportation Systems</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3,148</w:t>
            </w:r>
          </w:p>
        </w:tc>
        <w:tc>
          <w:tcPr>
            <w:tcW w:w="3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3,055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2,961</w:t>
            </w:r>
          </w:p>
        </w:tc>
        <w:tc>
          <w:tcPr>
            <w:tcW w:w="40" w:type="dxa"/>
            <w:vAlign w:val="bottom"/>
            <w:tcBorders>
              <w:bottom w:val="single" w:sz="8" w:color="auto"/>
            </w:tcBorders>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3%</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ind w:left="720"/>
              <w:spacing w:after="0"/>
              <w:rPr>
                <w:sz w:val="20"/>
                <w:szCs w:val="20"/>
                <w:color w:val="auto"/>
              </w:rPr>
            </w:pPr>
            <w:r>
              <w:rPr>
                <w:rFonts w:ascii="Arial" w:cs="Arial" w:eastAsia="Arial" w:hAnsi="Arial"/>
                <w:sz w:val="19"/>
                <w:szCs w:val="19"/>
                <w:color w:val="auto"/>
              </w:rPr>
              <w:t>Total Aerospace Sales</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14,779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14,751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15,237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Home and Building Technologies Sales</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Home and Building Products</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4,928</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4,803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4,576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ind w:right="61"/>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Home and Building Distribution</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4,849</w:t>
            </w:r>
          </w:p>
        </w:tc>
        <w:tc>
          <w:tcPr>
            <w:tcW w:w="3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4,687</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4,450</w:t>
            </w:r>
          </w:p>
        </w:tc>
        <w:tc>
          <w:tcPr>
            <w:tcW w:w="40" w:type="dxa"/>
            <w:vAlign w:val="bottom"/>
            <w:tcBorders>
              <w:bottom w:val="single" w:sz="8" w:color="auto"/>
            </w:tcBorders>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3%</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ind w:left="720"/>
              <w:spacing w:after="0"/>
              <w:rPr>
                <w:sz w:val="20"/>
                <w:szCs w:val="20"/>
                <w:color w:val="auto"/>
              </w:rPr>
            </w:pPr>
            <w:r>
              <w:rPr>
                <w:rFonts w:ascii="Arial" w:cs="Arial" w:eastAsia="Arial" w:hAnsi="Arial"/>
                <w:sz w:val="19"/>
                <w:szCs w:val="19"/>
                <w:color w:val="auto"/>
              </w:rPr>
              <w:t>Total Home and Building Technologies Sales</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9,777</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9,490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9,026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Performance Materials and Technologies Sales</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UOP</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2,753</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2,469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2,976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Process Solutions</w:t>
            </w:r>
          </w:p>
        </w:tc>
        <w:tc>
          <w:tcPr>
            <w:tcW w:w="11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4,795</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4,640</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3,124</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3%</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right w:val="single" w:sz="8" w:color="E5FFFF"/>
            </w:tcBorders>
            <w:gridSpan w:val="4"/>
            <w:shd w:val="clear" w:color="auto" w:fill="E5FFFF"/>
          </w:tcPr>
          <w:p>
            <w:pPr>
              <w:jc w:val="right"/>
              <w:ind w:right="61"/>
              <w:spacing w:after="0"/>
              <w:rPr>
                <w:sz w:val="20"/>
                <w:szCs w:val="20"/>
                <w:color w:val="auto"/>
              </w:rPr>
            </w:pPr>
            <w:r>
              <w:rPr>
                <w:rFonts w:ascii="Arial" w:cs="Arial" w:eastAsia="Arial" w:hAnsi="Arial"/>
                <w:sz w:val="19"/>
                <w:szCs w:val="19"/>
                <w:color w:val="auto"/>
              </w:rPr>
              <w:t>49%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Advanced Materials</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2,791</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9"/>
                <w:szCs w:val="19"/>
                <w:color w:val="auto"/>
              </w:rPr>
              <w:t>3,327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3,510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9"/>
                <w:szCs w:val="19"/>
                <w:color w:val="auto"/>
              </w:rPr>
              <w:t>(16)%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00" w:type="dxa"/>
            <w:vAlign w:val="bottom"/>
            <w:shd w:val="clear" w:color="auto" w:fill="E5FFFF"/>
          </w:tcPr>
          <w:p>
            <w:pPr>
              <w:ind w:left="720"/>
              <w:spacing w:after="0" w:line="216" w:lineRule="exact"/>
              <w:rPr>
                <w:sz w:val="20"/>
                <w:szCs w:val="20"/>
                <w:color w:val="auto"/>
              </w:rPr>
            </w:pPr>
            <w:r>
              <w:rPr>
                <w:rFonts w:ascii="Arial" w:cs="Arial" w:eastAsia="Arial" w:hAnsi="Arial"/>
                <w:sz w:val="19"/>
                <w:szCs w:val="19"/>
                <w:color w:val="auto"/>
              </w:rPr>
              <w:t>Total Performance Materials and Technologies</w:t>
            </w:r>
          </w:p>
        </w:tc>
        <w:tc>
          <w:tcPr>
            <w:tcW w:w="300" w:type="dxa"/>
            <w:vAlign w:val="bottom"/>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00" w:type="dxa"/>
            <w:vAlign w:val="bottom"/>
            <w:shd w:val="clear" w:color="auto" w:fill="E5FFFF"/>
          </w:tcPr>
          <w:p>
            <w:pPr>
              <w:ind w:left="900"/>
              <w:spacing w:after="0" w:line="216" w:lineRule="exact"/>
              <w:rPr>
                <w:sz w:val="20"/>
                <w:szCs w:val="20"/>
                <w:color w:val="auto"/>
              </w:rPr>
            </w:pPr>
            <w:r>
              <w:rPr>
                <w:rFonts w:ascii="Arial" w:cs="Arial" w:eastAsia="Arial" w:hAnsi="Arial"/>
                <w:sz w:val="19"/>
                <w:szCs w:val="19"/>
                <w:color w:val="auto"/>
              </w:rPr>
              <w:t>Sales</w:t>
            </w:r>
          </w:p>
        </w:tc>
        <w:tc>
          <w:tcPr>
            <w:tcW w:w="1160" w:type="dxa"/>
            <w:vAlign w:val="bottom"/>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rPr>
              <w:t>10,339</w:t>
            </w:r>
          </w:p>
        </w:tc>
        <w:tc>
          <w:tcPr>
            <w:tcW w:w="3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10,436</w:t>
            </w: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9,610</w:t>
            </w: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900" w:type="dxa"/>
            <w:vAlign w:val="bottom"/>
          </w:tcPr>
          <w:p>
            <w:pPr>
              <w:spacing w:after="0" w:line="216" w:lineRule="exact"/>
              <w:rPr>
                <w:sz w:val="20"/>
                <w:szCs w:val="20"/>
                <w:color w:val="auto"/>
              </w:rPr>
            </w:pPr>
            <w:r>
              <w:rPr>
                <w:rFonts w:ascii="Arial" w:cs="Arial" w:eastAsia="Arial" w:hAnsi="Arial"/>
                <w:sz w:val="19"/>
                <w:szCs w:val="19"/>
                <w:b w:val="1"/>
                <w:bCs w:val="1"/>
                <w:color w:val="auto"/>
              </w:rPr>
              <w:t>Safety and Productivity Solutions Sales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w:t>
            </w:r>
          </w:p>
        </w:tc>
        <w:tc>
          <w:tcPr>
            <w:tcW w:w="11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2,169</w:t>
            </w: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2,075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2,135</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100"/>
              <w:spacing w:after="0"/>
              <w:rPr>
                <w:sz w:val="20"/>
                <w:szCs w:val="20"/>
                <w:color w:val="auto"/>
              </w:rPr>
            </w:pPr>
            <w:r>
              <w:rPr>
                <w:rFonts w:ascii="Arial" w:cs="Arial" w:eastAsia="Arial" w:hAnsi="Arial"/>
                <w:sz w:val="19"/>
                <w:szCs w:val="19"/>
                <w:color w:val="auto"/>
              </w:rPr>
              <w:t>5%</w:t>
            </w: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right w:val="single" w:sz="8" w:color="E5FFFF"/>
            </w:tcBorders>
            <w:gridSpan w:val="4"/>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Productivity Solutions</w:t>
            </w:r>
          </w:p>
        </w:tc>
        <w:tc>
          <w:tcPr>
            <w:tcW w:w="300" w:type="dxa"/>
            <w:vAlign w:val="bottom"/>
          </w:tcPr>
          <w:p>
            <w:pPr>
              <w:spacing w:after="0"/>
              <w:rPr>
                <w:sz w:val="21"/>
                <w:szCs w:val="21"/>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3,470</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2,550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2,573</w:t>
            </w:r>
          </w:p>
        </w:tc>
        <w:tc>
          <w:tcPr>
            <w:tcW w:w="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9"/>
                <w:szCs w:val="19"/>
                <w:color w:val="auto"/>
              </w:rPr>
              <w:t>36%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Safety and Productivity Solutions Sales</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3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4,625</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4,708</w:t>
            </w:r>
          </w:p>
        </w:tc>
        <w:tc>
          <w:tcPr>
            <w:tcW w:w="40" w:type="dxa"/>
            <w:vAlign w:val="bottom"/>
            <w:tcBorders>
              <w:bottom w:val="single" w:sz="8" w:color="auto"/>
            </w:tcBorders>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tcBorders>
              <w:right w:val="single" w:sz="8" w:color="E5FFFF"/>
            </w:tcBorders>
            <w:shd w:val="clear" w:color="auto" w:fill="E5FFFF"/>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9"/>
                <w:szCs w:val="19"/>
                <w:color w:val="auto"/>
              </w:rPr>
              <w:t>Net Sales</w:t>
            </w:r>
          </w:p>
        </w:tc>
        <w:tc>
          <w:tcPr>
            <w:tcW w:w="1160" w:type="dxa"/>
            <w:vAlign w:val="bottom"/>
            <w:gridSpan w:val="4"/>
          </w:tcPr>
          <w:p>
            <w:pPr>
              <w:jc w:val="right"/>
              <w:spacing w:after="0"/>
              <w:rPr>
                <w:sz w:val="20"/>
                <w:szCs w:val="20"/>
                <w:color w:val="auto"/>
              </w:rPr>
            </w:pPr>
            <w:r>
              <w:rPr>
                <w:rFonts w:ascii="Arial" w:cs="Arial" w:eastAsia="Arial" w:hAnsi="Arial"/>
                <w:sz w:val="19"/>
                <w:szCs w:val="19"/>
                <w:color w:val="auto"/>
              </w:rPr>
              <w:t>$ 40,534</w:t>
            </w:r>
          </w:p>
        </w:tc>
        <w:tc>
          <w:tcPr>
            <w:tcW w:w="300" w:type="dxa"/>
            <w:vAlign w:val="bottom"/>
          </w:tcPr>
          <w:p>
            <w:pPr>
              <w:spacing w:after="0"/>
              <w:rPr>
                <w:sz w:val="21"/>
                <w:szCs w:val="21"/>
                <w:color w:val="auto"/>
              </w:rPr>
            </w:pPr>
          </w:p>
        </w:tc>
        <w:tc>
          <w:tcPr>
            <w:tcW w:w="880" w:type="dxa"/>
            <w:vAlign w:val="bottom"/>
            <w:gridSpan w:val="5"/>
          </w:tcPr>
          <w:p>
            <w:pPr>
              <w:jc w:val="right"/>
              <w:spacing w:after="0"/>
              <w:rPr>
                <w:sz w:val="20"/>
                <w:szCs w:val="20"/>
                <w:color w:val="auto"/>
              </w:rPr>
            </w:pPr>
            <w:r>
              <w:rPr>
                <w:rFonts w:ascii="Arial" w:cs="Arial" w:eastAsia="Arial" w:hAnsi="Arial"/>
                <w:sz w:val="19"/>
                <w:szCs w:val="19"/>
                <w:color w:val="auto"/>
              </w:rPr>
              <w:t>$ 39,302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38,581</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Aerospace</w:t>
            </w: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4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rPr>
              <w:t>Change</w:t>
            </w:r>
          </w:p>
        </w:tc>
        <w:tc>
          <w:tcPr>
            <w:tcW w:w="60" w:type="dxa"/>
            <w:vAlign w:val="bottom"/>
            <w:gridSpan w:val="2"/>
            <w:vMerge w:val="restart"/>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820" w:type="dxa"/>
            <w:vAlign w:val="bottom"/>
            <w:gridSpan w:val="3"/>
            <w:shd w:val="clear" w:color="auto" w:fill="E5FFFF"/>
          </w:tcPr>
          <w:p>
            <w:pPr>
              <w:jc w:val="center"/>
              <w:ind w:left="503"/>
              <w:spacing w:after="0"/>
              <w:rPr>
                <w:sz w:val="20"/>
                <w:szCs w:val="20"/>
                <w:color w:val="auto"/>
              </w:rPr>
            </w:pPr>
            <w:r>
              <w:rPr>
                <w:rFonts w:ascii="Arial" w:cs="Arial" w:eastAsia="Arial" w:hAnsi="Arial"/>
                <w:sz w:val="19"/>
                <w:szCs w:val="19"/>
                <w:color w:val="auto"/>
                <w:w w:val="94"/>
              </w:rPr>
              <w:t>$</w:t>
            </w: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14,779</w:t>
            </w:r>
          </w:p>
        </w:tc>
        <w:tc>
          <w:tcPr>
            <w:tcW w:w="100" w:type="dxa"/>
            <w:vAlign w:val="bottom"/>
            <w:shd w:val="clear" w:color="auto" w:fill="E5FFFF"/>
          </w:tcPr>
          <w:p>
            <w:pPr>
              <w:spacing w:after="0"/>
              <w:rPr>
                <w:sz w:val="20"/>
                <w:szCs w:val="20"/>
                <w:color w:val="auto"/>
              </w:rPr>
            </w:pPr>
          </w:p>
        </w:tc>
        <w:tc>
          <w:tcPr>
            <w:tcW w:w="340" w:type="dxa"/>
            <w:vAlign w:val="bottom"/>
            <w:gridSpan w:val="2"/>
            <w:shd w:val="clear" w:color="auto" w:fill="E5FFFF"/>
          </w:tcPr>
          <w:p>
            <w:pPr>
              <w:jc w:val="center"/>
              <w:ind w:left="84"/>
              <w:spacing w:after="0"/>
              <w:rPr>
                <w:sz w:val="20"/>
                <w:szCs w:val="20"/>
                <w:color w:val="auto"/>
              </w:rPr>
            </w:pPr>
            <w:r>
              <w:rPr>
                <w:rFonts w:ascii="Arial" w:cs="Arial" w:eastAsia="Arial" w:hAnsi="Arial"/>
                <w:sz w:val="19"/>
                <w:szCs w:val="19"/>
                <w:color w:val="auto"/>
              </w:rPr>
              <w:t>$</w:t>
            </w:r>
          </w:p>
        </w:tc>
        <w:tc>
          <w:tcPr>
            <w:tcW w:w="7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14,751</w:t>
            </w:r>
          </w:p>
        </w:tc>
        <w:tc>
          <w:tcPr>
            <w:tcW w:w="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gridSpan w:val="5"/>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center"/>
              <w:ind w:left="47"/>
              <w:spacing w:after="0"/>
              <w:rPr>
                <w:sz w:val="20"/>
                <w:szCs w:val="20"/>
                <w:color w:val="auto"/>
              </w:rPr>
            </w:pPr>
            <w:r>
              <w:rPr>
                <w:rFonts w:ascii="Arial" w:cs="Arial" w:eastAsia="Arial" w:hAnsi="Arial"/>
                <w:sz w:val="19"/>
                <w:szCs w:val="19"/>
                <w:color w:val="auto"/>
                <w:w w:val="94"/>
              </w:rPr>
              <w:t>$</w:t>
            </w:r>
          </w:p>
        </w:tc>
        <w:tc>
          <w:tcPr>
            <w:tcW w:w="66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rPr>
              <w:t>15,237</w:t>
            </w:r>
          </w:p>
        </w:tc>
        <w:tc>
          <w:tcPr>
            <w:tcW w:w="320" w:type="dxa"/>
            <w:vAlign w:val="bottom"/>
            <w:shd w:val="clear" w:color="auto" w:fill="E5FFFF"/>
          </w:tcPr>
          <w:p>
            <w:pPr>
              <w:spacing w:after="0"/>
              <w:rPr>
                <w:sz w:val="20"/>
                <w:szCs w:val="20"/>
                <w:color w:val="auto"/>
              </w:rPr>
            </w:pPr>
          </w:p>
        </w:tc>
        <w:tc>
          <w:tcPr>
            <w:tcW w:w="220" w:type="dxa"/>
            <w:vAlign w:val="bottom"/>
            <w:tcBorders>
              <w:right w:val="single" w:sz="8" w:color="E5FFFF"/>
            </w:tcBorders>
            <w:shd w:val="clear" w:color="auto" w:fill="E5FFFF"/>
          </w:tcPr>
          <w:p>
            <w:pPr>
              <w:spacing w:after="0"/>
              <w:rPr>
                <w:sz w:val="20"/>
                <w:szCs w:val="20"/>
                <w:color w:val="auto"/>
              </w:rPr>
            </w:pPr>
          </w:p>
        </w:tc>
        <w:tc>
          <w:tcPr>
            <w:tcW w:w="520" w:type="dxa"/>
            <w:vAlign w:val="bottom"/>
            <w:shd w:val="clear" w:color="auto" w:fill="E5FFFF"/>
          </w:tcPr>
          <w:p>
            <w:pPr>
              <w:jc w:val="center"/>
              <w:ind w:right="63"/>
              <w:spacing w:after="0"/>
              <w:rPr>
                <w:sz w:val="20"/>
                <w:szCs w:val="20"/>
                <w:color w:val="auto"/>
              </w:rPr>
            </w:pPr>
            <w:r>
              <w:rPr>
                <w:rFonts w:ascii="Arial" w:cs="Arial" w:eastAsia="Arial" w:hAnsi="Arial"/>
                <w:sz w:val="19"/>
                <w:szCs w:val="19"/>
                <w:color w:val="auto"/>
                <w:w w:val="89"/>
              </w:rPr>
              <w:t>(3)%</w:t>
            </w: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9"/>
                <w:szCs w:val="19"/>
                <w:color w:val="auto"/>
              </w:rPr>
              <w:t>Cost of products and services sold</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9"/>
                <w:szCs w:val="19"/>
                <w:color w:val="auto"/>
              </w:rPr>
              <w:t>10,320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9"/>
                <w:szCs w:val="19"/>
                <w:color w:val="auto"/>
              </w:rPr>
              <w:t>10,820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6"/>
          </w:tcPr>
          <w:p>
            <w:pPr>
              <w:jc w:val="right"/>
              <w:spacing w:after="0"/>
              <w:rPr>
                <w:sz w:val="20"/>
                <w:szCs w:val="20"/>
                <w:color w:val="auto"/>
              </w:rPr>
            </w:pPr>
            <w:r>
              <w:rPr>
                <w:rFonts w:ascii="Arial" w:cs="Arial" w:eastAsia="Arial" w:hAnsi="Arial"/>
                <w:sz w:val="19"/>
                <w:szCs w:val="19"/>
                <w:color w:val="auto"/>
              </w:rPr>
              <w:t>11,068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1,171</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9"/>
                <w:szCs w:val="19"/>
                <w:color w:val="auto"/>
              </w:rPr>
              <w:t>940</w:t>
            </w:r>
          </w:p>
        </w:tc>
        <w:tc>
          <w:tcPr>
            <w:tcW w:w="40" w:type="dxa"/>
            <w:vAlign w:val="bottom"/>
            <w:tcBorders>
              <w:bottom w:val="single" w:sz="8" w:color="auto"/>
            </w:tcBorders>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6"/>
            <w:shd w:val="clear" w:color="auto" w:fill="E5FFFF"/>
          </w:tcPr>
          <w:p>
            <w:pPr>
              <w:jc w:val="right"/>
              <w:spacing w:after="0"/>
              <w:rPr>
                <w:sz w:val="20"/>
                <w:szCs w:val="20"/>
                <w:color w:val="auto"/>
              </w:rPr>
            </w:pPr>
            <w:r>
              <w:rPr>
                <w:rFonts w:ascii="Arial" w:cs="Arial" w:eastAsia="Arial" w:hAnsi="Arial"/>
                <w:sz w:val="19"/>
                <w:szCs w:val="19"/>
                <w:color w:val="auto"/>
              </w:rPr>
              <w:t>951</w:t>
            </w:r>
          </w:p>
        </w:tc>
        <w:tc>
          <w:tcPr>
            <w:tcW w:w="320" w:type="dxa"/>
            <w:vAlign w:val="bottom"/>
            <w:shd w:val="clear" w:color="auto" w:fill="E5FFFF"/>
          </w:tcPr>
          <w:p>
            <w:pPr>
              <w:spacing w:after="0"/>
              <w:rPr>
                <w:sz w:val="21"/>
                <w:szCs w:val="21"/>
                <w:color w:val="auto"/>
              </w:rPr>
            </w:pPr>
          </w:p>
        </w:tc>
        <w:tc>
          <w:tcPr>
            <w:tcW w:w="22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0" w:type="dxa"/>
            <w:vAlign w:val="bottom"/>
            <w:gridSpan w:val="2"/>
          </w:tcPr>
          <w:p>
            <w:pPr>
              <w:spacing w:after="0"/>
              <w:rPr>
                <w:sz w:val="20"/>
                <w:szCs w:val="20"/>
                <w:color w:val="auto"/>
              </w:rPr>
            </w:pPr>
            <w:r>
              <w:rPr>
                <w:rFonts w:ascii="Arial" w:cs="Arial" w:eastAsia="Arial" w:hAnsi="Arial"/>
                <w:sz w:val="19"/>
                <w:szCs w:val="19"/>
                <w:color w:val="auto"/>
              </w:rPr>
              <w:t>Segment profit</w:t>
            </w:r>
          </w:p>
        </w:tc>
        <w:tc>
          <w:tcPr>
            <w:tcW w:w="640" w:type="dxa"/>
            <w:vAlign w:val="bottom"/>
            <w:gridSpan w:val="2"/>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2,991</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9"/>
                <w:szCs w:val="19"/>
                <w:color w:val="auto"/>
              </w:rPr>
              <w:t>10%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jc w:val="center"/>
              <w:ind w:right="15"/>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gridSpan w:val="6"/>
          </w:tcPr>
          <w:p>
            <w:pPr>
              <w:jc w:val="right"/>
              <w:spacing w:after="0"/>
              <w:rPr>
                <w:sz w:val="20"/>
                <w:szCs w:val="20"/>
                <w:color w:val="auto"/>
              </w:rPr>
            </w:pPr>
            <w:r>
              <w:rPr>
                <w:rFonts w:ascii="Arial" w:cs="Arial" w:eastAsia="Arial" w:hAnsi="Arial"/>
                <w:sz w:val="19"/>
                <w:szCs w:val="19"/>
                <w:color w:val="auto"/>
              </w:rPr>
              <w:t>3,218</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center"/>
              <w:ind w:right="63"/>
              <w:spacing w:after="0"/>
              <w:rPr>
                <w:sz w:val="20"/>
                <w:szCs w:val="20"/>
                <w:color w:val="auto"/>
              </w:rPr>
            </w:pPr>
            <w:r>
              <w:rPr>
                <w:rFonts w:ascii="Arial" w:cs="Arial" w:eastAsia="Arial" w:hAnsi="Arial"/>
                <w:sz w:val="19"/>
                <w:szCs w:val="19"/>
                <w:color w:val="auto"/>
                <w:w w:val="89"/>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12"/>
          </w:tcPr>
          <w:p>
            <w:pPr>
              <w:ind w:left="180"/>
              <w:spacing w:after="0"/>
              <w:rPr>
                <w:sz w:val="20"/>
                <w:szCs w:val="20"/>
                <w:color w:val="auto"/>
              </w:rPr>
            </w:pPr>
            <w:r>
              <w:rPr>
                <w:rFonts w:ascii="Arial" w:cs="Arial" w:eastAsia="Arial" w:hAnsi="Arial"/>
                <w:sz w:val="16"/>
                <w:szCs w:val="16"/>
                <w:b w:val="1"/>
                <w:bCs w:val="1"/>
                <w:color w:val="auto"/>
              </w:rPr>
              <w:t>2017 vs. 2016</w:t>
            </w:r>
          </w:p>
        </w:tc>
        <w:tc>
          <w:tcPr>
            <w:tcW w:w="240" w:type="dxa"/>
            <w:vAlign w:val="bottom"/>
          </w:tcPr>
          <w:p>
            <w:pPr>
              <w:spacing w:after="0"/>
              <w:rPr>
                <w:sz w:val="17"/>
                <w:szCs w:val="17"/>
                <w:color w:val="auto"/>
              </w:rPr>
            </w:pPr>
          </w:p>
        </w:tc>
        <w:tc>
          <w:tcPr>
            <w:tcW w:w="1440" w:type="dxa"/>
            <w:vAlign w:val="bottom"/>
            <w:gridSpan w:val="9"/>
          </w:tcPr>
          <w:p>
            <w:pPr>
              <w:jc w:val="right"/>
              <w:ind w:right="281"/>
              <w:spacing w:after="0"/>
              <w:rPr>
                <w:sz w:val="20"/>
                <w:szCs w:val="20"/>
                <w:color w:val="auto"/>
              </w:rPr>
            </w:pPr>
            <w:r>
              <w:rPr>
                <w:rFonts w:ascii="Arial" w:cs="Arial" w:eastAsia="Arial" w:hAnsi="Arial"/>
                <w:sz w:val="16"/>
                <w:szCs w:val="16"/>
                <w:b w:val="1"/>
                <w:bCs w:val="1"/>
                <w:color w:val="auto"/>
              </w:rPr>
              <w:t>2016 vs. 2015</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6"/>
                <w:szCs w:val="16"/>
                <w:b w:val="1"/>
                <w:bCs w:val="1"/>
                <w:color w:val="auto"/>
                <w:w w:val="97"/>
              </w:rPr>
              <w:t>Segment</w:t>
            </w:r>
          </w:p>
        </w:tc>
        <w:tc>
          <w:tcPr>
            <w:tcW w:w="300" w:type="dxa"/>
            <w:vAlign w:val="bottom"/>
            <w:gridSpan w:val="3"/>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4"/>
          </w:tcPr>
          <w:p>
            <w:pPr>
              <w:jc w:val="right"/>
              <w:ind w:right="21"/>
              <w:spacing w:after="0" w:line="155" w:lineRule="exact"/>
              <w:rPr>
                <w:sz w:val="20"/>
                <w:szCs w:val="20"/>
                <w:color w:val="auto"/>
              </w:rPr>
            </w:pPr>
            <w:r>
              <w:rPr>
                <w:rFonts w:ascii="Arial" w:cs="Arial" w:eastAsia="Arial" w:hAnsi="Arial"/>
                <w:sz w:val="16"/>
                <w:szCs w:val="16"/>
                <w:b w:val="1"/>
                <w:bCs w:val="1"/>
                <w:color w:val="auto"/>
                <w:w w:val="97"/>
              </w:rPr>
              <w:t>Segment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rPr>
              <w:t>Profit</w:t>
            </w: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Sales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Profit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9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30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340" w:type="dxa"/>
            <w:vAlign w:val="bottom"/>
            <w:tcBorders>
              <w:top w:val="single" w:sz="8" w:color="auto"/>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40" w:type="dxa"/>
            <w:vAlign w:val="bottom"/>
            <w:tcBorders>
              <w:top w:val="single" w:sz="8" w:color="auto"/>
            </w:tcBorders>
            <w:shd w:val="clear" w:color="auto" w:fill="E5FFFF"/>
          </w:tcPr>
          <w:p>
            <w:pPr>
              <w:spacing w:after="0"/>
              <w:rPr>
                <w:sz w:val="20"/>
                <w:szCs w:val="20"/>
                <w:color w:val="auto"/>
              </w:rPr>
            </w:pPr>
          </w:p>
        </w:tc>
        <w:tc>
          <w:tcPr>
            <w:tcW w:w="2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100" w:type="dxa"/>
            <w:vAlign w:val="bottom"/>
            <w:tcBorders>
              <w:top w:val="single" w:sz="8" w:color="auto"/>
            </w:tcBorders>
            <w:shd w:val="clear" w:color="auto" w:fill="E5FFFF"/>
          </w:tcPr>
          <w:p>
            <w:pPr>
              <w:spacing w:after="0"/>
              <w:rPr>
                <w:sz w:val="20"/>
                <w:szCs w:val="20"/>
                <w:color w:val="auto"/>
              </w:rPr>
            </w:pPr>
          </w:p>
        </w:tc>
        <w:tc>
          <w:tcPr>
            <w:tcW w:w="660" w:type="dxa"/>
            <w:vAlign w:val="bottom"/>
            <w:tcBorders>
              <w:top w:val="single" w:sz="8" w:color="auto"/>
            </w:tcBorders>
            <w:gridSpan w:val="2"/>
            <w:shd w:val="clear" w:color="auto" w:fill="E5FFFF"/>
          </w:tcPr>
          <w:p>
            <w:pPr>
              <w:jc w:val="right"/>
              <w:ind w:right="132"/>
              <w:spacing w:after="0"/>
              <w:rPr>
                <w:sz w:val="20"/>
                <w:szCs w:val="20"/>
                <w:color w:val="auto"/>
              </w:rPr>
            </w:pPr>
            <w:r>
              <w:rPr>
                <w:rFonts w:ascii="Arial" w:cs="Arial" w:eastAsia="Arial" w:hAnsi="Arial"/>
                <w:sz w:val="19"/>
                <w:szCs w:val="19"/>
                <w:color w:val="auto"/>
              </w:rPr>
              <w:t>11%</w:t>
            </w:r>
          </w:p>
        </w:tc>
        <w:tc>
          <w:tcPr>
            <w:tcW w:w="4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tcBorders>
              <w:top w:val="single" w:sz="8" w:color="auto"/>
            </w:tcBorders>
            <w:shd w:val="clear" w:color="auto" w:fill="E5FFFF"/>
          </w:tcPr>
          <w:p>
            <w:pPr>
              <w:spacing w:after="0"/>
              <w:rPr>
                <w:sz w:val="20"/>
                <w:szCs w:val="20"/>
                <w:color w:val="auto"/>
              </w:rPr>
            </w:pPr>
          </w:p>
        </w:tc>
        <w:tc>
          <w:tcPr>
            <w:tcW w:w="4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40" w:type="dxa"/>
            <w:vAlign w:val="bottom"/>
            <w:tcBorders>
              <w:top w:val="single" w:sz="8" w:color="auto"/>
            </w:tcBorders>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80" w:type="dxa"/>
            <w:vAlign w:val="bottom"/>
            <w:tcBorders>
              <w:top w:val="single" w:sz="8" w:color="auto"/>
            </w:tcBorders>
            <w:shd w:val="clear" w:color="auto" w:fill="E5FFFF"/>
          </w:tcPr>
          <w:p>
            <w:pPr>
              <w:spacing w:after="0"/>
              <w:rPr>
                <w:sz w:val="20"/>
                <w:szCs w:val="20"/>
                <w:color w:val="auto"/>
              </w:rPr>
            </w:pPr>
          </w:p>
        </w:tc>
        <w:tc>
          <w:tcPr>
            <w:tcW w:w="780" w:type="dxa"/>
            <w:vAlign w:val="bottom"/>
            <w:tcBorders>
              <w:top w:val="single" w:sz="8" w:color="auto"/>
              <w:right w:val="single" w:sz="8" w:color="E5FFFF"/>
            </w:tcBorders>
            <w:gridSpan w:val="4"/>
            <w:shd w:val="clear" w:color="auto" w:fill="E5FFFF"/>
          </w:tcPr>
          <w:p>
            <w:pPr>
              <w:jc w:val="right"/>
              <w:ind w:right="141"/>
              <w:spacing w:after="0"/>
              <w:rPr>
                <w:sz w:val="20"/>
                <w:szCs w:val="20"/>
                <w:color w:val="auto"/>
              </w:rPr>
            </w:pPr>
            <w:r>
              <w:rPr>
                <w:rFonts w:ascii="Arial" w:cs="Arial" w:eastAsia="Arial" w:hAnsi="Arial"/>
                <w:sz w:val="19"/>
                <w:szCs w:val="19"/>
                <w:color w:val="auto"/>
              </w:rPr>
              <w:t>(6)%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4"/>
          </w:tcPr>
          <w:p>
            <w:pPr>
              <w:jc w:val="right"/>
              <w:ind w:right="5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6"/>
          </w:tcPr>
          <w:p>
            <w:pPr>
              <w:jc w:val="right"/>
              <w:ind w:right="720"/>
              <w:spacing w:after="0"/>
              <w:rPr>
                <w:sz w:val="20"/>
                <w:szCs w:val="20"/>
                <w:color w:val="auto"/>
              </w:rPr>
            </w:pPr>
            <w:r>
              <w:rPr>
                <w:rFonts w:ascii="Arial" w:cs="Arial" w:eastAsia="Arial" w:hAnsi="Arial"/>
                <w:sz w:val="19"/>
                <w:szCs w:val="19"/>
                <w:color w:val="auto"/>
              </w:rPr>
              <w:t>—</w:t>
            </w:r>
          </w:p>
        </w:tc>
        <w:tc>
          <w:tcPr>
            <w:tcW w:w="480" w:type="dxa"/>
            <w:vAlign w:val="bottom"/>
            <w:gridSpan w:val="2"/>
          </w:tcPr>
          <w:p>
            <w:pPr>
              <w:jc w:val="right"/>
              <w:ind w:right="155"/>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ind w:right="141"/>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900" w:type="dxa"/>
            <w:vAlign w:val="bottom"/>
            <w:shd w:val="clear" w:color="auto" w:fill="E5FFFF"/>
          </w:tcPr>
          <w:p>
            <w:pPr>
              <w:spacing w:after="0"/>
              <w:rPr>
                <w:sz w:val="20"/>
                <w:szCs w:val="20"/>
                <w:color w:val="auto"/>
              </w:rPr>
            </w:pPr>
            <w:r>
              <w:rPr>
                <w:rFonts w:ascii="Arial" w:cs="Arial" w:eastAsia="Arial" w:hAnsi="Arial"/>
                <w:sz w:val="19"/>
                <w:szCs w:val="19"/>
                <w:color w:val="auto"/>
              </w:rPr>
              <w:t>Acquisitions, divestitures and other, net</w:t>
            </w: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54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(2)%</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(1)%</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gridSpan w:val="2"/>
            <w:shd w:val="clear" w:color="auto" w:fill="E5FFFF"/>
          </w:tcPr>
          <w:p>
            <w:pPr>
              <w:jc w:val="right"/>
              <w:ind w:right="155"/>
              <w:spacing w:after="0"/>
              <w:rPr>
                <w:sz w:val="20"/>
                <w:szCs w:val="20"/>
                <w:color w:val="auto"/>
              </w:rPr>
            </w:pPr>
            <w:r>
              <w:rPr>
                <w:rFonts w:ascii="Arial" w:cs="Arial" w:eastAsia="Arial" w:hAnsi="Arial"/>
                <w:sz w:val="19"/>
                <w:szCs w:val="19"/>
                <w:color w:val="auto"/>
              </w:rPr>
              <w:t>—</w:t>
            </w:r>
          </w:p>
        </w:tc>
        <w:tc>
          <w:tcPr>
            <w:tcW w:w="40" w:type="dxa"/>
            <w:vAlign w:val="bottom"/>
            <w:tcBorders>
              <w:bottom w:val="single" w:sz="8" w:color="auto"/>
            </w:tcBorders>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right w:val="single" w:sz="8" w:color="E5FFFF"/>
            </w:tcBorders>
            <w:gridSpan w:val="3"/>
            <w:shd w:val="clear" w:color="auto" w:fill="E5FFFF"/>
          </w:tcPr>
          <w:p>
            <w:pPr>
              <w:jc w:val="right"/>
              <w:ind w:right="381"/>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4"/>
          </w:tcPr>
          <w:p>
            <w:pPr>
              <w:jc w:val="right"/>
              <w:ind w:right="520"/>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9"/>
                <w:szCs w:val="19"/>
                <w:color w:val="auto"/>
              </w:rPr>
              <w:t>10%</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4"/>
          </w:tcPr>
          <w:p>
            <w:pPr>
              <w:jc w:val="right"/>
              <w:ind w:right="141"/>
              <w:spacing w:after="0"/>
              <w:rPr>
                <w:sz w:val="20"/>
                <w:szCs w:val="20"/>
                <w:color w:val="auto"/>
              </w:rPr>
            </w:pPr>
            <w:r>
              <w:rPr>
                <w:rFonts w:ascii="Arial" w:cs="Arial" w:eastAsia="Arial" w:hAnsi="Arial"/>
                <w:sz w:val="19"/>
                <w:szCs w:val="19"/>
                <w:color w:val="auto"/>
              </w:rPr>
              <w:t>(7)%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40" w:type="dxa"/>
            <w:vAlign w:val="bottom"/>
            <w:gridSpan w:val="2"/>
            <w:vMerge w:val="restart"/>
          </w:tcPr>
          <w:p>
            <w:pPr>
              <w:jc w:val="right"/>
              <w:ind w:right="127"/>
              <w:spacing w:after="0"/>
              <w:rPr>
                <w:sz w:val="20"/>
                <w:szCs w:val="20"/>
                <w:color w:val="auto"/>
              </w:rPr>
            </w:pPr>
            <w:r>
              <w:rPr>
                <w:rFonts w:ascii="Arial" w:cs="Arial" w:eastAsia="Arial" w:hAnsi="Arial"/>
                <w:sz w:val="19"/>
                <w:szCs w:val="19"/>
                <w:color w:val="auto"/>
              </w:rPr>
              <w:t>21</w:t>
            </w: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24" w:name="page25"/>
    <w:bookmarkEnd w:id="24"/>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Aerospace sales were flat due to organic sales growth, offset by the government services business divestiture.</w:t>
      </w:r>
    </w:p>
    <w:p>
      <w:pPr>
        <w:spacing w:after="0" w:line="92" w:lineRule="exact"/>
        <w:rPr>
          <w:sz w:val="20"/>
          <w:szCs w:val="20"/>
          <w:color w:val="auto"/>
        </w:rPr>
      </w:pPr>
    </w:p>
    <w:p>
      <w:pPr>
        <w:ind w:left="540" w:right="10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Commercial Original Equipment sales decreased 2% (decreased 2% organic) primarily due to lower shipments to business jet OEMs, partially offset by lower air transport and regional OEM incentives.</w:t>
      </w:r>
    </w:p>
    <w:p>
      <w:pPr>
        <w:spacing w:after="0" w:line="52" w:lineRule="exact"/>
        <w:rPr>
          <w:rFonts w:ascii="Arial" w:cs="Arial" w:eastAsia="Arial" w:hAnsi="Arial"/>
          <w:sz w:val="19"/>
          <w:szCs w:val="19"/>
          <w:color w:val="auto"/>
        </w:rPr>
      </w:pPr>
    </w:p>
    <w:p>
      <w:pPr>
        <w:ind w:left="540" w:right="26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Commercial Aftermarket sales increased 6% (increased 6% organic) primarily driven by higher repair and overhaul activities and increased spares shipments.</w:t>
      </w:r>
    </w:p>
    <w:p>
      <w:pPr>
        <w:spacing w:after="0" w:line="66" w:lineRule="exact"/>
        <w:rPr>
          <w:rFonts w:ascii="Arial" w:cs="Arial" w:eastAsia="Arial" w:hAnsi="Arial"/>
          <w:sz w:val="19"/>
          <w:szCs w:val="19"/>
          <w:color w:val="auto"/>
        </w:rPr>
      </w:pPr>
    </w:p>
    <w:p>
      <w:pPr>
        <w:ind w:left="540" w:right="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Defense and Space sales decreased 7% (increased 1% organic) primarily due to the government services business divestiture and lower Space sales, partially offset by growth in U.S. defense.</w:t>
      </w:r>
    </w:p>
    <w:p>
      <w:pPr>
        <w:spacing w:after="0" w:line="66" w:lineRule="exact"/>
        <w:rPr>
          <w:rFonts w:ascii="Arial" w:cs="Arial" w:eastAsia="Arial" w:hAnsi="Arial"/>
          <w:sz w:val="19"/>
          <w:szCs w:val="19"/>
          <w:color w:val="auto"/>
        </w:rPr>
      </w:pPr>
    </w:p>
    <w:p>
      <w:pPr>
        <w:ind w:left="540" w:right="8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Transportation Systems sales increased 3% (increased 2% organic) primarily driven by higher commercial vehicle volumes, gas turbo penetration and the favorable impact from foreign currency translation, partially offset by lower diesel turbo volumes.</w:t>
      </w:r>
    </w:p>
    <w:p>
      <w:pPr>
        <w:spacing w:after="0" w:line="93"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Aerospace segment profit increased due to an increase in operational segment profit, partially offset by the government services business divestiture. The increase in operational segment profit was driven primarily by productivity, net of inflation, including restructuring benefits, lower OEM incentives and higher organic sales volume, partially offset by the government services business divestiture. Cost of products and services sold decreased primarily driven by the government services business divestiture and productivity, net of inflation, partially offset by higher organic sales volume.</w:t>
      </w:r>
    </w:p>
    <w:p>
      <w:pPr>
        <w:spacing w:after="0" w:line="27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2016 compared with 2015</w:t>
      </w:r>
    </w:p>
    <w:p>
      <w:pPr>
        <w:spacing w:after="0" w:line="130"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Aerospace sales decreased primarily due to higher OEM incentives, a decrease in organic sales volumes and the government services business divestiture, which was partially offset by growth from acquisitions.</w:t>
      </w:r>
    </w:p>
    <w:p>
      <w:pPr>
        <w:spacing w:after="0" w:line="66" w:lineRule="exact"/>
        <w:rPr>
          <w:sz w:val="20"/>
          <w:szCs w:val="20"/>
          <w:color w:val="auto"/>
        </w:rPr>
      </w:pPr>
    </w:p>
    <w:p>
      <w:pPr>
        <w:ind w:left="540" w:right="380" w:hanging="168"/>
        <w:spacing w:after="0" w:line="245"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Original Equipment sales decreased by 13% (decreased 12% organic) primarily due to higher OEM incentives and decreased demand from business and general aviation original equipment manufacturers, partially offset by higher shipments to air transport OEMs.</w:t>
      </w:r>
    </w:p>
    <w:p>
      <w:pPr>
        <w:spacing w:after="0" w:line="7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Aftermarket sales increased by 3% (increased 3% organic) primarily driven by higher repair and overhaul activities and increased spares shipments.</w:t>
      </w:r>
    </w:p>
    <w:p>
      <w:pPr>
        <w:spacing w:after="0" w:line="66" w:lineRule="exact"/>
        <w:rPr>
          <w:rFonts w:ascii="Arial" w:cs="Arial" w:eastAsia="Arial" w:hAnsi="Arial"/>
          <w:sz w:val="19"/>
          <w:szCs w:val="19"/>
          <w:color w:val="auto"/>
        </w:rPr>
      </w:pPr>
    </w:p>
    <w:p>
      <w:pPr>
        <w:jc w:val="both"/>
        <w:ind w:left="540" w:right="160" w:hanging="168"/>
        <w:spacing w:after="0" w:line="245"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Defense and Space sales decreased by 7% (decreased 6% organic) primarily due to declines in U.S. space and international defense programs, lower U.S. government services revenue, largely attributable to the impact of divestitures, and decreased demand from commercial helicopter OEMs, partially offset by sales from acquisitions.</w:t>
      </w:r>
    </w:p>
    <w:p>
      <w:pPr>
        <w:spacing w:after="0" w:line="73" w:lineRule="exact"/>
        <w:rPr>
          <w:rFonts w:ascii="Arial" w:cs="Arial" w:eastAsia="Arial" w:hAnsi="Arial"/>
          <w:sz w:val="19"/>
          <w:szCs w:val="19"/>
          <w:color w:val="auto"/>
        </w:rPr>
      </w:pPr>
    </w:p>
    <w:p>
      <w:pPr>
        <w:ind w:left="540" w:right="22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Transportation Systems sales increased by 3% (increased 4% organic) primarily driven by new platform launches and higher global turbo gas penetration.</w:t>
      </w:r>
    </w:p>
    <w:p>
      <w:pPr>
        <w:spacing w:after="0" w:line="80"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Aerospace segment profit decreased primarily due to a 6% decrease in operational segment profit and a 1% unfavorable impact from foreign currency translation. The decrease in operational segment profit was primarily due to product mix, higher OEM incentives and lower sales volumes, partially offset by productivity and price, net of inflation. Cost of products and services sold decreased primarily driven by productivity, net of inflation, and lower sales volumes, partially offset by acquisitions, net of divestitures.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Home and Building Technologies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37"/>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2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$ 9,777</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$ 9,490</w:t>
            </w:r>
          </w:p>
        </w:tc>
        <w:tc>
          <w:tcPr>
            <w:tcW w:w="1000" w:type="dxa"/>
            <w:vAlign w:val="bottom"/>
            <w:gridSpan w:val="2"/>
            <w:shd w:val="clear" w:color="auto" w:fill="E5FFFF"/>
          </w:tcPr>
          <w:p>
            <w:pPr>
              <w:jc w:val="center"/>
              <w:ind w:left="183"/>
              <w:spacing w:after="0"/>
              <w:rPr>
                <w:sz w:val="20"/>
                <w:szCs w:val="20"/>
                <w:color w:val="auto"/>
              </w:rPr>
            </w:pPr>
            <w:r>
              <w:rPr>
                <w:rFonts w:ascii="Arial" w:cs="Arial" w:eastAsia="Arial" w:hAnsi="Arial"/>
                <w:sz w:val="19"/>
                <w:szCs w:val="19"/>
                <w:color w:val="auto"/>
              </w:rPr>
              <w:t>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ind w:left="60"/>
              <w:spacing w:after="0"/>
              <w:rPr>
                <w:sz w:val="20"/>
                <w:szCs w:val="20"/>
                <w:color w:val="auto"/>
              </w:rPr>
            </w:pPr>
            <w:r>
              <w:rPr>
                <w:rFonts w:ascii="Arial" w:cs="Arial" w:eastAsia="Arial" w:hAnsi="Arial"/>
                <w:sz w:val="19"/>
                <w:szCs w:val="19"/>
                <w:color w:val="auto"/>
              </w:rPr>
              <w:t>9,026</w:t>
            </w:r>
          </w:p>
        </w:tc>
        <w:tc>
          <w:tcPr>
            <w:tcW w:w="104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2120" w:type="dxa"/>
            <w:vAlign w:val="bottom"/>
            <w:gridSpan w:val="2"/>
          </w:tcPr>
          <w:p>
            <w:pPr>
              <w:jc w:val="right"/>
              <w:spacing w:after="0"/>
              <w:rPr>
                <w:sz w:val="20"/>
                <w:szCs w:val="20"/>
                <w:color w:val="auto"/>
              </w:rPr>
            </w:pPr>
            <w:r>
              <w:rPr>
                <w:rFonts w:ascii="Arial" w:cs="Arial" w:eastAsia="Arial" w:hAnsi="Arial"/>
                <w:sz w:val="19"/>
                <w:szCs w:val="19"/>
                <w:color w:val="auto"/>
              </w:rPr>
              <w:t>6,430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6,152</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60"/>
              <w:spacing w:after="0"/>
              <w:rPr>
                <w:sz w:val="20"/>
                <w:szCs w:val="20"/>
                <w:color w:val="auto"/>
              </w:rPr>
            </w:pPr>
            <w:r>
              <w:rPr>
                <w:rFonts w:ascii="Arial" w:cs="Arial" w:eastAsia="Arial" w:hAnsi="Arial"/>
                <w:sz w:val="19"/>
                <w:szCs w:val="19"/>
                <w:color w:val="auto"/>
              </w:rPr>
              <w:t>5,859</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138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1,697</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1,717</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ind w:left="60"/>
              <w:spacing w:after="0"/>
              <w:rPr>
                <w:sz w:val="20"/>
                <w:szCs w:val="20"/>
                <w:color w:val="auto"/>
              </w:rPr>
            </w:pPr>
            <w:r>
              <w:rPr>
                <w:rFonts w:ascii="Arial" w:cs="Arial" w:eastAsia="Arial" w:hAnsi="Arial"/>
                <w:sz w:val="19"/>
                <w:szCs w:val="19"/>
                <w:color w:val="auto"/>
              </w:rPr>
              <w:t>1,675</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9"/>
                <w:szCs w:val="19"/>
                <w:color w:val="auto"/>
              </w:rPr>
              <w:t>Segment profit</w:t>
            </w:r>
          </w:p>
        </w:tc>
        <w:tc>
          <w:tcPr>
            <w:tcW w:w="2120" w:type="dxa"/>
            <w:vAlign w:val="bottom"/>
            <w:gridSpan w:val="2"/>
          </w:tcPr>
          <w:p>
            <w:pPr>
              <w:jc w:val="right"/>
              <w:spacing w:after="0"/>
              <w:rPr>
                <w:sz w:val="20"/>
                <w:szCs w:val="20"/>
                <w:color w:val="auto"/>
              </w:rPr>
            </w:pPr>
            <w:r>
              <w:rPr>
                <w:rFonts w:ascii="Arial" w:cs="Arial" w:eastAsia="Arial" w:hAnsi="Arial"/>
                <w:sz w:val="19"/>
                <w:szCs w:val="19"/>
                <w:color w:val="auto"/>
              </w:rPr>
              <w:t>$ 1,650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$ 1,621</w:t>
            </w:r>
          </w:p>
        </w:tc>
        <w:tc>
          <w:tcPr>
            <w:tcW w:w="1000" w:type="dxa"/>
            <w:vAlign w:val="bottom"/>
            <w:gridSpan w:val="2"/>
          </w:tcPr>
          <w:p>
            <w:pPr>
              <w:jc w:val="center"/>
              <w:ind w:left="183"/>
              <w:spacing w:after="0"/>
              <w:rPr>
                <w:sz w:val="20"/>
                <w:szCs w:val="20"/>
                <w:color w:val="auto"/>
              </w:rPr>
            </w:pPr>
            <w:r>
              <w:rPr>
                <w:rFonts w:ascii="Arial" w:cs="Arial" w:eastAsia="Arial" w:hAnsi="Arial"/>
                <w:sz w:val="19"/>
                <w:szCs w:val="19"/>
                <w:color w:val="auto"/>
              </w:rPr>
              <w:t>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ind w:left="60"/>
              <w:spacing w:after="0"/>
              <w:rPr>
                <w:sz w:val="20"/>
                <w:szCs w:val="20"/>
                <w:color w:val="auto"/>
              </w:rPr>
            </w:pPr>
            <w:r>
              <w:rPr>
                <w:rFonts w:ascii="Arial" w:cs="Arial" w:eastAsia="Arial" w:hAnsi="Arial"/>
                <w:sz w:val="19"/>
                <w:szCs w:val="19"/>
                <w:color w:val="auto"/>
              </w:rPr>
              <w:t>1,492</w:t>
            </w:r>
          </w:p>
        </w:tc>
        <w:tc>
          <w:tcPr>
            <w:tcW w:w="1040" w:type="dxa"/>
            <w:vAlign w:val="bottom"/>
            <w:gridSpan w:val="2"/>
          </w:tcPr>
          <w:p>
            <w:pPr>
              <w:jc w:val="center"/>
              <w:ind w:left="223"/>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vMerge w:val="restart"/>
          </w:tcPr>
          <w:p>
            <w:pPr>
              <w:jc w:val="right"/>
              <w:ind w:right="623"/>
              <w:spacing w:after="0"/>
              <w:rPr>
                <w:sz w:val="20"/>
                <w:szCs w:val="20"/>
                <w:color w:val="auto"/>
              </w:rPr>
            </w:pPr>
            <w:r>
              <w:rPr>
                <w:rFonts w:ascii="Arial" w:cs="Arial" w:eastAsia="Arial" w:hAnsi="Arial"/>
                <w:sz w:val="19"/>
                <w:szCs w:val="19"/>
                <w:color w:val="auto"/>
              </w:rPr>
              <w:t>22</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5" w:name="page26"/>
    <w:bookmarkEnd w:id="25"/>
    <w:tbl>
      <w:tblPr>
        <w:tblLayout w:type="fixed"/>
        <w:tblInd w:w="5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6"/>
                <w:szCs w:val="16"/>
                <w:b w:val="1"/>
                <w:bCs w:val="1"/>
                <w:color w:val="auto"/>
              </w:rPr>
              <w:t>2017 vs. 2016</w:t>
            </w: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2016 vs. 2015</w:t>
            </w:r>
          </w:p>
        </w:tc>
      </w:tr>
      <w:tr>
        <w:trPr>
          <w:trHeight w:val="155"/>
        </w:trPr>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5"/>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Profit</w:t>
            </w:r>
          </w:p>
        </w:tc>
      </w:tr>
      <w:tr>
        <w:trPr>
          <w:trHeight w:val="237"/>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120" w:type="dxa"/>
            <w:vAlign w:val="bottom"/>
            <w:gridSpan w:val="2"/>
            <w:shd w:val="clear" w:color="auto" w:fill="E5FFFF"/>
          </w:tcPr>
          <w:p>
            <w:pPr>
              <w:jc w:val="right"/>
              <w:ind w:right="95"/>
              <w:spacing w:after="0"/>
              <w:rPr>
                <w:sz w:val="20"/>
                <w:szCs w:val="20"/>
                <w:color w:val="auto"/>
              </w:rPr>
            </w:pPr>
            <w:r>
              <w:rPr>
                <w:rFonts w:ascii="Arial" w:cs="Arial" w:eastAsia="Arial" w:hAnsi="Arial"/>
                <w:sz w:val="19"/>
                <w:szCs w:val="19"/>
                <w:color w:val="auto"/>
              </w:rPr>
              <w:t>1%</w:t>
            </w:r>
          </w:p>
        </w:tc>
        <w:tc>
          <w:tcPr>
            <w:tcW w:w="84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5%</w:t>
            </w:r>
          </w:p>
        </w:tc>
        <w:tc>
          <w:tcPr>
            <w:tcW w:w="1160" w:type="dxa"/>
            <w:vAlign w:val="bottom"/>
            <w:gridSpan w:val="2"/>
            <w:shd w:val="clear" w:color="auto" w:fill="E5FFFF"/>
          </w:tcPr>
          <w:p>
            <w:pPr>
              <w:jc w:val="right"/>
              <w:ind w:right="215"/>
              <w:spacing w:after="0"/>
              <w:rPr>
                <w:sz w:val="20"/>
                <w:szCs w:val="20"/>
                <w:color w:val="auto"/>
              </w:rPr>
            </w:pPr>
            <w:r>
              <w:rPr>
                <w:rFonts w:ascii="Arial" w:cs="Arial" w:eastAsia="Arial" w:hAnsi="Arial"/>
                <w:sz w:val="19"/>
                <w:szCs w:val="19"/>
                <w:color w:val="auto"/>
              </w:rPr>
              <w:t>8%</w:t>
            </w:r>
          </w:p>
        </w:tc>
      </w:tr>
      <w:tr>
        <w:trPr>
          <w:trHeight w:val="243"/>
        </w:trPr>
        <w:tc>
          <w:tcPr>
            <w:tcW w:w="65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00" w:type="dxa"/>
            <w:vAlign w:val="bottom"/>
          </w:tcPr>
          <w:p>
            <w:pPr>
              <w:spacing w:after="0"/>
              <w:rPr>
                <w:sz w:val="21"/>
                <w:szCs w:val="21"/>
                <w:color w:val="auto"/>
              </w:rPr>
            </w:pPr>
          </w:p>
        </w:tc>
        <w:tc>
          <w:tcPr>
            <w:tcW w:w="48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95"/>
              <w:spacing w:after="0"/>
              <w:rPr>
                <w:sz w:val="20"/>
                <w:szCs w:val="20"/>
                <w:color w:val="auto"/>
              </w:rPr>
            </w:pPr>
            <w:r>
              <w:rPr>
                <w:rFonts w:ascii="Arial" w:cs="Arial" w:eastAsia="Arial" w:hAnsi="Arial"/>
                <w:sz w:val="19"/>
                <w:szCs w:val="19"/>
                <w:color w:val="auto"/>
              </w:rPr>
              <w:t>1%</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1160" w:type="dxa"/>
            <w:vAlign w:val="bottom"/>
            <w:gridSpan w:val="2"/>
          </w:tcPr>
          <w:p>
            <w:pPr>
              <w:jc w:val="right"/>
              <w:ind w:right="155"/>
              <w:spacing w:after="0"/>
              <w:rPr>
                <w:sz w:val="20"/>
                <w:szCs w:val="20"/>
                <w:color w:val="auto"/>
              </w:rPr>
            </w:pPr>
            <w:r>
              <w:rPr>
                <w:rFonts w:ascii="Arial" w:cs="Arial" w:eastAsia="Arial" w:hAnsi="Arial"/>
                <w:sz w:val="19"/>
                <w:szCs w:val="19"/>
                <w:color w:val="auto"/>
              </w:rPr>
              <w:t>(2)%</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00" w:type="dxa"/>
            <w:vAlign w:val="bottom"/>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ind w:right="27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35"/>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215"/>
              <w:spacing w:after="0"/>
              <w:rPr>
                <w:sz w:val="20"/>
                <w:szCs w:val="20"/>
                <w:color w:val="auto"/>
              </w:rPr>
            </w:pPr>
            <w:r>
              <w:rPr>
                <w:rFonts w:ascii="Arial" w:cs="Arial" w:eastAsia="Arial" w:hAnsi="Arial"/>
                <w:sz w:val="19"/>
                <w:szCs w:val="19"/>
                <w:color w:val="auto"/>
              </w:rPr>
              <w:t>3%</w:t>
            </w:r>
          </w:p>
        </w:tc>
      </w:tr>
      <w:tr>
        <w:trPr>
          <w:trHeight w:val="250"/>
        </w:trPr>
        <w:tc>
          <w:tcPr>
            <w:tcW w:w="65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1120" w:type="dxa"/>
            <w:vAlign w:val="bottom"/>
            <w:gridSpan w:val="2"/>
          </w:tcPr>
          <w:p>
            <w:pPr>
              <w:jc w:val="right"/>
              <w:ind w:right="95"/>
              <w:spacing w:after="0"/>
              <w:rPr>
                <w:sz w:val="20"/>
                <w:szCs w:val="20"/>
                <w:color w:val="auto"/>
              </w:rPr>
            </w:pPr>
            <w:r>
              <w:rPr>
                <w:rFonts w:ascii="Arial" w:cs="Arial" w:eastAsia="Arial" w:hAnsi="Arial"/>
                <w:sz w:val="19"/>
                <w:szCs w:val="19"/>
                <w:color w:val="auto"/>
              </w:rPr>
              <w:t>2%</w:t>
            </w:r>
          </w:p>
        </w:tc>
        <w:tc>
          <w:tcPr>
            <w:tcW w:w="840" w:type="dxa"/>
            <w:vAlign w:val="bottom"/>
            <w:gridSpan w:val="2"/>
          </w:tcPr>
          <w:p>
            <w:pPr>
              <w:jc w:val="right"/>
              <w:ind w:right="35"/>
              <w:spacing w:after="0"/>
              <w:rPr>
                <w:sz w:val="20"/>
                <w:szCs w:val="20"/>
                <w:color w:val="auto"/>
              </w:rPr>
            </w:pPr>
            <w:r>
              <w:rPr>
                <w:rFonts w:ascii="Arial" w:cs="Arial" w:eastAsia="Arial" w:hAnsi="Arial"/>
                <w:sz w:val="19"/>
                <w:szCs w:val="19"/>
                <w:color w:val="auto"/>
              </w:rPr>
              <w:t>5%</w:t>
            </w:r>
          </w:p>
        </w:tc>
        <w:tc>
          <w:tcPr>
            <w:tcW w:w="1160" w:type="dxa"/>
            <w:vAlign w:val="bottom"/>
            <w:gridSpan w:val="2"/>
          </w:tcPr>
          <w:p>
            <w:pPr>
              <w:jc w:val="right"/>
              <w:ind w:right="215"/>
              <w:spacing w:after="0"/>
              <w:rPr>
                <w:sz w:val="20"/>
                <w:szCs w:val="20"/>
                <w:color w:val="auto"/>
              </w:rPr>
            </w:pPr>
            <w:r>
              <w:rPr>
                <w:rFonts w:ascii="Arial" w:cs="Arial" w:eastAsia="Arial" w:hAnsi="Arial"/>
                <w:sz w:val="19"/>
                <w:szCs w:val="19"/>
                <w:color w:val="auto"/>
              </w:rPr>
              <w:t>9%</w:t>
            </w:r>
          </w:p>
        </w:tc>
      </w:tr>
      <w:tr>
        <w:trPr>
          <w:trHeight w:val="20"/>
        </w:trPr>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Home and Building Technologies sales increased primarily due to an increase in organic sales, pricing, and acquisitions.</w:t>
      </w:r>
    </w:p>
    <w:p>
      <w:pPr>
        <w:spacing w:after="0" w:line="92" w:lineRule="exact"/>
        <w:rPr>
          <w:sz w:val="20"/>
          <w:szCs w:val="20"/>
          <w:color w:val="auto"/>
        </w:rPr>
      </w:pPr>
    </w:p>
    <w:p>
      <w:pPr>
        <w:ind w:left="540" w:right="80" w:hanging="168"/>
        <w:spacing w:after="0" w:line="245"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Home and Building Products increased by 3% (increased 2% organic) due to an increase in organic sales growth and acquisitions. Organic sales growth was primarily attributable to sales volume in Environmental &amp; Energy Solutions, and Security and Fire businesses.</w:t>
      </w:r>
    </w:p>
    <w:p>
      <w:pPr>
        <w:spacing w:after="0" w:line="60" w:lineRule="exact"/>
        <w:rPr>
          <w:rFonts w:ascii="Arial" w:cs="Arial" w:eastAsia="Arial" w:hAnsi="Arial"/>
          <w:sz w:val="19"/>
          <w:szCs w:val="19"/>
          <w:color w:val="auto"/>
        </w:rPr>
      </w:pPr>
    </w:p>
    <w:p>
      <w:pPr>
        <w:ind w:left="540" w:right="420" w:hanging="168"/>
        <w:spacing w:after="0" w:line="25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Sales in Home and Building Distribution increased by 3% (increased 3% organic) due to organic sales growth in the global distribution business and Building Solutions.</w:t>
      </w:r>
    </w:p>
    <w:p>
      <w:pPr>
        <w:spacing w:after="0" w:line="80"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Home and Building Technologies segment profit increased due to an increase in operational segment profit and the favorable impact of foreign currency translation. The increase in operational segment profit was primarily driven by productivity, net of inflation, and pricing, partially offset by unfavorable product mix. Cost of products and services increased due to higher organic sales and acquisitions.</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2016 compared with 2015</w:t>
      </w:r>
    </w:p>
    <w:p>
      <w:pPr>
        <w:spacing w:after="0" w:line="130" w:lineRule="exact"/>
        <w:rPr>
          <w:sz w:val="20"/>
          <w:szCs w:val="20"/>
          <w:color w:val="auto"/>
        </w:rPr>
      </w:pPr>
    </w:p>
    <w:p>
      <w:pPr>
        <w:ind w:right="380" w:firstLine="357"/>
        <w:spacing w:after="0" w:line="253" w:lineRule="auto"/>
        <w:rPr>
          <w:sz w:val="20"/>
          <w:szCs w:val="20"/>
          <w:color w:val="auto"/>
        </w:rPr>
      </w:pPr>
      <w:r>
        <w:rPr>
          <w:rFonts w:ascii="Arial" w:cs="Arial" w:eastAsia="Arial" w:hAnsi="Arial"/>
          <w:sz w:val="19"/>
          <w:szCs w:val="19"/>
          <w:color w:val="auto"/>
        </w:rPr>
        <w:t>Home and Building Technologies sales increased primarily due to growth from organic sales growth and acquisitions partially offset by the unfavorable impact of foreign currency translation.</w:t>
      </w:r>
    </w:p>
    <w:p>
      <w:pPr>
        <w:spacing w:after="0" w:line="66" w:lineRule="exact"/>
        <w:rPr>
          <w:sz w:val="20"/>
          <w:szCs w:val="20"/>
          <w:color w:val="auto"/>
        </w:rPr>
      </w:pPr>
    </w:p>
    <w:p>
      <w:pPr>
        <w:ind w:left="540" w:right="180" w:hanging="16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Home and Building Products increased by 5% (increased 2% organic) principally driven by organic sales growth and acquisitions. Organic sales growth was primarily attributable to new product introductions in our Environmental and Energy Solutions business and volume growth in our Security and Fire business.</w:t>
      </w:r>
    </w:p>
    <w:p>
      <w:pPr>
        <w:spacing w:after="0" w:line="73" w:lineRule="exact"/>
        <w:rPr>
          <w:rFonts w:ascii="Arial" w:cs="Arial" w:eastAsia="Arial" w:hAnsi="Arial"/>
          <w:sz w:val="19"/>
          <w:szCs w:val="19"/>
          <w:color w:val="auto"/>
        </w:rPr>
      </w:pPr>
    </w:p>
    <w:p>
      <w:pPr>
        <w:ind w:left="540" w:right="180" w:hanging="16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Sales in Home and Building Distribution increased by 5% (increased 7% organic) principally due to organic sales growth partially offset by the unfavorable impact of foreign currency translation. Organic sales growth was primarily driven by volume in our global distribution business and Building Solutions.</w:t>
      </w:r>
    </w:p>
    <w:p>
      <w:pPr>
        <w:spacing w:after="0" w:line="87"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Home and Building Technologies segment profit increased primarily due to an increase in operational segment profit and acquisition partially offset by the unfavorable impact of foreign currency translation. The increase in operational segment profit was primarily driven by productivity net of inflation and pricing. Cost of products and services increased due to growth from organic sales and acquisitions, partially offset by the favorable impact of foreign currency translation and productivity, net of inflation.</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37"/>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2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10,339</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10,436</w:t>
            </w:r>
          </w:p>
        </w:tc>
        <w:tc>
          <w:tcPr>
            <w:tcW w:w="10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$ 9,610</w:t>
            </w:r>
          </w:p>
        </w:tc>
        <w:tc>
          <w:tcPr>
            <w:tcW w:w="104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6,764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6,978</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6,516</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11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1,369</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1,346</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1,084</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9"/>
                <w:szCs w:val="19"/>
                <w:color w:val="auto"/>
              </w:rPr>
              <w:t>Segment profit</w:t>
            </w:r>
          </w:p>
        </w:tc>
        <w:tc>
          <w:tcPr>
            <w:tcW w:w="1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2,206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2,112</w:t>
            </w:r>
          </w:p>
        </w:tc>
        <w:tc>
          <w:tcPr>
            <w:tcW w:w="1000" w:type="dxa"/>
            <w:vAlign w:val="bottom"/>
            <w:gridSpan w:val="2"/>
          </w:tcPr>
          <w:p>
            <w:pPr>
              <w:jc w:val="right"/>
              <w:ind w:right="121"/>
              <w:spacing w:after="0"/>
              <w:rPr>
                <w:sz w:val="20"/>
                <w:szCs w:val="20"/>
                <w:color w:val="auto"/>
              </w:rPr>
            </w:pPr>
            <w:r>
              <w:rPr>
                <w:rFonts w:ascii="Arial" w:cs="Arial" w:eastAsia="Arial" w:hAnsi="Arial"/>
                <w:sz w:val="19"/>
                <w:szCs w:val="19"/>
                <w:color w:val="auto"/>
              </w:rPr>
              <w:t>4%</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$ 2,010</w:t>
            </w:r>
          </w:p>
        </w:tc>
        <w:tc>
          <w:tcPr>
            <w:tcW w:w="1040" w:type="dxa"/>
            <w:vAlign w:val="bottom"/>
            <w:gridSpan w:val="2"/>
          </w:tcPr>
          <w:p>
            <w:pPr>
              <w:jc w:val="center"/>
              <w:ind w:left="223"/>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00" w:type="dxa"/>
            <w:vAlign w:val="bottom"/>
            <w:vMerge w:val="restart"/>
          </w:tcPr>
          <w:p>
            <w:pPr>
              <w:jc w:val="right"/>
              <w:ind w:right="343"/>
              <w:spacing w:after="0"/>
              <w:rPr>
                <w:sz w:val="20"/>
                <w:szCs w:val="20"/>
                <w:color w:val="auto"/>
              </w:rPr>
            </w:pPr>
            <w:r>
              <w:rPr>
                <w:rFonts w:ascii="Arial" w:cs="Arial" w:eastAsia="Arial" w:hAnsi="Arial"/>
                <w:sz w:val="19"/>
                <w:szCs w:val="19"/>
                <w:color w:val="auto"/>
              </w:rPr>
              <w:t>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tbl>
      <w:tblPr>
        <w:tblLayout w:type="fixed"/>
        <w:tblInd w:w="50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6"/>
                <w:szCs w:val="16"/>
                <w:b w:val="1"/>
                <w:bCs w:val="1"/>
                <w:color w:val="auto"/>
              </w:rPr>
              <w:t>2017 vs. 2016</w:t>
            </w:r>
          </w:p>
        </w:tc>
        <w:tc>
          <w:tcPr>
            <w:tcW w:w="30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2016 vs. 2015</w:t>
            </w:r>
          </w:p>
        </w:tc>
      </w:tr>
      <w:tr>
        <w:trPr>
          <w:trHeight w:val="155"/>
        </w:trPr>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5"/>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2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Profit</w:t>
            </w:r>
          </w:p>
        </w:tc>
      </w:tr>
      <w:tr>
        <w:trPr>
          <w:trHeight w:val="237"/>
        </w:trPr>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840" w:type="dxa"/>
            <w:vAlign w:val="bottom"/>
            <w:gridSpan w:val="2"/>
            <w:shd w:val="clear" w:color="auto" w:fill="E5FFFF"/>
          </w:tcPr>
          <w:p>
            <w:pPr>
              <w:jc w:val="right"/>
              <w:ind w:right="12"/>
              <w:spacing w:after="0"/>
              <w:rPr>
                <w:sz w:val="20"/>
                <w:szCs w:val="20"/>
                <w:color w:val="auto"/>
              </w:rPr>
            </w:pPr>
            <w:r>
              <w:rPr>
                <w:rFonts w:ascii="Arial" w:cs="Arial" w:eastAsia="Arial" w:hAnsi="Arial"/>
                <w:sz w:val="19"/>
                <w:szCs w:val="19"/>
                <w:color w:val="auto"/>
              </w:rPr>
              <w:t>8%</w:t>
            </w:r>
          </w:p>
        </w:tc>
        <w:tc>
          <w:tcPr>
            <w:tcW w:w="1080" w:type="dxa"/>
            <w:vAlign w:val="bottom"/>
            <w:gridSpan w:val="2"/>
            <w:shd w:val="clear" w:color="auto" w:fill="E5FFFF"/>
          </w:tcPr>
          <w:p>
            <w:pPr>
              <w:jc w:val="right"/>
              <w:ind w:right="132"/>
              <w:spacing w:after="0"/>
              <w:rPr>
                <w:sz w:val="20"/>
                <w:szCs w:val="20"/>
                <w:color w:val="auto"/>
              </w:rPr>
            </w:pPr>
            <w:r>
              <w:rPr>
                <w:rFonts w:ascii="Arial" w:cs="Arial" w:eastAsia="Arial" w:hAnsi="Arial"/>
                <w:sz w:val="19"/>
                <w:szCs w:val="19"/>
                <w:color w:val="auto"/>
              </w:rPr>
              <w:t>10%</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1160" w:type="dxa"/>
            <w:vAlign w:val="bottom"/>
            <w:gridSpan w:val="2"/>
            <w:shd w:val="clear" w:color="auto" w:fill="E5FFFF"/>
          </w:tcPr>
          <w:p>
            <w:pPr>
              <w:jc w:val="right"/>
              <w:ind w:right="215"/>
              <w:spacing w:after="0"/>
              <w:rPr>
                <w:sz w:val="20"/>
                <w:szCs w:val="20"/>
                <w:color w:val="auto"/>
              </w:rPr>
            </w:pPr>
            <w:r>
              <w:rPr>
                <w:rFonts w:ascii="Arial" w:cs="Arial" w:eastAsia="Arial" w:hAnsi="Arial"/>
                <w:sz w:val="19"/>
                <w:szCs w:val="19"/>
                <w:color w:val="auto"/>
              </w:rPr>
              <w:t>2%</w:t>
            </w:r>
          </w:p>
        </w:tc>
      </w:tr>
      <w:tr>
        <w:trPr>
          <w:trHeight w:val="243"/>
        </w:trPr>
        <w:tc>
          <w:tcPr>
            <w:tcW w:w="644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280" w:type="dxa"/>
            <w:vAlign w:val="bottom"/>
          </w:tcPr>
          <w:p>
            <w:pPr>
              <w:spacing w:after="0"/>
              <w:rPr>
                <w:sz w:val="21"/>
                <w:szCs w:val="21"/>
                <w:color w:val="auto"/>
              </w:rPr>
            </w:pPr>
          </w:p>
        </w:tc>
        <w:tc>
          <w:tcPr>
            <w:tcW w:w="560" w:type="dxa"/>
            <w:vAlign w:val="bottom"/>
          </w:tcPr>
          <w:p>
            <w:pPr>
              <w:jc w:val="right"/>
              <w:ind w:right="192"/>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80" w:type="dxa"/>
            <w:vAlign w:val="bottom"/>
          </w:tcPr>
          <w:p>
            <w:pPr>
              <w:jc w:val="right"/>
              <w:ind w:right="292"/>
              <w:spacing w:after="0"/>
              <w:rPr>
                <w:sz w:val="20"/>
                <w:szCs w:val="20"/>
                <w:color w:val="auto"/>
              </w:rPr>
            </w:pPr>
            <w:r>
              <w:rPr>
                <w:rFonts w:ascii="Arial" w:cs="Arial" w:eastAsia="Arial" w:hAnsi="Arial"/>
                <w:sz w:val="19"/>
                <w:szCs w:val="19"/>
                <w:color w:val="auto"/>
              </w:rPr>
              <w:t>—</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160" w:type="dxa"/>
            <w:vAlign w:val="bottom"/>
            <w:gridSpan w:val="2"/>
          </w:tcPr>
          <w:p>
            <w:pPr>
              <w:jc w:val="right"/>
              <w:ind w:right="155"/>
              <w:spacing w:after="0"/>
              <w:rPr>
                <w:sz w:val="20"/>
                <w:szCs w:val="20"/>
                <w:color w:val="auto"/>
              </w:rPr>
            </w:pPr>
            <w:r>
              <w:rPr>
                <w:rFonts w:ascii="Arial" w:cs="Arial" w:eastAsia="Arial" w:hAnsi="Arial"/>
                <w:sz w:val="19"/>
                <w:szCs w:val="19"/>
                <w:color w:val="auto"/>
              </w:rPr>
              <w:t>(2)%</w:t>
            </w:r>
          </w:p>
        </w:tc>
      </w:tr>
      <w:tr>
        <w:trPr>
          <w:trHeight w:val="243"/>
        </w:trPr>
        <w:tc>
          <w:tcPr>
            <w:tcW w:w="644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28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jc w:val="right"/>
              <w:ind w:right="52"/>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9"/>
                <w:szCs w:val="19"/>
                <w:color w:val="auto"/>
              </w:rPr>
              <w:t>13%</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215"/>
              <w:spacing w:after="0"/>
              <w:rPr>
                <w:sz w:val="20"/>
                <w:szCs w:val="20"/>
                <w:color w:val="auto"/>
              </w:rPr>
            </w:pPr>
            <w:r>
              <w:rPr>
                <w:rFonts w:ascii="Arial" w:cs="Arial" w:eastAsia="Arial" w:hAnsi="Arial"/>
                <w:sz w:val="19"/>
                <w:szCs w:val="19"/>
                <w:color w:val="auto"/>
              </w:rPr>
              <w:t>5%</w:t>
            </w:r>
          </w:p>
        </w:tc>
      </w:tr>
      <w:tr>
        <w:trPr>
          <w:trHeight w:val="250"/>
        </w:trPr>
        <w:tc>
          <w:tcPr>
            <w:tcW w:w="644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080" w:type="dxa"/>
            <w:vAlign w:val="bottom"/>
            <w:gridSpan w:val="2"/>
          </w:tcPr>
          <w:p>
            <w:pPr>
              <w:jc w:val="right"/>
              <w:ind w:right="132"/>
              <w:spacing w:after="0"/>
              <w:rPr>
                <w:sz w:val="20"/>
                <w:szCs w:val="20"/>
                <w:color w:val="auto"/>
              </w:rPr>
            </w:pPr>
            <w:r>
              <w:rPr>
                <w:rFonts w:ascii="Arial" w:cs="Arial" w:eastAsia="Arial" w:hAnsi="Arial"/>
                <w:sz w:val="19"/>
                <w:szCs w:val="19"/>
                <w:color w:val="auto"/>
              </w:rPr>
              <w:t>4%</w:t>
            </w:r>
          </w:p>
        </w:tc>
        <w:tc>
          <w:tcPr>
            <w:tcW w:w="880" w:type="dxa"/>
            <w:vAlign w:val="bottom"/>
            <w:gridSpan w:val="2"/>
          </w:tcPr>
          <w:p>
            <w:pPr>
              <w:jc w:val="right"/>
              <w:ind w:right="15"/>
              <w:spacing w:after="0"/>
              <w:rPr>
                <w:sz w:val="20"/>
                <w:szCs w:val="20"/>
                <w:color w:val="auto"/>
              </w:rPr>
            </w:pPr>
            <w:r>
              <w:rPr>
                <w:rFonts w:ascii="Arial" w:cs="Arial" w:eastAsia="Arial" w:hAnsi="Arial"/>
                <w:sz w:val="19"/>
                <w:szCs w:val="19"/>
                <w:color w:val="auto"/>
              </w:rPr>
              <w:t>9%</w:t>
            </w:r>
          </w:p>
        </w:tc>
        <w:tc>
          <w:tcPr>
            <w:tcW w:w="1160" w:type="dxa"/>
            <w:vAlign w:val="bottom"/>
            <w:gridSpan w:val="2"/>
          </w:tcPr>
          <w:p>
            <w:pPr>
              <w:jc w:val="right"/>
              <w:ind w:right="215"/>
              <w:spacing w:after="0"/>
              <w:rPr>
                <w:sz w:val="20"/>
                <w:szCs w:val="20"/>
                <w:color w:val="auto"/>
              </w:rPr>
            </w:pPr>
            <w:r>
              <w:rPr>
                <w:rFonts w:ascii="Arial" w:cs="Arial" w:eastAsia="Arial" w:hAnsi="Arial"/>
                <w:sz w:val="19"/>
                <w:szCs w:val="19"/>
                <w:color w:val="auto"/>
              </w:rPr>
              <w:t>5%</w:t>
            </w:r>
          </w:p>
        </w:tc>
      </w:tr>
      <w:tr>
        <w:trPr>
          <w:trHeight w:val="20"/>
        </w:trPr>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Performance Materials and Technologies sales decreased primarily due to divestitures, partially offset by organic sales growth.</w:t>
      </w:r>
    </w:p>
    <w:p>
      <w:pPr>
        <w:spacing w:after="0" w:line="92" w:lineRule="exact"/>
        <w:rPr>
          <w:sz w:val="20"/>
          <w:szCs w:val="20"/>
          <w:color w:val="auto"/>
        </w:rPr>
      </w:pPr>
    </w:p>
    <w:p>
      <w:pPr>
        <w:ind w:left="540" w:right="200" w:hanging="168"/>
        <w:spacing w:after="0" w:line="245"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UOP sales increased by 12% (increased 12% organic) driven primarily by higher gas processing project revenues, increased catalyst volumes, increased equipment sales, and increased engineering revenues, partially offset by decreased licensing revenues.</w:t>
      </w:r>
    </w:p>
    <w:p>
      <w:pPr>
        <w:spacing w:after="0" w:line="60" w:lineRule="exact"/>
        <w:rPr>
          <w:rFonts w:ascii="Arial" w:cs="Arial" w:eastAsia="Arial" w:hAnsi="Arial"/>
          <w:sz w:val="19"/>
          <w:szCs w:val="19"/>
          <w:color w:val="auto"/>
        </w:rPr>
      </w:pPr>
    </w:p>
    <w:p>
      <w:pPr>
        <w:ind w:left="540" w:right="60" w:hanging="168"/>
        <w:spacing w:after="0" w:line="25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Process Solutions sales increased by 3% (increased 3% organic) driven primarily by higher revenue in smart energy, services, thermal solutions, and software, partially offset by lower field products sales.</w:t>
      </w:r>
    </w:p>
    <w:p>
      <w:pPr>
        <w:spacing w:after="0" w:line="66" w:lineRule="exact"/>
        <w:rPr>
          <w:rFonts w:ascii="Arial" w:cs="Arial" w:eastAsia="Arial" w:hAnsi="Arial"/>
          <w:sz w:val="19"/>
          <w:szCs w:val="19"/>
          <w:color w:val="auto"/>
        </w:rPr>
      </w:pPr>
    </w:p>
    <w:p>
      <w:pPr>
        <w:ind w:left="540" w:right="120" w:hanging="168"/>
        <w:spacing w:after="0" w:line="25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Advanced Materials sales decreased by 16% (increased 11% organic) driven primarily by the spin-off of the former resins and chemicals business, partially offset by increased volumes in fluorine products.</w:t>
      </w:r>
    </w:p>
    <w:p>
      <w:pPr>
        <w:spacing w:after="0" w:line="80"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Performance Materials and Technologies segment profit increased primarily due to an increase in operational segment profit, partially offset by divestitures. The increase in operational segment profit is primarily due to productivity, net of inflation, higher organic sales volume and pricing, partially offset by unfavorable product mix and continued investments for growth. Cost of products and services sold decreased primarily due to divestitures and productivity, net of inflation, partially offset by higher organic sales volumes.</w:t>
      </w: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2016 compared with 2015</w:t>
      </w:r>
    </w:p>
    <w:p>
      <w:pPr>
        <w:spacing w:after="0" w:line="130" w:lineRule="exact"/>
        <w:rPr>
          <w:sz w:val="20"/>
          <w:szCs w:val="20"/>
          <w:color w:val="auto"/>
        </w:rPr>
      </w:pPr>
    </w:p>
    <w:p>
      <w:pPr>
        <w:ind w:right="60" w:firstLine="357"/>
        <w:spacing w:after="0" w:line="253" w:lineRule="auto"/>
        <w:rPr>
          <w:sz w:val="20"/>
          <w:szCs w:val="20"/>
          <w:color w:val="auto"/>
        </w:rPr>
      </w:pPr>
      <w:r>
        <w:rPr>
          <w:rFonts w:ascii="Arial" w:cs="Arial" w:eastAsia="Arial" w:hAnsi="Arial"/>
          <w:sz w:val="19"/>
          <w:szCs w:val="19"/>
          <w:color w:val="auto"/>
        </w:rPr>
        <w:t>Performance Materials and Technologies sales increased due to growth from acquisitions, net of divestitures, partially offset by a decrease in organic sales volumes and the unfavorable impact of foreign currency translation.</w:t>
      </w:r>
    </w:p>
    <w:p>
      <w:pPr>
        <w:spacing w:after="0" w:line="66" w:lineRule="exact"/>
        <w:rPr>
          <w:sz w:val="20"/>
          <w:szCs w:val="20"/>
          <w:color w:val="auto"/>
        </w:rPr>
      </w:pPr>
    </w:p>
    <w:p>
      <w:pPr>
        <w:ind w:left="540" w:right="60" w:hanging="168"/>
        <w:spacing w:after="0" w:line="245"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UOP sales decreased by 17% (decreased 16% organic) driven primarily by lower gas processing revenues due to a significant slowdown in customer projects and decreased catalyst volumes in the first nine months, partially offset by increased catalyst, licensing and equipment sales in the fourth quarter.</w:t>
      </w:r>
    </w:p>
    <w:p>
      <w:pPr>
        <w:spacing w:after="0" w:line="73" w:lineRule="exact"/>
        <w:rPr>
          <w:rFonts w:ascii="Arial" w:cs="Arial" w:eastAsia="Arial" w:hAnsi="Arial"/>
          <w:sz w:val="19"/>
          <w:szCs w:val="19"/>
          <w:color w:val="auto"/>
        </w:rPr>
      </w:pPr>
    </w:p>
    <w:p>
      <w:pPr>
        <w:ind w:left="540" w:right="1040" w:hanging="168"/>
        <w:spacing w:after="0" w:line="253"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Process Solutions sales increased by 49% (increased 4% organic) driven primarily by increased volumes driven by acquisitions, net of divestitures, and higher revenues in projects, partially offset by lower field products sales.</w:t>
      </w:r>
    </w:p>
    <w:p>
      <w:pPr>
        <w:spacing w:after="0" w:line="66" w:lineRule="exact"/>
        <w:rPr>
          <w:rFonts w:ascii="Arial" w:cs="Arial" w:eastAsia="Arial" w:hAnsi="Arial"/>
          <w:sz w:val="19"/>
          <w:szCs w:val="19"/>
          <w:color w:val="auto"/>
        </w:rPr>
      </w:pPr>
    </w:p>
    <w:p>
      <w:pPr>
        <w:jc w:val="both"/>
        <w:ind w:left="540" w:hanging="168"/>
        <w:spacing w:after="0" w:line="242"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Advanced Materials sales decreased by 5% (increased 3% organic) driven primarily by the impact of the October 1, 2016 spin-off of the former resins and chemicals business and lower market pricing, as well as lower raw material pass-through pricing in the former resins and chemicals business in the first nine months, partially offset by increased volumes in fluorine and specialty products.</w:t>
      </w:r>
    </w:p>
    <w:p>
      <w:pPr>
        <w:spacing w:after="0" w:line="91"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Performance Materials and Technologies segment profit increased due to acquisitions, net of divestitures, and an increase in operational segment profit, partially offset by the unfavorable impact of foreign currency translation. The increase in operational segment profit is primarily due to productivity, net of inflation, partially offset by lower organic sales volumes and continued investments for growth. Cost of products and services sold increased primarily due to acquisitions, net of divestitures, partially offset by lower organic sales volumes, favorable foreign currency translation, and productivity, net of inflation.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Safety and Productivity Solutions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37"/>
        </w:trPr>
        <w:tc>
          <w:tcPr>
            <w:tcW w:w="666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4,625</w:t>
            </w:r>
          </w:p>
        </w:tc>
        <w:tc>
          <w:tcPr>
            <w:tcW w:w="100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22%</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4,708</w:t>
            </w:r>
          </w:p>
        </w:tc>
        <w:tc>
          <w:tcPr>
            <w:tcW w:w="94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w:t>
            </w:r>
          </w:p>
        </w:tc>
      </w:tr>
      <w:tr>
        <w:trPr>
          <w:trHeight w:val="243"/>
        </w:trPr>
        <w:tc>
          <w:tcPr>
            <w:tcW w:w="666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3,714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3,001</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3,020</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6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and other expenses</w:t>
            </w: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1,073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944</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942</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r>
      <w:tr>
        <w:trPr>
          <w:trHeight w:val="250"/>
        </w:trPr>
        <w:tc>
          <w:tcPr>
            <w:tcW w:w="6660" w:type="dxa"/>
            <w:vAlign w:val="bottom"/>
          </w:tcPr>
          <w:p>
            <w:pPr>
              <w:spacing w:after="0"/>
              <w:rPr>
                <w:sz w:val="20"/>
                <w:szCs w:val="20"/>
                <w:color w:val="auto"/>
              </w:rPr>
            </w:pPr>
            <w:r>
              <w:rPr>
                <w:rFonts w:ascii="Arial" w:cs="Arial" w:eastAsia="Arial" w:hAnsi="Arial"/>
                <w:sz w:val="19"/>
                <w:szCs w:val="19"/>
                <w:color w:val="auto"/>
              </w:rPr>
              <w:t>Segment profit</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852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680</w:t>
            </w:r>
          </w:p>
        </w:tc>
        <w:tc>
          <w:tcPr>
            <w:tcW w:w="1000" w:type="dxa"/>
            <w:vAlign w:val="bottom"/>
            <w:gridSpan w:val="2"/>
          </w:tcPr>
          <w:p>
            <w:pPr>
              <w:jc w:val="right"/>
              <w:ind w:right="41"/>
              <w:spacing w:after="0"/>
              <w:rPr>
                <w:sz w:val="20"/>
                <w:szCs w:val="20"/>
                <w:color w:val="auto"/>
              </w:rPr>
            </w:pPr>
            <w:r>
              <w:rPr>
                <w:rFonts w:ascii="Arial" w:cs="Arial" w:eastAsia="Arial" w:hAnsi="Arial"/>
                <w:sz w:val="19"/>
                <w:szCs w:val="19"/>
                <w:color w:val="auto"/>
              </w:rPr>
              <w:t>25%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746</w:t>
            </w:r>
          </w:p>
        </w:tc>
        <w:tc>
          <w:tcPr>
            <w:tcW w:w="940" w:type="dxa"/>
            <w:vAlign w:val="bottom"/>
            <w:gridSpan w:val="2"/>
          </w:tcPr>
          <w:p>
            <w:pPr>
              <w:jc w:val="right"/>
              <w:ind w:right="1"/>
              <w:spacing w:after="0"/>
              <w:rPr>
                <w:sz w:val="20"/>
                <w:szCs w:val="20"/>
                <w:color w:val="auto"/>
              </w:rPr>
            </w:pPr>
            <w:r>
              <w:rPr>
                <w:rFonts w:ascii="Arial" w:cs="Arial" w:eastAsia="Arial" w:hAnsi="Arial"/>
                <w:sz w:val="19"/>
                <w:szCs w:val="19"/>
                <w:color w:val="auto"/>
              </w:rPr>
              <w:t>(9)%</w:t>
            </w: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6"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2017 vs. 2016</w:t>
            </w: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2016 vs. 2015</w:t>
            </w:r>
          </w:p>
        </w:tc>
      </w:tr>
      <w:tr>
        <w:trPr>
          <w:trHeight w:val="155"/>
        </w:trPr>
        <w:tc>
          <w:tcPr>
            <w:tcW w:w="6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15"/>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Profit</w:t>
            </w:r>
          </w:p>
        </w:tc>
      </w:tr>
      <w:tr>
        <w:trPr>
          <w:trHeight w:val="237"/>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1100" w:type="dxa"/>
            <w:vAlign w:val="bottom"/>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18%</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1160" w:type="dxa"/>
            <w:vAlign w:val="bottom"/>
            <w:gridSpan w:val="2"/>
            <w:shd w:val="clear" w:color="auto" w:fill="E5FFFF"/>
          </w:tcPr>
          <w:p>
            <w:pPr>
              <w:jc w:val="right"/>
              <w:ind w:right="155"/>
              <w:spacing w:after="0"/>
              <w:rPr>
                <w:sz w:val="20"/>
                <w:szCs w:val="20"/>
                <w:color w:val="auto"/>
              </w:rPr>
            </w:pPr>
            <w:r>
              <w:rPr>
                <w:rFonts w:ascii="Arial" w:cs="Arial" w:eastAsia="Arial" w:hAnsi="Arial"/>
                <w:sz w:val="19"/>
                <w:szCs w:val="19"/>
                <w:color w:val="auto"/>
              </w:rPr>
              <w:t>(8)%</w:t>
            </w:r>
          </w:p>
        </w:tc>
      </w:tr>
      <w:tr>
        <w:trPr>
          <w:trHeight w:val="243"/>
        </w:trPr>
        <w:tc>
          <w:tcPr>
            <w:tcW w:w="650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00" w:type="dxa"/>
            <w:vAlign w:val="bottom"/>
          </w:tcPr>
          <w:p>
            <w:pPr>
              <w:spacing w:after="0"/>
              <w:rPr>
                <w:sz w:val="21"/>
                <w:szCs w:val="21"/>
                <w:color w:val="auto"/>
              </w:rPr>
            </w:pPr>
          </w:p>
        </w:tc>
        <w:tc>
          <w:tcPr>
            <w:tcW w:w="50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00" w:type="dxa"/>
            <w:vAlign w:val="bottom"/>
          </w:tcPr>
          <w:p>
            <w:pPr>
              <w:jc w:val="right"/>
              <w:ind w:right="232"/>
              <w:spacing w:after="0"/>
              <w:rPr>
                <w:sz w:val="20"/>
                <w:szCs w:val="20"/>
                <w:color w:val="auto"/>
              </w:rPr>
            </w:pPr>
            <w:r>
              <w:rPr>
                <w:rFonts w:ascii="Arial" w:cs="Arial" w:eastAsia="Arial" w:hAnsi="Arial"/>
                <w:sz w:val="19"/>
                <w:szCs w:val="19"/>
                <w:color w:val="auto"/>
              </w:rPr>
              <w:t>—</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160" w:type="dxa"/>
            <w:vAlign w:val="bottom"/>
            <w:gridSpan w:val="2"/>
          </w:tcPr>
          <w:p>
            <w:pPr>
              <w:jc w:val="right"/>
              <w:ind w:right="155"/>
              <w:spacing w:after="0"/>
              <w:rPr>
                <w:sz w:val="20"/>
                <w:szCs w:val="20"/>
                <w:color w:val="auto"/>
              </w:rPr>
            </w:pPr>
            <w:r>
              <w:rPr>
                <w:rFonts w:ascii="Arial" w:cs="Arial" w:eastAsia="Arial" w:hAnsi="Arial"/>
                <w:sz w:val="19"/>
                <w:szCs w:val="19"/>
                <w:color w:val="auto"/>
              </w:rPr>
              <w:t>(2)%</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0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9"/>
                <w:szCs w:val="19"/>
                <w:color w:val="auto"/>
              </w:rPr>
              <w:t>7%</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jc w:val="right"/>
              <w:ind w:right="215"/>
              <w:spacing w:after="0"/>
              <w:rPr>
                <w:sz w:val="20"/>
                <w:szCs w:val="20"/>
                <w:color w:val="auto"/>
              </w:rPr>
            </w:pPr>
            <w:r>
              <w:rPr>
                <w:rFonts w:ascii="Arial" w:cs="Arial" w:eastAsia="Arial" w:hAnsi="Arial"/>
                <w:sz w:val="19"/>
                <w:szCs w:val="19"/>
                <w:color w:val="auto"/>
              </w:rPr>
              <w:t>1%</w:t>
            </w:r>
          </w:p>
        </w:tc>
      </w:tr>
      <w:tr>
        <w:trPr>
          <w:trHeight w:val="250"/>
        </w:trPr>
        <w:tc>
          <w:tcPr>
            <w:tcW w:w="6500" w:type="dxa"/>
            <w:vAlign w:val="bottom"/>
          </w:tcPr>
          <w:p>
            <w:pPr>
              <w:spacing w:after="0"/>
              <w:rPr>
                <w:sz w:val="20"/>
                <w:szCs w:val="20"/>
                <w:color w:val="auto"/>
              </w:rPr>
            </w:pPr>
            <w:r>
              <w:rPr>
                <w:rFonts w:ascii="Arial" w:cs="Arial" w:eastAsia="Arial" w:hAnsi="Arial"/>
                <w:sz w:val="19"/>
                <w:szCs w:val="19"/>
                <w:color w:val="auto"/>
              </w:rPr>
              <w:t>Total % Change</w:t>
            </w: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22%</w:t>
            </w:r>
          </w:p>
        </w:tc>
        <w:tc>
          <w:tcPr>
            <w:tcW w:w="1100" w:type="dxa"/>
            <w:vAlign w:val="bottom"/>
            <w:gridSpan w:val="2"/>
          </w:tcPr>
          <w:p>
            <w:pPr>
              <w:jc w:val="right"/>
              <w:ind w:right="72"/>
              <w:spacing w:after="0"/>
              <w:rPr>
                <w:sz w:val="20"/>
                <w:szCs w:val="20"/>
                <w:color w:val="auto"/>
              </w:rPr>
            </w:pPr>
            <w:r>
              <w:rPr>
                <w:rFonts w:ascii="Arial" w:cs="Arial" w:eastAsia="Arial" w:hAnsi="Arial"/>
                <w:sz w:val="19"/>
                <w:szCs w:val="19"/>
                <w:color w:val="auto"/>
              </w:rPr>
              <w:t>25%</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1160" w:type="dxa"/>
            <w:vAlign w:val="bottom"/>
            <w:gridSpan w:val="2"/>
          </w:tcPr>
          <w:p>
            <w:pPr>
              <w:jc w:val="right"/>
              <w:ind w:right="155"/>
              <w:spacing w:after="0"/>
              <w:rPr>
                <w:sz w:val="20"/>
                <w:szCs w:val="20"/>
                <w:color w:val="auto"/>
              </w:rPr>
            </w:pPr>
            <w:r>
              <w:rPr>
                <w:rFonts w:ascii="Arial" w:cs="Arial" w:eastAsia="Arial" w:hAnsi="Arial"/>
                <w:sz w:val="19"/>
                <w:szCs w:val="19"/>
                <w:color w:val="auto"/>
              </w:rPr>
              <w:t>(9)%</w:t>
            </w:r>
          </w:p>
        </w:tc>
      </w:tr>
      <w:tr>
        <w:trPr>
          <w:trHeight w:val="20"/>
        </w:trPr>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Safety and Productivity Solutions sales increased primarily due to acquisitions and organic sales volume.</w:t>
      </w:r>
    </w:p>
    <w:p>
      <w:pPr>
        <w:spacing w:after="0" w:line="92" w:lineRule="exact"/>
        <w:rPr>
          <w:sz w:val="20"/>
          <w:szCs w:val="20"/>
          <w:color w:val="auto"/>
        </w:rPr>
      </w:pPr>
    </w:p>
    <w:p>
      <w:pPr>
        <w:ind w:left="540" w:right="540" w:hanging="16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Sales in Safety increased by 5% (increased 4% organic) due to increased sales volume in the Industrial Safety business, higher distribution in the Retail business, and the favorable impact of foreign currency translation.</w:t>
      </w:r>
    </w:p>
    <w:p>
      <w:pPr>
        <w:spacing w:after="0" w:line="66" w:lineRule="exact"/>
        <w:rPr>
          <w:rFonts w:ascii="Arial" w:cs="Arial" w:eastAsia="Arial" w:hAnsi="Arial"/>
          <w:sz w:val="19"/>
          <w:szCs w:val="19"/>
          <w:color w:val="auto"/>
        </w:rPr>
      </w:pPr>
    </w:p>
    <w:p>
      <w:pPr>
        <w:ind w:left="540" w:right="980" w:hanging="168"/>
        <w:spacing w:after="0" w:line="25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Sales in Productivity Solutions increased by 36% (increased 6% organic) principally due to growth from acquisitions (Intelligrated was acquired in August 2016).</w:t>
      </w:r>
    </w:p>
    <w:p>
      <w:pPr>
        <w:spacing w:after="0" w:line="80" w:lineRule="exact"/>
        <w:rPr>
          <w:sz w:val="20"/>
          <w:szCs w:val="20"/>
          <w:color w:val="auto"/>
        </w:rPr>
      </w:pPr>
    </w:p>
    <w:p>
      <w:pPr>
        <w:ind w:right="160" w:firstLine="357"/>
        <w:spacing w:after="0" w:line="245" w:lineRule="auto"/>
        <w:rPr>
          <w:sz w:val="20"/>
          <w:szCs w:val="20"/>
          <w:color w:val="auto"/>
        </w:rPr>
      </w:pPr>
      <w:r>
        <w:rPr>
          <w:rFonts w:ascii="Arial" w:cs="Arial" w:eastAsia="Arial" w:hAnsi="Arial"/>
          <w:sz w:val="19"/>
          <w:szCs w:val="19"/>
          <w:color w:val="auto"/>
        </w:rPr>
        <w:t>Safety and Productivity Solutions segment profit increased due to an increase from operational segment profit and acquisitions. The increase in operational segment profit is driven by higher productivity, net of inflation, and sales volume. Cost of products and services increased primarily due to acquisitions and higher sales volume offset by productivity, net of inflation.</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2016 compared with 2015</w:t>
      </w:r>
    </w:p>
    <w:p>
      <w:pPr>
        <w:spacing w:after="0" w:line="116" w:lineRule="exact"/>
        <w:rPr>
          <w:sz w:val="20"/>
          <w:szCs w:val="20"/>
          <w:color w:val="auto"/>
        </w:rPr>
      </w:pPr>
    </w:p>
    <w:p>
      <w:pPr>
        <w:ind w:right="520" w:firstLine="357"/>
        <w:spacing w:after="0" w:line="253" w:lineRule="auto"/>
        <w:rPr>
          <w:sz w:val="20"/>
          <w:szCs w:val="20"/>
          <w:color w:val="auto"/>
        </w:rPr>
      </w:pPr>
      <w:r>
        <w:rPr>
          <w:rFonts w:ascii="Arial" w:cs="Arial" w:eastAsia="Arial" w:hAnsi="Arial"/>
          <w:sz w:val="19"/>
          <w:szCs w:val="19"/>
          <w:color w:val="auto"/>
        </w:rPr>
        <w:t>Safety and Productivity Solutions sales decreased primarily due to decreased sales volumes and the unfavorable impact of foreign currency translation, partially offset by growth from acquisitions.</w:t>
      </w:r>
    </w:p>
    <w:p>
      <w:pPr>
        <w:spacing w:after="0" w:line="66" w:lineRule="exact"/>
        <w:rPr>
          <w:sz w:val="20"/>
          <w:szCs w:val="20"/>
          <w:color w:val="auto"/>
        </w:rPr>
      </w:pPr>
    </w:p>
    <w:p>
      <w:pPr>
        <w:ind w:left="540" w:right="340" w:hanging="168"/>
        <w:spacing w:after="0" w:line="25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Sales in Safety decreased by 3% (decreased 2% organic) due to decreased sales volume in the Industrial Safety business, lower distribution in the Retail business, and the unfavorable impact of foreign currency translation.</w:t>
      </w:r>
    </w:p>
    <w:p>
      <w:pPr>
        <w:spacing w:after="0" w:line="66" w:lineRule="exact"/>
        <w:rPr>
          <w:rFonts w:ascii="Arial" w:cs="Arial" w:eastAsia="Arial" w:hAnsi="Arial"/>
          <w:sz w:val="19"/>
          <w:szCs w:val="19"/>
          <w:color w:val="auto"/>
        </w:rPr>
      </w:pPr>
    </w:p>
    <w:p>
      <w:pPr>
        <w:ind w:left="540" w:right="660" w:hanging="168"/>
        <w:spacing w:after="0" w:line="25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Sales in Productivity Solutions decreased by 1% (decreased 11% organic) principally due to declines in the Productivity Products business, partially offset by growth from acquisitions.</w:t>
      </w:r>
    </w:p>
    <w:p>
      <w:pPr>
        <w:spacing w:after="0" w:line="80"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Safety and Productivity Solutions segment profit decreased due to a decrease in operational segment profit and the unfavorable impact of foreign currency translation, partially offset by growth from acquisitions. The decrease in operational segment profit is due to decreased sales volumes, partially offset by price and productivity, net of inflation, and growth from acquisitions. Cost of products and services decreased primarily due to productivity, net of inflation, decreased sales volumes, and the favorable impact of foreign currency translation partially offset by growth from acquisitions.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Repositioning Charges</w:t>
      </w:r>
    </w:p>
    <w:p>
      <w:pPr>
        <w:spacing w:after="0" w:line="13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See Note 3 Repositioning and Other Charges of Notes to Consolidated Financial Statements for a discussion of our repositioning actions and related charges incurred in 2017, 2016 and 2015. These repositioning actions are expected to generate incremental pre-tax savings of $300 million in 2018 compared with 2017 principally from planned workforce reductions. Cash spending related to our repositioning actions was $177 million, $228 million and $118 million in 2017, 2016 and 2015, and was funded through operating cash flows. In 2018, we expect cash spending for repositioning actions to be approximately $250 million and to be funded through operating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8" w:name="page29"/>
    <w:bookmarkEnd w:id="28"/>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147"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access to the public debt and equity markets and the ability to access non-U.S. cash as a result of the Tax Act. We continue to balance our cash and financing uses through investment in our existing core businesses, acquisition activity, share repurchases and dividends.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 Summary</w:t>
      </w:r>
    </w:p>
    <w:p>
      <w:pPr>
        <w:spacing w:after="0" w:line="130" w:lineRule="exact"/>
        <w:rPr>
          <w:sz w:val="20"/>
          <w:szCs w:val="20"/>
          <w:color w:val="auto"/>
        </w:rPr>
      </w:pPr>
    </w:p>
    <w:p>
      <w:pPr>
        <w:ind w:right="140" w:firstLine="357"/>
        <w:spacing w:after="0" w:line="246" w:lineRule="auto"/>
        <w:rPr>
          <w:sz w:val="20"/>
          <w:szCs w:val="20"/>
          <w:color w:val="auto"/>
        </w:rPr>
      </w:pPr>
      <w:r>
        <w:rPr>
          <w:rFonts w:ascii="Arial" w:cs="Arial" w:eastAsia="Arial" w:hAnsi="Arial"/>
          <w:sz w:val="19"/>
          <w:szCs w:val="19"/>
          <w:color w:val="auto"/>
        </w:rPr>
        <w:t>Our cash flows from operating, investing and financing activities, as reflected in the Consolidated Statement of Cash Flows, are summarized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4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2015</w:t>
            </w: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Cash provided by (used for):</w:t>
            </w: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Operating activities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5,966</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5,498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5,519</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Investing activities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(3,342)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(6,514)</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Financing activities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(3,516)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346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37</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Effect of exchange rate changes on cash</w:t>
            </w: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(114)</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(546)</w:t>
            </w:r>
          </w:p>
        </w:tc>
      </w:tr>
      <w:tr>
        <w:trPr>
          <w:trHeight w:val="250"/>
        </w:trPr>
        <w:tc>
          <w:tcPr>
            <w:tcW w:w="7280" w:type="dxa"/>
            <w:vAlign w:val="bottom"/>
          </w:tcPr>
          <w:p>
            <w:pPr>
              <w:spacing w:after="0"/>
              <w:rPr>
                <w:sz w:val="20"/>
                <w:szCs w:val="20"/>
                <w:color w:val="auto"/>
              </w:rPr>
            </w:pPr>
            <w:r>
              <w:rPr>
                <w:rFonts w:ascii="Arial" w:cs="Arial" w:eastAsia="Arial" w:hAnsi="Arial"/>
                <w:sz w:val="19"/>
                <w:szCs w:val="19"/>
                <w:color w:val="auto"/>
              </w:rPr>
              <w:t>Net (decrease) increase in cash and cash equivalents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(784)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2,388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(1,504)</w:t>
            </w: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2017 compared with 2016</w:t>
      </w:r>
    </w:p>
    <w:p>
      <w:pPr>
        <w:spacing w:after="0" w:line="130"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Cash provided by operating activities increased by $468 million primarily due to a $504 million increase in segment profit and a $294 million favorable impact from working capital (favorable accounts payable partially offset by inventory and accounts receivable), partially offset by higher cash tax payments of $609 million.</w:t>
      </w:r>
    </w:p>
    <w:p>
      <w:pPr>
        <w:spacing w:after="0" w:line="87"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Cash used for investing activities increased by $232 million primarily due to (i) a net $2,056 million increase in investments, primarily short-term marketable securities, (ii) an increase of $ 500 million of settlement payments of foreign currency exchange contracts used as economic hedges on certain non-functional currency denominated monetary assets and liabilities and (iii) a decrease in proceeds from the sales of businesses of $296 million (most significantly Honeywell Technology Solutions Inc. in 2016), partially offset by a decrease in cash paid for acquisitions of $2,491 million (most significantly Intelligrated in 2016).</w:t>
      </w:r>
    </w:p>
    <w:p>
      <w:pPr>
        <w:spacing w:after="0" w:line="91" w:lineRule="exact"/>
        <w:rPr>
          <w:sz w:val="20"/>
          <w:szCs w:val="20"/>
          <w:color w:val="auto"/>
        </w:rPr>
      </w:pPr>
    </w:p>
    <w:p>
      <w:pPr>
        <w:ind w:right="80" w:firstLine="357"/>
        <w:spacing w:after="0" w:line="245" w:lineRule="auto"/>
        <w:rPr>
          <w:sz w:val="20"/>
          <w:szCs w:val="20"/>
          <w:color w:val="auto"/>
        </w:rPr>
      </w:pPr>
      <w:r>
        <w:rPr>
          <w:rFonts w:ascii="Arial" w:cs="Arial" w:eastAsia="Arial" w:hAnsi="Arial"/>
          <w:sz w:val="19"/>
          <w:szCs w:val="19"/>
          <w:color w:val="auto"/>
        </w:rPr>
        <w:t>Cash used for financing activities increased by $3,862 million primarily due to a decrease in the net proceeds from debt issuances of $2,827 million, an increase in net repurchases of common stock of $699 million and an increase in cash dividends paid of $204 million.</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2016 compared with 2015</w:t>
      </w:r>
    </w:p>
    <w:p>
      <w:pPr>
        <w:spacing w:after="0" w:line="130"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Cash provided by operating activities decreased by $21 million primarily due to a $725 million unfavorable impact from working capital, offset by (i) a $395 million improvement in customer advances and deferred income, (ii) a $171 million increase in net income before the non-cash pension mark-to-market adjustment (iii) the absence of $151 million in OEM incentive payments and (iv) lower cash tax payments of $50 million.</w:t>
      </w:r>
    </w:p>
    <w:p>
      <w:pPr>
        <w:spacing w:after="0" w:line="91"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Cash used for investing activities decreased by $3,172 million primarily due to (i) a decrease in cash paid for acquisitions of $2,655 million, most significantly Elster in 2015, (ii) an increase in proceeds from the sales of businesses of $295 million (most significantly Honeywell Technology Solutions Inc.) and (iii) a $384 million favorable change in settlements of foreign currency exchange contracts used as economic hedges on certain non-functional currency denominated monetary assets and liabilities. The decreases were partially offset by a net $146 million increase in investments, primarily short-term marketable securities.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29" w:name="page30"/>
    <w:bookmarkEnd w:id="29"/>
    <w:p>
      <w:pPr>
        <w:ind w:right="120" w:firstLine="357"/>
        <w:spacing w:after="0" w:line="245" w:lineRule="auto"/>
        <w:rPr>
          <w:sz w:val="20"/>
          <w:szCs w:val="20"/>
          <w:color w:val="auto"/>
        </w:rPr>
      </w:pPr>
      <w:r>
        <w:rPr>
          <w:rFonts w:ascii="Arial" w:cs="Arial" w:eastAsia="Arial" w:hAnsi="Arial"/>
          <w:sz w:val="19"/>
          <w:szCs w:val="19"/>
          <w:color w:val="auto"/>
        </w:rPr>
        <w:t>Cash provided by financing activities increased by $ 309 million primarily due to an increase in the net proceeds from debt issuances of $497 million, partially offset by an increase in cash dividends paid of $189 million including amounts paid to the former UOP Russell LLC noncontrolling shareholder.</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w:t>
      </w:r>
    </w:p>
    <w:p>
      <w:pPr>
        <w:spacing w:after="0" w:line="130"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w:t>
      </w:r>
    </w:p>
    <w:p>
      <w:pPr>
        <w:spacing w:after="0" w:line="94" w:lineRule="exact"/>
        <w:rPr>
          <w:sz w:val="20"/>
          <w:szCs w:val="20"/>
          <w:color w:val="auto"/>
        </w:rPr>
      </w:pPr>
    </w:p>
    <w:p>
      <w:pPr>
        <w:jc w:val="both"/>
        <w:ind w:right="420" w:firstLine="357"/>
        <w:spacing w:after="0" w:line="245" w:lineRule="auto"/>
        <w:rPr>
          <w:sz w:val="20"/>
          <w:szCs w:val="20"/>
          <w:color w:val="auto"/>
        </w:rPr>
      </w:pPr>
      <w:r>
        <w:rPr>
          <w:rFonts w:ascii="Arial" w:cs="Arial" w:eastAsia="Arial" w:hAnsi="Arial"/>
          <w:sz w:val="19"/>
          <w:szCs w:val="19"/>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w:t>
      </w:r>
    </w:p>
    <w:p>
      <w:pPr>
        <w:spacing w:after="0" w:line="74"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as of December 31, 2017 was (0.17%) and as of December 31, 2016 was (0.13%).</w:t>
      </w:r>
    </w:p>
    <w:p>
      <w:pPr>
        <w:spacing w:after="0" w:line="91"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2017, Standard and Poor’s (S&amp;P), Fitch, and Moody’s have ratings on our long-term debt of A, A and A2 and short-term debt of A-1, F1 and P1. S&amp;P, Fitch and Moody’s have Honeywell’s rating outlook as “stable.” To date, the Company has not experienced any limitations in our ability to access these sources of liquidity.</w:t>
      </w:r>
    </w:p>
    <w:p>
      <w:pPr>
        <w:spacing w:after="0" w:line="91" w:lineRule="exact"/>
        <w:rPr>
          <w:sz w:val="20"/>
          <w:szCs w:val="20"/>
          <w:color w:val="auto"/>
        </w:rPr>
      </w:pPr>
    </w:p>
    <w:p>
      <w:pPr>
        <w:ind w:right="340" w:firstLine="357"/>
        <w:spacing w:after="0" w:line="242" w:lineRule="auto"/>
        <w:rPr>
          <w:sz w:val="20"/>
          <w:szCs w:val="20"/>
          <w:color w:val="auto"/>
        </w:rPr>
      </w:pPr>
      <w:r>
        <w:rPr>
          <w:rFonts w:ascii="Arial" w:cs="Arial" w:eastAsia="Arial" w:hAnsi="Arial"/>
          <w:sz w:val="19"/>
          <w:szCs w:val="19"/>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share repurchases, capital expenditures and acquisitions.</w:t>
      </w:r>
    </w:p>
    <w:p>
      <w:pPr>
        <w:spacing w:after="0" w:line="91" w:lineRule="exact"/>
        <w:rPr>
          <w:sz w:val="20"/>
          <w:szCs w:val="20"/>
          <w:color w:val="auto"/>
        </w:rPr>
      </w:pPr>
    </w:p>
    <w:p>
      <w:pPr>
        <w:ind w:right="760" w:firstLine="357"/>
        <w:spacing w:after="0" w:line="253" w:lineRule="auto"/>
        <w:rPr>
          <w:sz w:val="20"/>
          <w:szCs w:val="20"/>
          <w:color w:val="auto"/>
        </w:rPr>
      </w:pPr>
      <w:r>
        <w:rPr>
          <w:rFonts w:ascii="Arial" w:cs="Arial" w:eastAsia="Arial" w:hAnsi="Arial"/>
          <w:sz w:val="19"/>
          <w:szCs w:val="19"/>
          <w:color w:val="auto"/>
        </w:rPr>
        <w:t>See Note 2 Acquisitions and Divestitures and Note 12 Long-term Debt and Credit Agreements of Notes to Consolidated Financial Statements for additional discussion of items impacting our liquidity.</w:t>
      </w:r>
    </w:p>
    <w:p>
      <w:pPr>
        <w:spacing w:after="0" w:line="80"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In 2017, the Company repurchased $2,889 million of outstanding shares to offset the dilutive impact of employee stock based compensation plans, including option exercises, restricted unit vesting and matching contributions under our savings plans. Additionally, we sought to reduce share count via share repurchases as and when attractive opportunities arose. In December 2017, the Board of Directors authorized the repurchase of up to a total of $8 billion of Honeywell common stock, of which $7.7 billion remained available as of December 31, 2017 for additional share repurchases. This authorization included amounts remaining under and replaced the previously approved share repurchase program. Honeywell presently expects to repurchase outstanding shares from time to time to generally offset the dilutive impact of employee stock based compensation plans, including option exercises, restricted unit vesting and matching contributions under our savings plans. We will continue to seek to reduce share count via share repurchases as and when attractive opportunities arise.</w:t>
      </w:r>
    </w:p>
    <w:p>
      <w:pPr>
        <w:spacing w:after="0" w:line="95" w:lineRule="exact"/>
        <w:rPr>
          <w:sz w:val="20"/>
          <w:szCs w:val="20"/>
          <w:color w:val="auto"/>
        </w:rPr>
      </w:pPr>
    </w:p>
    <w:p>
      <w:pPr>
        <w:jc w:val="both"/>
        <w:ind w:right="100" w:firstLine="357"/>
        <w:spacing w:after="0" w:line="245" w:lineRule="auto"/>
        <w:rPr>
          <w:sz w:val="20"/>
          <w:szCs w:val="20"/>
          <w:color w:val="auto"/>
        </w:rPr>
      </w:pPr>
      <w:r>
        <w:rPr>
          <w:rFonts w:ascii="Arial" w:cs="Arial" w:eastAsia="Arial" w:hAnsi="Arial"/>
          <w:sz w:val="19"/>
          <w:szCs w:val="19"/>
          <w:color w:val="auto"/>
        </w:rPr>
        <w:t>At December 31, 2017, a substantial portion of the Company’s cash and cash equivalents were held by foreign subsidiaries. As a result of the Tax Act, the Company no longer intends to permanently reinvest its historical foreign earnings and plans to repatriate at least $7 billion of such earnings to the U.S. over the next two years.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1" w:right="299" w:bottom="1440" w:gutter="0" w:footer="0" w:header="0"/>
        </w:sectPr>
      </w:pPr>
    </w:p>
    <w:bookmarkStart w:id="30" w:name="page31"/>
    <w:bookmarkEnd w:id="30"/>
    <w:p>
      <w:pPr>
        <w:ind w:firstLine="357"/>
        <w:spacing w:after="0" w:line="245" w:lineRule="auto"/>
        <w:rPr>
          <w:sz w:val="20"/>
          <w:szCs w:val="20"/>
          <w:color w:val="auto"/>
        </w:rPr>
      </w:pPr>
      <w:r>
        <w:rPr>
          <w:rFonts w:ascii="Arial" w:cs="Arial" w:eastAsia="Arial" w:hAnsi="Arial"/>
          <w:sz w:val="19"/>
          <w:szCs w:val="19"/>
          <w:color w:val="auto"/>
        </w:rPr>
        <w:t>In addition to our normal operating cash requirements, our principal future cash requirements will be to fund capital expenditures, dividends, strategic acquisitions, share repurchases, employee benefit obligations, environmental remediation costs, asbestos claims, severance and exit costs related to repositioning actions and debt repayments.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Specifically, we expect our primary cash requirements in 2018 to be as follows:</w:t>
      </w:r>
    </w:p>
    <w:p>
      <w:pPr>
        <w:spacing w:after="0" w:line="92" w:lineRule="exact"/>
        <w:rPr>
          <w:sz w:val="20"/>
          <w:szCs w:val="20"/>
          <w:color w:val="auto"/>
        </w:rPr>
      </w:pPr>
    </w:p>
    <w:p>
      <w:pPr>
        <w:ind w:left="540" w:right="38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Capital expenditures—we expect to spend approximately $900 million for capital expenditures in 2018 primarily for growth, production and capacity expansion, cost reduction, maintenance, and replacement.</w:t>
      </w:r>
    </w:p>
    <w:p>
      <w:pPr>
        <w:spacing w:after="0" w:line="52" w:lineRule="exact"/>
        <w:rPr>
          <w:rFonts w:ascii="Arial" w:cs="Arial" w:eastAsia="Arial" w:hAnsi="Arial"/>
          <w:sz w:val="19"/>
          <w:szCs w:val="19"/>
          <w:color w:val="auto"/>
        </w:rPr>
      </w:pPr>
    </w:p>
    <w:p>
      <w:pPr>
        <w:ind w:left="540" w:right="100" w:hanging="168"/>
        <w:spacing w:after="0"/>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Share repurchases—under the Company’s share repurchase program, $7.7 billion is available as of December 31, 2017 for additional share repurchases. Honeywell presently expects to repurchase outstanding shares from time to time to offset the dilutive impact of employee stock-based compensation plans, including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80" w:lineRule="exact"/>
        <w:rPr>
          <w:rFonts w:ascii="Arial" w:cs="Arial" w:eastAsia="Arial" w:hAnsi="Arial"/>
          <w:sz w:val="19"/>
          <w:szCs w:val="19"/>
          <w:color w:val="auto"/>
        </w:rPr>
      </w:pPr>
    </w:p>
    <w:p>
      <w:pPr>
        <w:ind w:left="540" w:right="48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Dividends—we increased our quarterly dividend rate by 12% to $.745 per share of common stock effective with the fourth quarter 2017 dividend. The Company intends to continue to pay quarterly dividends in 2018.</w:t>
      </w:r>
    </w:p>
    <w:p>
      <w:pPr>
        <w:spacing w:after="0" w:line="66" w:lineRule="exact"/>
        <w:rPr>
          <w:rFonts w:ascii="Arial" w:cs="Arial" w:eastAsia="Arial" w:hAnsi="Arial"/>
          <w:sz w:val="19"/>
          <w:szCs w:val="19"/>
          <w:color w:val="auto"/>
        </w:rPr>
      </w:pPr>
    </w:p>
    <w:p>
      <w:pPr>
        <w:ind w:left="540" w:right="16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Asbestos claims—we expect our cash spending for asbestos claims and our cash receipts for related insurance recoveries to be approximately $350 million and $24 million in 2018.</w:t>
      </w:r>
    </w:p>
    <w:p>
      <w:pPr>
        <w:spacing w:after="0" w:line="66" w:lineRule="exact"/>
        <w:rPr>
          <w:rFonts w:ascii="Arial" w:cs="Arial" w:eastAsia="Arial" w:hAnsi="Arial"/>
          <w:sz w:val="19"/>
          <w:szCs w:val="19"/>
          <w:color w:val="auto"/>
        </w:rPr>
      </w:pPr>
    </w:p>
    <w:p>
      <w:pPr>
        <w:ind w:left="540" w:right="180" w:hanging="168"/>
        <w:spacing w:after="0" w:line="241"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Pension contributions—in 2018, we are not required to make contributions to our U.S. pension plans. We plan to make contributions of cash and/or marketable securities of approximately $140 million ($99 million of marketable securities were contributed in January 2018) to our non-U.S. plans to satisfy regulatory funding standards. The timing and amount of contributions to both our U.S. and non-U.S. plans may be impacted by a number of factors, including the funded status of the plans.</w:t>
      </w:r>
    </w:p>
    <w:p>
      <w:pPr>
        <w:spacing w:after="0" w:line="77" w:lineRule="exact"/>
        <w:rPr>
          <w:rFonts w:ascii="Arial" w:cs="Arial" w:eastAsia="Arial" w:hAnsi="Arial"/>
          <w:sz w:val="19"/>
          <w:szCs w:val="19"/>
          <w:color w:val="auto"/>
        </w:rPr>
      </w:pPr>
    </w:p>
    <w:p>
      <w:pPr>
        <w:ind w:left="540" w:right="26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Repositioning actions—we expect that cash spending for severance and other exit costs necessary to execute repositioning actions will be approximately $250 million in 2018.</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Environmental remediation costs—we expect to spend approximately $225 million in 2018 for remedial response and voluntary clean-up costs.</w:t>
      </w:r>
    </w:p>
    <w:p>
      <w:pPr>
        <w:spacing w:after="0" w:line="66" w:lineRule="exact"/>
        <w:rPr>
          <w:rFonts w:ascii="Arial" w:cs="Arial" w:eastAsia="Arial" w:hAnsi="Arial"/>
          <w:sz w:val="19"/>
          <w:szCs w:val="19"/>
          <w:color w:val="auto"/>
        </w:rPr>
      </w:pPr>
    </w:p>
    <w:p>
      <w:pPr>
        <w:ind w:left="540" w:right="76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Spin-off separation costs—we expect to incur significant cash expenditures associated with the announced spin-off transactions, including third party professional services and tax costs, the amounts of which are still being determined.</w:t>
      </w:r>
    </w:p>
    <w:p>
      <w:pPr>
        <w:spacing w:after="0" w:line="93"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2016, we realized $565 million in cash proceeds from sales and a spin-off of non-strategic businesses.</w:t>
      </w:r>
    </w:p>
    <w:p>
      <w:pPr>
        <w:spacing w:after="0" w:line="80" w:lineRule="exact"/>
        <w:rPr>
          <w:sz w:val="20"/>
          <w:szCs w:val="20"/>
          <w:color w:val="auto"/>
        </w:rPr>
      </w:pPr>
    </w:p>
    <w:p>
      <w:pPr>
        <w:ind w:right="280" w:firstLine="357"/>
        <w:spacing w:after="0" w:line="242" w:lineRule="auto"/>
        <w:rPr>
          <w:sz w:val="20"/>
          <w:szCs w:val="20"/>
          <w:color w:val="auto"/>
        </w:rPr>
      </w:pPr>
      <w:r>
        <w:rPr>
          <w:rFonts w:ascii="Arial" w:cs="Arial" w:eastAsia="Arial" w:hAnsi="Arial"/>
          <w:sz w:val="19"/>
          <w:szCs w:val="19"/>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1" w:right="25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Contractual Obligations and Probable Liability Payments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significant contractual obligations and probable liability payments at December 31, 2017: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Payments by Period</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55"/>
        </w:trPr>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gridSpan w:val="2"/>
          </w:tcPr>
          <w:p>
            <w:pPr>
              <w:jc w:val="right"/>
              <w:ind w:right="72"/>
              <w:spacing w:after="0" w:line="155" w:lineRule="exact"/>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7"/>
              <w:spacing w:after="0" w:line="155" w:lineRule="exact"/>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Total(6)</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Thereafter</w:t>
            </w:r>
          </w:p>
        </w:tc>
      </w:tr>
      <w:tr>
        <w:trPr>
          <w:trHeight w:val="237"/>
        </w:trPr>
        <w:tc>
          <w:tcPr>
            <w:tcW w:w="500" w:type="dxa"/>
            <w:vAlign w:val="bottom"/>
          </w:tcPr>
          <w:p>
            <w:pPr>
              <w:spacing w:after="0"/>
              <w:rPr>
                <w:sz w:val="20"/>
                <w:szCs w:val="20"/>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Long-term debt, including capitalized leases(1)</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$ 13,924</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$ 1,351</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$ 4,225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2,310</w:t>
            </w:r>
          </w:p>
        </w:tc>
        <w:tc>
          <w:tcPr>
            <w:tcW w:w="56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6,038</w:t>
            </w:r>
          </w:p>
        </w:tc>
      </w:tr>
      <w:tr>
        <w:trPr>
          <w:trHeight w:val="216"/>
        </w:trPr>
        <w:tc>
          <w:tcPr>
            <w:tcW w:w="500" w:type="dxa"/>
            <w:vAlign w:val="bottom"/>
          </w:tcPr>
          <w:p>
            <w:pPr>
              <w:spacing w:after="0"/>
              <w:rPr>
                <w:sz w:val="18"/>
                <w:szCs w:val="18"/>
                <w:color w:val="auto"/>
              </w:rPr>
            </w:pPr>
          </w:p>
        </w:tc>
        <w:tc>
          <w:tcPr>
            <w:tcW w:w="5060" w:type="dxa"/>
            <w:vAlign w:val="bottom"/>
            <w:gridSpan w:val="2"/>
          </w:tcPr>
          <w:p>
            <w:pPr>
              <w:spacing w:after="0" w:line="216" w:lineRule="exact"/>
              <w:rPr>
                <w:sz w:val="20"/>
                <w:szCs w:val="20"/>
                <w:color w:val="auto"/>
              </w:rPr>
            </w:pPr>
            <w:r>
              <w:rPr>
                <w:rFonts w:ascii="Arial" w:cs="Arial" w:eastAsia="Arial" w:hAnsi="Arial"/>
                <w:sz w:val="19"/>
                <w:szCs w:val="19"/>
                <w:color w:val="auto"/>
              </w:rPr>
              <w:t>Interest payments on long-term debt, including</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06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capitalized leases</w:t>
            </w:r>
          </w:p>
        </w:tc>
        <w:tc>
          <w:tcPr>
            <w:tcW w:w="860" w:type="dxa"/>
            <w:vAlign w:val="bottom"/>
          </w:tcPr>
          <w:p>
            <w:pPr>
              <w:jc w:val="right"/>
              <w:spacing w:after="0" w:line="216" w:lineRule="exact"/>
              <w:rPr>
                <w:sz w:val="20"/>
                <w:szCs w:val="20"/>
                <w:color w:val="auto"/>
              </w:rPr>
            </w:pPr>
            <w:r>
              <w:rPr>
                <w:rFonts w:ascii="Arial" w:cs="Arial" w:eastAsia="Arial" w:hAnsi="Arial"/>
                <w:sz w:val="19"/>
                <w:szCs w:val="19"/>
                <w:color w:val="auto"/>
              </w:rPr>
              <w:t>3,267</w:t>
            </w:r>
          </w:p>
        </w:tc>
        <w:tc>
          <w:tcPr>
            <w:tcW w:w="10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307</w:t>
            </w:r>
          </w:p>
        </w:tc>
        <w:tc>
          <w:tcPr>
            <w:tcW w:w="10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559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Arial" w:cs="Arial" w:eastAsia="Arial" w:hAnsi="Arial"/>
                <w:sz w:val="19"/>
                <w:szCs w:val="19"/>
                <w:color w:val="auto"/>
              </w:rPr>
              <w:t>422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3"/>
              <w:spacing w:after="0" w:line="216" w:lineRule="exact"/>
              <w:rPr>
                <w:sz w:val="20"/>
                <w:szCs w:val="20"/>
                <w:color w:val="auto"/>
              </w:rPr>
            </w:pPr>
            <w:r>
              <w:rPr>
                <w:rFonts w:ascii="Arial" w:cs="Arial" w:eastAsia="Arial" w:hAnsi="Arial"/>
                <w:sz w:val="19"/>
                <w:szCs w:val="19"/>
                <w:color w:val="auto"/>
              </w:rPr>
              <w:t>1,979</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Minimum operating lease payments</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387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226</w:t>
            </w:r>
          </w:p>
        </w:tc>
      </w:tr>
      <w:tr>
        <w:trPr>
          <w:trHeight w:val="243"/>
        </w:trPr>
        <w:tc>
          <w:tcPr>
            <w:tcW w:w="50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9"/>
                <w:szCs w:val="19"/>
                <w:color w:val="auto"/>
              </w:rPr>
              <w:t>Purchase obligations(2)</w:t>
            </w:r>
          </w:p>
        </w:tc>
        <w:tc>
          <w:tcPr>
            <w:tcW w:w="860" w:type="dxa"/>
            <w:vAlign w:val="bottom"/>
          </w:tcPr>
          <w:p>
            <w:pPr>
              <w:jc w:val="right"/>
              <w:spacing w:after="0"/>
              <w:rPr>
                <w:sz w:val="20"/>
                <w:szCs w:val="20"/>
                <w:color w:val="auto"/>
              </w:rPr>
            </w:pPr>
            <w:r>
              <w:rPr>
                <w:rFonts w:ascii="Arial" w:cs="Arial" w:eastAsia="Arial" w:hAnsi="Arial"/>
                <w:sz w:val="19"/>
                <w:szCs w:val="19"/>
                <w:color w:val="auto"/>
              </w:rPr>
              <w:t>1,713</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819</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523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323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48</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Estimated environmental liability payments(3)</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595</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9</w:t>
            </w:r>
          </w:p>
        </w:tc>
      </w:tr>
      <w:tr>
        <w:trPr>
          <w:trHeight w:val="243"/>
        </w:trPr>
        <w:tc>
          <w:tcPr>
            <w:tcW w:w="50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9"/>
                <w:szCs w:val="19"/>
                <w:color w:val="auto"/>
              </w:rPr>
              <w:t>Asbestos related liability payments(4)</w:t>
            </w:r>
          </w:p>
        </w:tc>
        <w:tc>
          <w:tcPr>
            <w:tcW w:w="860" w:type="dxa"/>
            <w:vAlign w:val="bottom"/>
          </w:tcPr>
          <w:p>
            <w:pPr>
              <w:jc w:val="right"/>
              <w:spacing w:after="0"/>
              <w:rPr>
                <w:sz w:val="20"/>
                <w:szCs w:val="20"/>
                <w:color w:val="auto"/>
              </w:rPr>
            </w:pPr>
            <w:r>
              <w:rPr>
                <w:rFonts w:ascii="Arial" w:cs="Arial" w:eastAsia="Arial" w:hAnsi="Arial"/>
                <w:sz w:val="19"/>
                <w:szCs w:val="19"/>
                <w:color w:val="auto"/>
              </w:rPr>
              <w:t>1,523</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350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731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407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35</w:t>
            </w:r>
          </w:p>
        </w:tc>
      </w:tr>
      <w:tr>
        <w:trPr>
          <w:trHeight w:val="243"/>
        </w:trPr>
        <w:tc>
          <w:tcPr>
            <w:tcW w:w="500" w:type="dxa"/>
            <w:vAlign w:val="bottom"/>
          </w:tcPr>
          <w:p>
            <w:pPr>
              <w:spacing w:after="0"/>
              <w:rPr>
                <w:sz w:val="21"/>
                <w:szCs w:val="21"/>
                <w:color w:val="auto"/>
              </w:rPr>
            </w:pPr>
          </w:p>
        </w:tc>
        <w:tc>
          <w:tcPr>
            <w:tcW w:w="5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Asbestos insurance recoveries(5)</w:t>
            </w:r>
          </w:p>
        </w:tc>
        <w:tc>
          <w:tcPr>
            <w:tcW w:w="8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(435)</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(84)</w:t>
            </w:r>
          </w:p>
        </w:tc>
        <w:tc>
          <w:tcPr>
            <w:tcW w:w="30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(213)</w:t>
            </w:r>
          </w:p>
        </w:tc>
      </w:tr>
      <w:tr>
        <w:trPr>
          <w:trHeight w:val="250"/>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$ 21,713</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$ 3,324</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$ 6,582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3,685</w:t>
            </w:r>
          </w:p>
        </w:tc>
        <w:tc>
          <w:tcPr>
            <w:tcW w:w="560" w:type="dxa"/>
            <w:vAlign w:val="bottom"/>
            <w:gridSpan w:val="2"/>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8,122</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162" w:lineRule="exact"/>
        <w:rPr>
          <w:sz w:val="20"/>
          <w:szCs w:val="20"/>
          <w:color w:val="auto"/>
        </w:rPr>
      </w:pPr>
    </w:p>
    <w:p>
      <w:pPr>
        <w:ind w:left="420" w:hanging="338"/>
        <w:spacing w:after="0"/>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Assumes all long-term debt is outstanding until scheduled maturity.</w:t>
      </w:r>
    </w:p>
    <w:p>
      <w:pPr>
        <w:spacing w:after="0" w:line="92" w:lineRule="exact"/>
        <w:rPr>
          <w:rFonts w:ascii="Arial" w:cs="Arial" w:eastAsia="Arial" w:hAnsi="Arial"/>
          <w:sz w:val="19"/>
          <w:szCs w:val="19"/>
          <w:color w:val="auto"/>
        </w:rPr>
      </w:pPr>
    </w:p>
    <w:p>
      <w:pPr>
        <w:ind w:left="420" w:right="740" w:hanging="338"/>
        <w:spacing w:after="0" w:line="253" w:lineRule="auto"/>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Purchase obligations are entered into with various vendors in the normal course of business and are consistent with our expected requirements.</w:t>
      </w:r>
    </w:p>
    <w:p>
      <w:pPr>
        <w:spacing w:after="0" w:line="66" w:lineRule="exact"/>
        <w:rPr>
          <w:rFonts w:ascii="Arial" w:cs="Arial" w:eastAsia="Arial" w:hAnsi="Arial"/>
          <w:sz w:val="19"/>
          <w:szCs w:val="19"/>
          <w:color w:val="auto"/>
        </w:rPr>
      </w:pPr>
    </w:p>
    <w:p>
      <w:pPr>
        <w:ind w:left="420" w:right="240" w:hanging="338"/>
        <w:spacing w:after="0" w:line="253" w:lineRule="auto"/>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payment amounts in the table only reflect the environmental liabilities which are probable and reasonably estimable as of December 31, 2017.</w:t>
      </w:r>
    </w:p>
    <w:p>
      <w:pPr>
        <w:spacing w:after="0" w:line="66" w:lineRule="exact"/>
        <w:rPr>
          <w:rFonts w:ascii="Arial" w:cs="Arial" w:eastAsia="Arial" w:hAnsi="Arial"/>
          <w:sz w:val="19"/>
          <w:szCs w:val="19"/>
          <w:color w:val="auto"/>
        </w:rPr>
      </w:pPr>
    </w:p>
    <w:p>
      <w:pPr>
        <w:ind w:left="420" w:right="660" w:hanging="338"/>
        <w:spacing w:after="0" w:line="245" w:lineRule="auto"/>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These amounts are estimates of asbestos related cash payments for NARCO and Bendix based on our asbestos related liabilities which are probable and reasonably estimable as of December 31, 2017. See Asbestos Matters in Note 19 Commitments and Contingencies of Notes to Consolidated Financial Statements for additional information.</w:t>
      </w:r>
    </w:p>
    <w:p>
      <w:pPr>
        <w:spacing w:after="0" w:line="73" w:lineRule="exact"/>
        <w:rPr>
          <w:rFonts w:ascii="Arial" w:cs="Arial" w:eastAsia="Arial" w:hAnsi="Arial"/>
          <w:sz w:val="19"/>
          <w:szCs w:val="19"/>
          <w:color w:val="auto"/>
        </w:rPr>
      </w:pPr>
    </w:p>
    <w:p>
      <w:pPr>
        <w:ind w:left="420" w:right="40" w:hanging="338"/>
        <w:spacing w:after="0" w:line="245" w:lineRule="auto"/>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These amounts represent our insurance recoveries that are deemed probable for asbestos related liabilities as of December 31, 2017. See Asbestos Matters in Note 19 Commitments and Contingencies of Notes to Consolidated Financial Statements for additional information.</w:t>
      </w:r>
    </w:p>
    <w:p>
      <w:pPr>
        <w:spacing w:after="0" w:line="73" w:lineRule="exact"/>
        <w:rPr>
          <w:rFonts w:ascii="Arial" w:cs="Arial" w:eastAsia="Arial" w:hAnsi="Arial"/>
          <w:sz w:val="19"/>
          <w:szCs w:val="19"/>
          <w:color w:val="auto"/>
        </w:rPr>
      </w:pPr>
    </w:p>
    <w:p>
      <w:pPr>
        <w:ind w:left="420" w:right="260" w:hanging="338"/>
        <w:spacing w:after="0" w:line="253" w:lineRule="auto"/>
        <w:tabs>
          <w:tab w:leader="none" w:pos="4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table excludes tax liability payments, including those for unrecognized tax benefits. See Note 5 Income Taxes of Notes to Consolidated Financial Statements for additional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color w:val="auto"/>
        </w:rPr>
        <w:t>Accruals for environmental matters deemed probable and reasonably estimable were $287 million, $195 million and $194 million in 2017, 2016 and 2015. In addition, in 2017 and 2016 we incurred operating costs for ongoing businesses of approximately $82 million and $83 million relating to compliance with environmental regulations.</w:t>
      </w:r>
    </w:p>
    <w:p>
      <w:pPr>
        <w:spacing w:after="0" w:line="74"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Spending related to known environmental matters was $212 million, $228 million and $273 million in 2017, 2016 and 2015 and is estimated to be approximately $225 million in 2018. We expect to fund expenditures for these environmental matters from operating cash flow. The timing of cash expenditures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91" w:lineRule="exact"/>
        <w:rPr>
          <w:sz w:val="20"/>
          <w:szCs w:val="20"/>
          <w:color w:val="auto"/>
        </w:rPr>
      </w:pPr>
    </w:p>
    <w:p>
      <w:pPr>
        <w:ind w:right="600" w:firstLine="357"/>
        <w:spacing w:after="0" w:line="253" w:lineRule="auto"/>
        <w:rPr>
          <w:sz w:val="20"/>
          <w:szCs w:val="20"/>
          <w:color w:val="auto"/>
        </w:rPr>
      </w:pPr>
      <w:r>
        <w:rPr>
          <w:rFonts w:ascii="Arial" w:cs="Arial" w:eastAsia="Arial" w:hAnsi="Arial"/>
          <w:sz w:val="19"/>
          <w:szCs w:val="19"/>
          <w:color w:val="auto"/>
        </w:rPr>
        <w:t>See Note 19 Commitments and Contingencies of Notes to Consolidated Financial Statements for further discussion of our environmental matters.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130" w:lineRule="exact"/>
        <w:rPr>
          <w:sz w:val="20"/>
          <w:szCs w:val="20"/>
          <w:color w:val="auto"/>
        </w:rPr>
      </w:pPr>
    </w:p>
    <w:p>
      <w:pPr>
        <w:ind w:right="380" w:firstLine="357"/>
        <w:spacing w:after="0" w:line="245" w:lineRule="auto"/>
        <w:rPr>
          <w:sz w:val="20"/>
          <w:szCs w:val="20"/>
          <w:color w:val="auto"/>
        </w:rPr>
      </w:pPr>
      <w:r>
        <w:rPr>
          <w:rFonts w:ascii="Arial" w:cs="Arial" w:eastAsia="Arial" w:hAnsi="Arial"/>
          <w:sz w:val="19"/>
          <w:szCs w:val="19"/>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5" w:right="259" w:bottom="1440" w:gutter="0" w:footer="0" w:header="0"/>
        </w:sectPr>
      </w:pPr>
    </w:p>
    <w:bookmarkStart w:id="32" w:name="page33"/>
    <w:bookmarkEnd w:id="32"/>
    <w:p>
      <w:pPr>
        <w:ind w:right="120"/>
        <w:spacing w:after="0" w:line="246" w:lineRule="auto"/>
        <w:rPr>
          <w:sz w:val="20"/>
          <w:szCs w:val="20"/>
          <w:color w:val="auto"/>
        </w:rPr>
      </w:pPr>
      <w:r>
        <w:rPr>
          <w:rFonts w:ascii="Arial" w:cs="Arial" w:eastAsia="Arial" w:hAnsi="Arial"/>
          <w:sz w:val="19"/>
          <w:szCs w:val="19"/>
          <w:color w:val="auto"/>
        </w:rPr>
        <w:t>based on a 10% weakening of the U.S. Dollar versus local currency exchange rates across all maturities at December 31, 2017 and 2016.</w:t>
      </w:r>
    </w:p>
    <w:tbl>
      <w:tblPr>
        <w:tblLayout w:type="fixed"/>
        <w:tblInd w:w="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0"/>
              <w:spacing w:after="0" w:line="172" w:lineRule="exact"/>
              <w:rPr>
                <w:sz w:val="20"/>
                <w:szCs w:val="20"/>
                <w:color w:val="auto"/>
              </w:rPr>
            </w:pPr>
            <w:r>
              <w:rPr>
                <w:rFonts w:ascii="Arial" w:cs="Arial" w:eastAsia="Arial" w:hAnsi="Arial"/>
                <w:sz w:val="16"/>
                <w:szCs w:val="16"/>
                <w:b w:val="1"/>
                <w:bCs w:val="1"/>
                <w:color w:val="auto"/>
                <w:w w:val="99"/>
              </w:rPr>
              <w:t>Estimated</w:t>
            </w:r>
          </w:p>
        </w:tc>
      </w:tr>
      <w:tr>
        <w:trPr>
          <w:trHeight w:val="176"/>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8"/>
              </w:rPr>
              <w:t>Increase</w:t>
            </w:r>
          </w:p>
        </w:tc>
      </w:tr>
      <w:tr>
        <w:trPr>
          <w:trHeight w:val="176"/>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29"/>
              <w:spacing w:after="0" w:line="176" w:lineRule="exact"/>
              <w:rPr>
                <w:sz w:val="20"/>
                <w:szCs w:val="20"/>
                <w:color w:val="auto"/>
              </w:rPr>
            </w:pPr>
            <w:r>
              <w:rPr>
                <w:rFonts w:ascii="Arial" w:cs="Arial" w:eastAsia="Arial" w:hAnsi="Arial"/>
                <w:sz w:val="16"/>
                <w:szCs w:val="16"/>
                <w:b w:val="1"/>
                <w:bCs w:val="1"/>
                <w:color w:val="auto"/>
                <w:w w:val="98"/>
              </w:rPr>
              <w:t>Face or</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(Decrease)</w:t>
            </w:r>
          </w:p>
        </w:tc>
      </w:tr>
      <w:tr>
        <w:trPr>
          <w:trHeight w:val="176"/>
        </w:trPr>
        <w:tc>
          <w:tcPr>
            <w:tcW w:w="6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29"/>
              <w:spacing w:after="0" w:line="176" w:lineRule="exact"/>
              <w:rPr>
                <w:sz w:val="20"/>
                <w:szCs w:val="20"/>
                <w:color w:val="auto"/>
              </w:rPr>
            </w:pPr>
            <w:r>
              <w:rPr>
                <w:rFonts w:ascii="Arial" w:cs="Arial" w:eastAsia="Arial" w:hAnsi="Arial"/>
                <w:sz w:val="16"/>
                <w:szCs w:val="16"/>
                <w:b w:val="1"/>
                <w:bCs w:val="1"/>
                <w:color w:val="auto"/>
                <w:w w:val="99"/>
              </w:rPr>
              <w:t>Notional</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68"/>
              <w:spacing w:after="0" w:line="176" w:lineRule="exact"/>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48"/>
              <w:spacing w:after="0" w:line="176"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9"/>
              </w:rPr>
              <w:t>in Fair</w:t>
            </w:r>
          </w:p>
        </w:tc>
      </w:tr>
      <w:tr>
        <w:trPr>
          <w:trHeight w:val="190"/>
        </w:trPr>
        <w:tc>
          <w:tcPr>
            <w:tcW w:w="6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9"/>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9"/>
              </w:rPr>
              <w:t>Value(1)</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9"/>
              </w:rPr>
              <w:t>Value(1)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96"/>
              </w:rPr>
              <w:t>Value(2)</w:t>
            </w:r>
          </w:p>
        </w:tc>
      </w:tr>
      <w:tr>
        <w:trPr>
          <w:trHeight w:val="210"/>
        </w:trPr>
        <w:tc>
          <w:tcPr>
            <w:tcW w:w="67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December 31, 2017</w:t>
            </w: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6700" w:type="dxa"/>
            <w:vAlign w:val="bottom"/>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67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13,924</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(13,924)</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(14,695)</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(782)</w:t>
            </w:r>
          </w:p>
        </w:tc>
      </w:tr>
      <w:tr>
        <w:trPr>
          <w:trHeight w:val="243"/>
        </w:trPr>
        <w:tc>
          <w:tcPr>
            <w:tcW w:w="6700" w:type="dxa"/>
            <w:vAlign w:val="bottom"/>
          </w:tcPr>
          <w:p>
            <w:pPr>
              <w:ind w:left="180"/>
              <w:spacing w:after="0"/>
              <w:rPr>
                <w:sz w:val="20"/>
                <w:szCs w:val="20"/>
                <w:color w:val="auto"/>
              </w:rPr>
            </w:pPr>
            <w:r>
              <w:rPr>
                <w:rFonts w:ascii="Arial" w:cs="Arial" w:eastAsia="Arial" w:hAnsi="Arial"/>
                <w:sz w:val="19"/>
                <w:szCs w:val="19"/>
                <w:color w:val="auto"/>
              </w:rPr>
              <w:t>Interest rate swap agreements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(233)</w:t>
            </w:r>
          </w:p>
        </w:tc>
      </w:tr>
      <w:tr>
        <w:trPr>
          <w:trHeight w:val="216"/>
        </w:trPr>
        <w:tc>
          <w:tcPr>
            <w:tcW w:w="67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9"/>
                <w:szCs w:val="19"/>
                <w:color w:val="auto"/>
              </w:rPr>
              <w:t>Foreign currency exchange contracts(3)</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9,273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(53)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(58)</w:t>
            </w:r>
          </w:p>
        </w:tc>
      </w:tr>
      <w:tr>
        <w:trPr>
          <w:trHeight w:val="216"/>
        </w:trPr>
        <w:tc>
          <w:tcPr>
            <w:tcW w:w="67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December 31, 2016</w:t>
            </w: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6700" w:type="dxa"/>
            <w:vAlign w:val="bottom"/>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67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12,409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(12,409)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(13,008)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(537)</w:t>
            </w:r>
          </w:p>
        </w:tc>
      </w:tr>
      <w:tr>
        <w:trPr>
          <w:trHeight w:val="243"/>
        </w:trPr>
        <w:tc>
          <w:tcPr>
            <w:tcW w:w="6700" w:type="dxa"/>
            <w:vAlign w:val="bottom"/>
          </w:tcPr>
          <w:p>
            <w:pPr>
              <w:ind w:left="180"/>
              <w:spacing w:after="0"/>
              <w:rPr>
                <w:sz w:val="20"/>
                <w:szCs w:val="20"/>
                <w:color w:val="auto"/>
              </w:rPr>
            </w:pPr>
            <w:r>
              <w:rPr>
                <w:rFonts w:ascii="Arial" w:cs="Arial" w:eastAsia="Arial" w:hAnsi="Arial"/>
                <w:sz w:val="19"/>
                <w:szCs w:val="19"/>
                <w:color w:val="auto"/>
              </w:rPr>
              <w:t>Interest rate swap agreements</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1,850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(112)</w:t>
            </w:r>
          </w:p>
        </w:tc>
      </w:tr>
      <w:tr>
        <w:trPr>
          <w:trHeight w:val="216"/>
        </w:trPr>
        <w:tc>
          <w:tcPr>
            <w:tcW w:w="67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61"/>
        </w:trPr>
        <w:tc>
          <w:tcPr>
            <w:tcW w:w="6700" w:type="dxa"/>
            <w:vAlign w:val="bottom"/>
          </w:tcPr>
          <w:p>
            <w:pPr>
              <w:ind w:left="180"/>
              <w:spacing w:after="0"/>
              <w:rPr>
                <w:sz w:val="20"/>
                <w:szCs w:val="20"/>
                <w:color w:val="auto"/>
              </w:rPr>
            </w:pPr>
            <w:r>
              <w:rPr>
                <w:rFonts w:ascii="Arial" w:cs="Arial" w:eastAsia="Arial" w:hAnsi="Arial"/>
                <w:sz w:val="19"/>
                <w:szCs w:val="19"/>
                <w:color w:val="auto"/>
              </w:rPr>
              <w:t>Foreign currency exchange contracts(3)</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9,554</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150</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150</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(195)</w:t>
            </w:r>
          </w:p>
        </w:tc>
      </w:tr>
    </w:tbl>
    <w:p>
      <w:pPr>
        <w:spacing w:after="0" w:line="307" w:lineRule="exact"/>
        <w:rPr>
          <w:sz w:val="20"/>
          <w:szCs w:val="20"/>
          <w:color w:val="auto"/>
        </w:rPr>
      </w:pPr>
    </w:p>
    <w:p>
      <w:pPr>
        <w:ind w:left="420" w:hanging="338"/>
        <w:spacing w:after="0"/>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Asset or (liability).</w:t>
      </w:r>
    </w:p>
    <w:p>
      <w:pPr>
        <w:spacing w:after="0" w:line="92" w:lineRule="exact"/>
        <w:rPr>
          <w:rFonts w:ascii="Arial" w:cs="Arial" w:eastAsia="Arial" w:hAnsi="Arial"/>
          <w:sz w:val="19"/>
          <w:szCs w:val="19"/>
          <w:color w:val="auto"/>
        </w:rPr>
      </w:pPr>
    </w:p>
    <w:p>
      <w:pPr>
        <w:ind w:left="420" w:right="60" w:hanging="338"/>
        <w:spacing w:after="0" w:line="245" w:lineRule="auto"/>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equal to the inverse of the amount disclosed in the table.</w:t>
      </w:r>
    </w:p>
    <w:p>
      <w:pPr>
        <w:spacing w:after="0" w:line="73" w:lineRule="exact"/>
        <w:rPr>
          <w:rFonts w:ascii="Arial" w:cs="Arial" w:eastAsia="Arial" w:hAnsi="Arial"/>
          <w:sz w:val="19"/>
          <w:szCs w:val="19"/>
          <w:color w:val="auto"/>
        </w:rPr>
      </w:pPr>
    </w:p>
    <w:p>
      <w:pPr>
        <w:ind w:left="420" w:right="580" w:hanging="338"/>
        <w:spacing w:after="0" w:line="253" w:lineRule="auto"/>
        <w:tabs>
          <w:tab w:leader="none" w:pos="4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Changes in the fair value of foreign currency exchange contracts are offset by changes in the fair value, cash flows, or net investments of underlying hedged foreign currency transactions or foreign operations.</w:t>
      </w:r>
    </w:p>
    <w:p>
      <w:pPr>
        <w:spacing w:after="0" w:line="80" w:lineRule="exact"/>
        <w:rPr>
          <w:sz w:val="20"/>
          <w:szCs w:val="20"/>
          <w:color w:val="auto"/>
        </w:rPr>
      </w:pPr>
    </w:p>
    <w:p>
      <w:pPr>
        <w:ind w:right="940" w:firstLine="357"/>
        <w:spacing w:after="0" w:line="253" w:lineRule="auto"/>
        <w:rPr>
          <w:sz w:val="20"/>
          <w:szCs w:val="20"/>
          <w:color w:val="auto"/>
        </w:rPr>
      </w:pPr>
      <w:r>
        <w:rPr>
          <w:rFonts w:ascii="Arial" w:cs="Arial" w:eastAsia="Arial" w:hAnsi="Arial"/>
          <w:sz w:val="19"/>
          <w:szCs w:val="19"/>
          <w:color w:val="auto"/>
        </w:rPr>
        <w:t>See Note 14 Financial Instruments and Fair Value Measures of Notes to Consolidated Financial Statements for further discussion on the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CRITICAL ACCOUNTING POLICIES</w:t>
      </w:r>
    </w:p>
    <w:p>
      <w:pPr>
        <w:spacing w:after="0" w:line="147"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67"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b w:val="1"/>
          <w:bCs w:val="1"/>
          <w:i w:val="1"/>
          <w:iCs w:val="1"/>
          <w:color w:val="auto"/>
        </w:rPr>
        <w:t>Contingent Liabilities</w:t>
      </w:r>
      <w:r>
        <w:rPr>
          <w:rFonts w:ascii="Arial" w:cs="Arial" w:eastAsia="Arial" w:hAnsi="Arial"/>
          <w:sz w:val="19"/>
          <w:szCs w:val="19"/>
          <w:color w:val="auto"/>
        </w:rPr>
        <w:t>—We are subject to a number of lawsuits, investigations and claims (some of which involve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thorough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Consolidated Financial Statements for 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3" w:name="page34"/>
    <w:bookmarkEnd w:id="33"/>
    <w:p>
      <w:pPr>
        <w:ind w:right="440"/>
        <w:spacing w:after="0" w:line="253" w:lineRule="auto"/>
        <w:rPr>
          <w:sz w:val="20"/>
          <w:szCs w:val="20"/>
          <w:color w:val="auto"/>
        </w:rPr>
      </w:pPr>
      <w:r>
        <w:rPr>
          <w:rFonts w:ascii="Arial" w:cs="Arial" w:eastAsia="Arial" w:hAnsi="Arial"/>
          <w:sz w:val="19"/>
          <w:szCs w:val="19"/>
          <w:color w:val="auto"/>
        </w:rPr>
        <w:t>discussion of management’s judgment applied in the recognition and measurement of our environmental and asbestos liabilities which represent our most significant contingencies.</w:t>
      </w:r>
    </w:p>
    <w:p>
      <w:pPr>
        <w:spacing w:after="0" w:line="56" w:lineRule="exact"/>
        <w:rPr>
          <w:sz w:val="20"/>
          <w:szCs w:val="20"/>
          <w:color w:val="auto"/>
        </w:rPr>
      </w:pPr>
    </w:p>
    <w:p>
      <w:pPr>
        <w:ind w:firstLine="357"/>
        <w:spacing w:after="0"/>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—Honeywell’s involvement in asbestos related personal injury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actions 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also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 approval rates of claims submitted to the NARCO Trust and epidemiological studies estimating disease instances. The estimated value of the future NARCO liability reflects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 Given the Trust’s lack of sufficient claims processing experience since NARCO emerged from bankruptcy protection, it is not yet possible to reliably estimate future claim costs based on actual Trust experience. Regarding Bendix Friction Materials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w:t>
      </w:r>
    </w:p>
    <w:p>
      <w:pPr>
        <w:spacing w:after="0" w:line="295"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w:t>
      </w:r>
    </w:p>
    <w:p>
      <w:pPr>
        <w:spacing w:after="0" w:line="305"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See Note 19 Commitments and Contingencies of Notes to Consolidated Financial Statements for a discussion of management’s judgments applied in the recognition and measurement of our asbestos-related liabilities and related insurance recoveries.</w:t>
      </w:r>
    </w:p>
    <w:p>
      <w:pPr>
        <w:spacing w:after="0" w:line="56"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b w:val="1"/>
          <w:bCs w:val="1"/>
          <w:i w:val="1"/>
          <w:iCs w:val="1"/>
          <w:color w:val="auto"/>
        </w:rPr>
        <w:t>Defined Benefit Pension Plans</w:t>
      </w:r>
      <w:r>
        <w:rPr>
          <w:rFonts w:ascii="Arial" w:cs="Arial" w:eastAsia="Arial" w:hAnsi="Arial"/>
          <w:sz w:val="19"/>
          <w:szCs w:val="19"/>
          <w:color w:val="auto"/>
        </w:rPr>
        <w:t>—We sponsor both funded and unfunded U.S. and non-U.S. defined benefit pension plans.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1" w:right="279" w:bottom="1440" w:gutter="0" w:footer="0" w:header="0"/>
        </w:sectPr>
      </w:pPr>
    </w:p>
    <w:bookmarkStart w:id="34" w:name="page35"/>
    <w:bookmarkEnd w:id="34"/>
    <w:p>
      <w:pPr>
        <w:ind w:right="380" w:firstLine="357"/>
        <w:spacing w:after="0" w:line="246" w:lineRule="auto"/>
        <w:rPr>
          <w:sz w:val="20"/>
          <w:szCs w:val="20"/>
          <w:color w:val="auto"/>
        </w:rPr>
      </w:pPr>
      <w:r>
        <w:rPr>
          <w:rFonts w:ascii="Arial" w:cs="Arial" w:eastAsia="Arial" w:hAnsi="Arial"/>
          <w:sz w:val="19"/>
          <w:szCs w:val="19"/>
          <w:color w:val="auto"/>
        </w:rPr>
        <w:t>The key assumptions used in developing our 2017, 2016 and 2015 net periodic pension (income) expense for our U.S. plans included the following:</w:t>
      </w:r>
    </w:p>
    <w:p>
      <w:pPr>
        <w:spacing w:after="0" w:line="2"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720" w:type="dxa"/>
            <w:vAlign w:val="bottom"/>
          </w:tcPr>
          <w:p>
            <w:pPr>
              <w:jc w:val="right"/>
              <w:ind w:right="86"/>
              <w:spacing w:after="0"/>
              <w:rPr>
                <w:sz w:val="20"/>
                <w:szCs w:val="20"/>
                <w:color w:val="auto"/>
              </w:rPr>
            </w:pPr>
            <w:r>
              <w:rPr>
                <w:rFonts w:ascii="Arial" w:cs="Arial" w:eastAsia="Arial" w:hAnsi="Arial"/>
                <w:sz w:val="16"/>
                <w:szCs w:val="16"/>
                <w:b w:val="1"/>
                <w:bCs w:val="1"/>
                <w:color w:val="auto"/>
              </w:rPr>
              <w:t>2017</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2016</w:t>
            </w:r>
          </w:p>
        </w:tc>
        <w:tc>
          <w:tcPr>
            <w:tcW w:w="1080" w:type="dxa"/>
            <w:vAlign w:val="bottom"/>
            <w:gridSpan w:val="2"/>
          </w:tcPr>
          <w:p>
            <w:pPr>
              <w:ind w:left="520"/>
              <w:spacing w:after="0"/>
              <w:rPr>
                <w:sz w:val="20"/>
                <w:szCs w:val="20"/>
                <w:color w:val="auto"/>
              </w:rPr>
            </w:pPr>
            <w:r>
              <w:rPr>
                <w:rFonts w:ascii="Arial" w:cs="Arial" w:eastAsia="Arial" w:hAnsi="Arial"/>
                <w:sz w:val="16"/>
                <w:szCs w:val="16"/>
                <w:b w:val="1"/>
                <w:bCs w:val="1"/>
                <w:color w:val="auto"/>
              </w:rPr>
              <w:t>2015</w:t>
            </w:r>
          </w:p>
        </w:tc>
      </w:tr>
      <w:tr>
        <w:trPr>
          <w:trHeight w:val="210"/>
        </w:trPr>
        <w:tc>
          <w:tcPr>
            <w:tcW w:w="66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Discount Rate:</w:t>
            </w:r>
          </w:p>
        </w:tc>
        <w:tc>
          <w:tcPr>
            <w:tcW w:w="7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spacing w:after="0"/>
              <w:rPr>
                <w:sz w:val="18"/>
                <w:szCs w:val="18"/>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9"/>
                <w:szCs w:val="19"/>
                <w:color w:val="auto"/>
              </w:rPr>
              <w:t>Projected benefit obligation</w:t>
            </w:r>
          </w:p>
        </w:tc>
        <w:tc>
          <w:tcPr>
            <w:tcW w:w="720" w:type="dxa"/>
            <w:vAlign w:val="bottom"/>
          </w:tcPr>
          <w:p>
            <w:pPr>
              <w:jc w:val="right"/>
              <w:spacing w:after="0"/>
              <w:rPr>
                <w:sz w:val="20"/>
                <w:szCs w:val="20"/>
                <w:color w:val="auto"/>
              </w:rPr>
            </w:pPr>
            <w:r>
              <w:rPr>
                <w:rFonts w:ascii="Arial" w:cs="Arial" w:eastAsia="Arial" w:hAnsi="Arial"/>
                <w:sz w:val="19"/>
                <w:szCs w:val="19"/>
                <w:color w:val="auto"/>
              </w:rPr>
              <w:t>4.20%</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4.46%</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4.08%</w:t>
            </w:r>
          </w:p>
        </w:tc>
      </w:tr>
      <w:tr>
        <w:trPr>
          <w:trHeight w:val="243"/>
        </w:trPr>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cost(1)</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4.42%</w:t>
            </w: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4.69%</w:t>
            </w:r>
          </w:p>
        </w:tc>
        <w:tc>
          <w:tcPr>
            <w:tcW w:w="320" w:type="dxa"/>
            <w:vAlign w:val="bottom"/>
            <w:shd w:val="clear" w:color="auto" w:fill="E5FFFF"/>
          </w:tcPr>
          <w:p>
            <w:pPr>
              <w:spacing w:after="0"/>
              <w:rPr>
                <w:sz w:val="21"/>
                <w:szCs w:val="21"/>
                <w:color w:val="auto"/>
              </w:rPr>
            </w:pPr>
          </w:p>
        </w:tc>
        <w:tc>
          <w:tcPr>
            <w:tcW w:w="760" w:type="dxa"/>
            <w:vAlign w:val="bottom"/>
            <w:shd w:val="clear" w:color="auto" w:fill="E5FFFF"/>
          </w:tcPr>
          <w:p>
            <w:pPr>
              <w:ind w:left="200"/>
              <w:spacing w:after="0"/>
              <w:rPr>
                <w:sz w:val="20"/>
                <w:szCs w:val="20"/>
                <w:color w:val="auto"/>
              </w:rPr>
            </w:pPr>
            <w:r>
              <w:rPr>
                <w:rFonts w:ascii="Arial" w:cs="Arial" w:eastAsia="Arial" w:hAnsi="Arial"/>
                <w:sz w:val="19"/>
                <w:szCs w:val="19"/>
                <w:color w:val="auto"/>
              </w:rPr>
              <w:t>N/A</w:t>
            </w:r>
          </w:p>
        </w:tc>
      </w:tr>
      <w:tr>
        <w:trPr>
          <w:trHeight w:val="243"/>
        </w:trPr>
        <w:tc>
          <w:tcPr>
            <w:tcW w:w="6600" w:type="dxa"/>
            <w:vAlign w:val="bottom"/>
          </w:tcPr>
          <w:p>
            <w:pPr>
              <w:ind w:left="360"/>
              <w:spacing w:after="0"/>
              <w:rPr>
                <w:sz w:val="20"/>
                <w:szCs w:val="20"/>
                <w:color w:val="auto"/>
              </w:rPr>
            </w:pPr>
            <w:r>
              <w:rPr>
                <w:rFonts w:ascii="Arial" w:cs="Arial" w:eastAsia="Arial" w:hAnsi="Arial"/>
                <w:sz w:val="19"/>
                <w:szCs w:val="19"/>
                <w:color w:val="auto"/>
              </w:rPr>
              <w:t>Interest cost(1)</w:t>
            </w:r>
          </w:p>
        </w:tc>
        <w:tc>
          <w:tcPr>
            <w:tcW w:w="720" w:type="dxa"/>
            <w:vAlign w:val="bottom"/>
          </w:tcPr>
          <w:p>
            <w:pPr>
              <w:jc w:val="right"/>
              <w:spacing w:after="0"/>
              <w:rPr>
                <w:sz w:val="20"/>
                <w:szCs w:val="20"/>
                <w:color w:val="auto"/>
              </w:rPr>
            </w:pPr>
            <w:r>
              <w:rPr>
                <w:rFonts w:ascii="Arial" w:cs="Arial" w:eastAsia="Arial" w:hAnsi="Arial"/>
                <w:sz w:val="19"/>
                <w:szCs w:val="19"/>
                <w:color w:val="auto"/>
              </w:rPr>
              <w:t>3.49%</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3.59%</w:t>
            </w:r>
          </w:p>
        </w:tc>
        <w:tc>
          <w:tcPr>
            <w:tcW w:w="32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Arial" w:cs="Arial" w:eastAsia="Arial" w:hAnsi="Arial"/>
                <w:sz w:val="19"/>
                <w:szCs w:val="19"/>
                <w:color w:val="auto"/>
              </w:rPr>
              <w:t>N/A</w:t>
            </w:r>
          </w:p>
        </w:tc>
      </w:tr>
      <w:tr>
        <w:trPr>
          <w:trHeight w:val="216"/>
        </w:trPr>
        <w:tc>
          <w:tcPr>
            <w:tcW w:w="66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Assets:</w:t>
            </w: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r>
      <w:tr>
        <w:trPr>
          <w:trHeight w:val="243"/>
        </w:trPr>
        <w:tc>
          <w:tcPr>
            <w:tcW w:w="6600" w:type="dxa"/>
            <w:vAlign w:val="bottom"/>
          </w:tcPr>
          <w:p>
            <w:pPr>
              <w:ind w:left="360"/>
              <w:spacing w:after="0"/>
              <w:rPr>
                <w:sz w:val="20"/>
                <w:szCs w:val="20"/>
                <w:color w:val="auto"/>
              </w:rPr>
            </w:pPr>
            <w:r>
              <w:rPr>
                <w:rFonts w:ascii="Arial" w:cs="Arial" w:eastAsia="Arial" w:hAnsi="Arial"/>
                <w:sz w:val="19"/>
                <w:szCs w:val="19"/>
                <w:color w:val="auto"/>
              </w:rPr>
              <w:t>Expected rate of return</w:t>
            </w:r>
          </w:p>
        </w:tc>
        <w:tc>
          <w:tcPr>
            <w:tcW w:w="720" w:type="dxa"/>
            <w:vAlign w:val="bottom"/>
          </w:tcPr>
          <w:p>
            <w:pPr>
              <w:jc w:val="right"/>
              <w:spacing w:after="0"/>
              <w:rPr>
                <w:sz w:val="20"/>
                <w:szCs w:val="20"/>
                <w:color w:val="auto"/>
              </w:rPr>
            </w:pPr>
            <w:r>
              <w:rPr>
                <w:rFonts w:ascii="Arial" w:cs="Arial" w:eastAsia="Arial" w:hAnsi="Arial"/>
                <w:sz w:val="19"/>
                <w:szCs w:val="19"/>
                <w:color w:val="auto"/>
              </w:rPr>
              <w:t>7.75%</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7.75%</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7.75%</w:t>
            </w:r>
          </w:p>
        </w:tc>
      </w:tr>
      <w:tr>
        <w:trPr>
          <w:trHeight w:val="243"/>
        </w:trPr>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rate of return</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20.5%</w:t>
            </w:r>
          </w:p>
        </w:tc>
        <w:tc>
          <w:tcPr>
            <w:tcW w:w="10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9.7%</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w:t>
            </w:r>
          </w:p>
        </w:tc>
      </w:tr>
      <w:tr>
        <w:trPr>
          <w:trHeight w:val="261"/>
        </w:trPr>
        <w:tc>
          <w:tcPr>
            <w:tcW w:w="6600" w:type="dxa"/>
            <w:vAlign w:val="bottom"/>
          </w:tcPr>
          <w:p>
            <w:pPr>
              <w:ind w:left="360"/>
              <w:spacing w:after="0"/>
              <w:rPr>
                <w:sz w:val="20"/>
                <w:szCs w:val="20"/>
                <w:color w:val="auto"/>
              </w:rPr>
            </w:pPr>
            <w:r>
              <w:rPr>
                <w:rFonts w:ascii="Arial" w:cs="Arial" w:eastAsia="Arial" w:hAnsi="Arial"/>
                <w:sz w:val="19"/>
                <w:szCs w:val="19"/>
                <w:color w:val="auto"/>
              </w:rPr>
              <w:t>Actual 10 year average annual compounded rate of return</w:t>
            </w:r>
          </w:p>
        </w:tc>
        <w:tc>
          <w:tcPr>
            <w:tcW w:w="720" w:type="dxa"/>
            <w:vAlign w:val="bottom"/>
          </w:tcPr>
          <w:p>
            <w:pPr>
              <w:jc w:val="right"/>
              <w:spacing w:after="0"/>
              <w:rPr>
                <w:sz w:val="20"/>
                <w:szCs w:val="20"/>
                <w:color w:val="auto"/>
              </w:rPr>
            </w:pPr>
            <w:r>
              <w:rPr>
                <w:rFonts w:ascii="Arial" w:cs="Arial" w:eastAsia="Arial" w:hAnsi="Arial"/>
                <w:sz w:val="19"/>
                <w:szCs w:val="19"/>
                <w:color w:val="auto"/>
              </w:rPr>
              <w:t>7.4%</w:t>
            </w:r>
          </w:p>
        </w:tc>
        <w:tc>
          <w:tcPr>
            <w:tcW w:w="1000" w:type="dxa"/>
            <w:vAlign w:val="bottom"/>
            <w:gridSpan w:val="2"/>
          </w:tcPr>
          <w:p>
            <w:pPr>
              <w:jc w:val="right"/>
              <w:ind w:right="40"/>
              <w:spacing w:after="0"/>
              <w:rPr>
                <w:sz w:val="20"/>
                <w:szCs w:val="20"/>
                <w:color w:val="auto"/>
              </w:rPr>
            </w:pPr>
            <w:r>
              <w:rPr>
                <w:rFonts w:ascii="Arial" w:cs="Arial" w:eastAsia="Arial" w:hAnsi="Arial"/>
                <w:sz w:val="19"/>
                <w:szCs w:val="19"/>
                <w:color w:val="auto"/>
              </w:rPr>
              <w:t>6.4%</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6.8%</w:t>
            </w:r>
          </w:p>
        </w:tc>
      </w:tr>
    </w:tbl>
    <w:p>
      <w:pPr>
        <w:spacing w:after="0" w:line="307" w:lineRule="exact"/>
        <w:rPr>
          <w:sz w:val="20"/>
          <w:szCs w:val="20"/>
          <w:color w:val="auto"/>
        </w:rPr>
      </w:pPr>
    </w:p>
    <w:p>
      <w:pPr>
        <w:ind w:left="420" w:right="900" w:hanging="338"/>
        <w:spacing w:after="0" w:line="253"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 in 2015 as the discount rate methodology was changed in fourth quarter of 2015. See Note 20 Pension and Other Postretirement Benefits of Notes to Consolidated Financial Statements.</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MTM Adjustment represents the recognition of net actuarial gains or losses in excess of 10% of the greater of the fair value of plan assets or the plans’ projected benefit obligation (the corridor). Net actuarial gains and losses occur when the actual experience differs from any of the 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$87 million, $273 million and $67 million in 2017, 2016 and 2015.</w:t>
      </w:r>
    </w:p>
    <w:p>
      <w:pPr>
        <w:spacing w:after="0" w:line="91" w:lineRule="exact"/>
        <w:rPr>
          <w:sz w:val="20"/>
          <w:szCs w:val="20"/>
          <w:color w:val="auto"/>
        </w:rPr>
      </w:pPr>
    </w:p>
    <w:p>
      <w:pPr>
        <w:ind w:right="220" w:firstLine="357"/>
        <w:spacing w:after="0"/>
        <w:rPr>
          <w:sz w:val="20"/>
          <w:szCs w:val="20"/>
          <w:color w:val="auto"/>
        </w:rPr>
      </w:pPr>
      <w:r>
        <w:rPr>
          <w:rFonts w:ascii="Arial" w:cs="Arial" w:eastAsia="Arial" w:hAnsi="Arial"/>
          <w:sz w:val="19"/>
          <w:szCs w:val="19"/>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Consolidated Financial Statements for details on the actual various asset classes and targeted asset allocation percentages for our pension plans). We plan to continue to use an expected rate of return on plan assets of 7.75% for 2018 as this is a long-term rate based on historical plan asset returns over varying long term periods combined with our expectations of future market conditions and the asset mix of the plan’s investments.</w:t>
      </w:r>
    </w:p>
    <w:p>
      <w:pPr>
        <w:spacing w:after="0" w:line="94"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used a 3.68% discount rate to determine benefit obligations as of December 31, 2017, reflecting the decrease in the market interest rate environment since the prior year-end.</w:t>
      </w:r>
    </w:p>
    <w:p>
      <w:pPr>
        <w:spacing w:after="0" w:line="31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Impact on 2018</w:t>
            </w: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76"/>
        </w:trPr>
        <w:tc>
          <w:tcPr>
            <w:tcW w:w="5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Pension Ongoing</w:t>
            </w:r>
          </w:p>
        </w:tc>
        <w:tc>
          <w:tcPr>
            <w:tcW w:w="30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90"/>
        </w:trPr>
        <w:tc>
          <w:tcPr>
            <w:tcW w:w="572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Change in Assumption</w:t>
            </w:r>
          </w:p>
        </w:tc>
        <w:tc>
          <w:tcPr>
            <w:tcW w:w="3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Expense</w:t>
            </w:r>
          </w:p>
        </w:tc>
        <w:tc>
          <w:tcPr>
            <w:tcW w:w="30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Impact on PBO</w:t>
            </w:r>
          </w:p>
        </w:tc>
      </w:tr>
      <w:tr>
        <w:trPr>
          <w:trHeight w:val="237"/>
        </w:trPr>
        <w:tc>
          <w:tcPr>
            <w:tcW w:w="5720" w:type="dxa"/>
            <w:vAlign w:val="bottom"/>
            <w:shd w:val="clear" w:color="auto" w:fill="E5FFFF"/>
          </w:tcPr>
          <w:p>
            <w:pPr>
              <w:spacing w:after="0"/>
              <w:rPr>
                <w:sz w:val="20"/>
                <w:szCs w:val="20"/>
                <w:color w:val="auto"/>
              </w:rPr>
            </w:pPr>
            <w:r>
              <w:rPr>
                <w:rFonts w:ascii="Arial" w:cs="Arial" w:eastAsia="Arial" w:hAnsi="Arial"/>
                <w:sz w:val="19"/>
                <w:szCs w:val="19"/>
                <w:color w:val="auto"/>
              </w:rPr>
              <w:t>0.25 percentage point decrease in discount rate</w:t>
            </w:r>
          </w:p>
        </w:tc>
        <w:tc>
          <w:tcPr>
            <w:tcW w:w="300" w:type="dxa"/>
            <w:vAlign w:val="bottom"/>
            <w:shd w:val="clear" w:color="auto" w:fill="E5FFFF"/>
          </w:tcPr>
          <w:p>
            <w:pPr>
              <w:spacing w:after="0"/>
              <w:rPr>
                <w:sz w:val="20"/>
                <w:szCs w:val="20"/>
                <w:color w:val="auto"/>
              </w:rPr>
            </w:pPr>
          </w:p>
        </w:tc>
        <w:tc>
          <w:tcPr>
            <w:tcW w:w="23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Decrease $22 million</w:t>
            </w:r>
          </w:p>
        </w:tc>
        <w:tc>
          <w:tcPr>
            <w:tcW w:w="300" w:type="dxa"/>
            <w:vAlign w:val="bottom"/>
            <w:shd w:val="clear" w:color="auto" w:fill="E5FFFF"/>
          </w:tcPr>
          <w:p>
            <w:pPr>
              <w:spacing w:after="0"/>
              <w:rPr>
                <w:sz w:val="20"/>
                <w:szCs w:val="20"/>
                <w:color w:val="auto"/>
              </w:rPr>
            </w:pPr>
          </w:p>
        </w:tc>
        <w:tc>
          <w:tcPr>
            <w:tcW w:w="2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Increase $520 million</w:t>
            </w:r>
          </w:p>
        </w:tc>
      </w:tr>
      <w:tr>
        <w:trPr>
          <w:trHeight w:val="243"/>
        </w:trPr>
        <w:tc>
          <w:tcPr>
            <w:tcW w:w="5720" w:type="dxa"/>
            <w:vAlign w:val="bottom"/>
          </w:tcPr>
          <w:p>
            <w:pPr>
              <w:spacing w:after="0"/>
              <w:rPr>
                <w:sz w:val="20"/>
                <w:szCs w:val="20"/>
                <w:color w:val="auto"/>
              </w:rPr>
            </w:pPr>
            <w:r>
              <w:rPr>
                <w:rFonts w:ascii="Arial" w:cs="Arial" w:eastAsia="Arial" w:hAnsi="Arial"/>
                <w:sz w:val="19"/>
                <w:szCs w:val="19"/>
                <w:color w:val="auto"/>
              </w:rPr>
              <w:t>0.25 percentage point increase in discount rate</w:t>
            </w:r>
          </w:p>
        </w:tc>
        <w:tc>
          <w:tcPr>
            <w:tcW w:w="3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Increase $22 million</w:t>
            </w:r>
          </w:p>
        </w:tc>
        <w:tc>
          <w:tcPr>
            <w:tcW w:w="30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Decrease $510 million</w:t>
            </w:r>
          </w:p>
        </w:tc>
      </w:tr>
      <w:tr>
        <w:trPr>
          <w:trHeight w:val="216"/>
        </w:trPr>
        <w:tc>
          <w:tcPr>
            <w:tcW w:w="572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0.25 percentage point decrease in expected rate of return on</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spacing w:after="0"/>
              <w:rPr>
                <w:sz w:val="18"/>
                <w:szCs w:val="18"/>
                <w:color w:val="auto"/>
              </w:rPr>
            </w:pPr>
          </w:p>
        </w:tc>
      </w:tr>
      <w:tr>
        <w:trPr>
          <w:trHeight w:val="216"/>
        </w:trPr>
        <w:tc>
          <w:tcPr>
            <w:tcW w:w="57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assets</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Increase $47 million</w:t>
            </w: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9"/>
                <w:szCs w:val="19"/>
                <w:color w:val="auto"/>
              </w:rPr>
              <w:t>0.25 percentage point increase in expected rate of return on</w:t>
            </w: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5720" w:type="dxa"/>
            <w:vAlign w:val="bottom"/>
          </w:tcPr>
          <w:p>
            <w:pPr>
              <w:ind w:left="180"/>
              <w:spacing w:after="0"/>
              <w:rPr>
                <w:sz w:val="20"/>
                <w:szCs w:val="20"/>
                <w:color w:val="auto"/>
              </w:rPr>
            </w:pPr>
            <w:r>
              <w:rPr>
                <w:rFonts w:ascii="Arial" w:cs="Arial" w:eastAsia="Arial" w:hAnsi="Arial"/>
                <w:sz w:val="19"/>
                <w:szCs w:val="19"/>
                <w:color w:val="auto"/>
              </w:rPr>
              <w:t>assets</w:t>
            </w:r>
          </w:p>
        </w:tc>
        <w:tc>
          <w:tcPr>
            <w:tcW w:w="3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Decrease $46 million</w:t>
            </w:r>
          </w:p>
        </w:tc>
        <w:tc>
          <w:tcPr>
            <w:tcW w:w="3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w:t>
            </w:r>
          </w:p>
        </w:tc>
      </w:tr>
    </w:tbl>
    <w:p>
      <w:pPr>
        <w:spacing w:after="0" w:line="91" w:lineRule="exact"/>
        <w:rPr>
          <w:sz w:val="20"/>
          <w:szCs w:val="20"/>
          <w:color w:val="auto"/>
        </w:rPr>
      </w:pPr>
    </w:p>
    <w:p>
      <w:pPr>
        <w:ind w:right="720" w:firstLine="357"/>
        <w:spacing w:after="0" w:line="253" w:lineRule="auto"/>
        <w:rPr>
          <w:sz w:val="20"/>
          <w:szCs w:val="20"/>
          <w:color w:val="auto"/>
        </w:rPr>
      </w:pPr>
      <w:r>
        <w:rPr>
          <w:rFonts w:ascii="Arial" w:cs="Arial" w:eastAsia="Arial" w:hAnsi="Arial"/>
          <w:sz w:val="19"/>
          <w:szCs w:val="19"/>
          <w:color w:val="auto"/>
        </w:rPr>
        <w:t>Pension ongoing income for all of our pension plans is expected to be approximately $984 million in 2018 compared with pension ongoing income of $713 million in 2017. The expected increase is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5" w:name="page36"/>
    <w:bookmarkEnd w:id="35"/>
    <w:p>
      <w:pPr>
        <w:jc w:val="both"/>
        <w:ind w:right="80"/>
        <w:spacing w:after="0" w:line="241" w:lineRule="auto"/>
        <w:rPr>
          <w:sz w:val="20"/>
          <w:szCs w:val="20"/>
          <w:color w:val="auto"/>
        </w:rPr>
      </w:pPr>
      <w:r>
        <w:rPr>
          <w:rFonts w:ascii="Arial" w:cs="Arial" w:eastAsia="Arial" w:hAnsi="Arial"/>
          <w:sz w:val="19"/>
          <w:szCs w:val="19"/>
          <w:color w:val="auto"/>
        </w:rPr>
        <w:t>primarily due to higher asset returns in 2017 in our U.S. and UK plans. Also, if required, an MTM Adjustment will be recorded in the fourth quarter of 2018 in accordance with our pension accounting method as previously described. It is difficult to reliably forecast or predict whether there will be a MTM Adjustment in 2018,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67" w:lineRule="exact"/>
        <w:rPr>
          <w:sz w:val="20"/>
          <w:szCs w:val="20"/>
          <w:color w:val="auto"/>
        </w:rPr>
      </w:pPr>
    </w:p>
    <w:p>
      <w:pPr>
        <w:ind w:right="260" w:firstLine="357"/>
        <w:spacing w:after="0" w:line="245" w:lineRule="auto"/>
        <w:rPr>
          <w:sz w:val="20"/>
          <w:szCs w:val="20"/>
          <w:color w:val="auto"/>
        </w:rPr>
      </w:pPr>
      <w:r>
        <w:rPr>
          <w:rFonts w:ascii="Arial" w:cs="Arial" w:eastAsia="Arial" w:hAnsi="Arial"/>
          <w:sz w:val="19"/>
          <w:szCs w:val="19"/>
          <w:b w:val="1"/>
          <w:bCs w:val="1"/>
          <w:i w:val="1"/>
          <w:iCs w:val="1"/>
          <w:color w:val="auto"/>
        </w:rPr>
        <w:t>Long-Lived Assets (including Tangible and Finite-Lived Intangible Assets)</w:t>
      </w:r>
      <w:r>
        <w:rPr>
          <w:rFonts w:ascii="Arial" w:cs="Arial" w:eastAsia="Arial" w:hAnsi="Arial"/>
          <w:sz w:val="19"/>
          <w:szCs w:val="19"/>
          <w:color w:val="auto"/>
        </w:rPr>
        <w:t>—The determination of useful lives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depreciation/amortization purposes) and whether or not tangible and intangible 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long-lived assets whenever events or changes in circumstances indicate that the carrying amount of a long-lived asset group may not be fully recoverable. The principal factors in considering when to perform an impairment review are as follows:</w:t>
      </w:r>
    </w:p>
    <w:p>
      <w:pPr>
        <w:spacing w:after="0" w:line="77" w:lineRule="exact"/>
        <w:rPr>
          <w:sz w:val="20"/>
          <w:szCs w:val="20"/>
          <w:color w:val="auto"/>
        </w:rPr>
      </w:pPr>
    </w:p>
    <w:p>
      <w:pPr>
        <w:ind w:left="540" w:right="680" w:hanging="168"/>
        <w:spacing w:after="0" w:line="25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Significant under-performance (i.e., declines in sales, earnings or cash flows) of a business or product line in relation to expectations;</w:t>
      </w:r>
    </w:p>
    <w:p>
      <w:pPr>
        <w:spacing w:after="0" w:line="52"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Annual operating plans or five-year strategic plans that indicate an unfavorable trend in operating performance of a business or product line;</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Significant negative industry or economic trends;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Significant changes or planned changes in our use of the assets.</w:t>
      </w:r>
    </w:p>
    <w:p>
      <w:pPr>
        <w:spacing w:after="0" w:line="133"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assumptions as to expected industry and business growth rates, sales volume, selling prices and costs, cash flows, and the discount rate selected. These estimates are subject to changes in the economic environment, including market interest rates and expected volatility. Management believes the estimates of future cash flows and fair values are reasonable; however, changes in estimates due to variance from assumptions could materially affect the valuations.</w:t>
      </w:r>
    </w:p>
    <w:p>
      <w:pPr>
        <w:spacing w:after="0" w:line="56"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Goodwill and Indefinite-Lived Intangible Assets Impairment Testing</w:t>
      </w:r>
      <w:r>
        <w:rPr>
          <w:rFonts w:ascii="Arial" w:cs="Arial" w:eastAsia="Arial" w:hAnsi="Arial"/>
          <w:sz w:val="19"/>
          <w:szCs w:val="19"/>
          <w:color w:val="auto"/>
        </w:rPr>
        <w:t>—Goodwill and intangible assets deemed to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indefinite lives are not amortized, but are subject to annual, or more frequent if necessary, impairment testing. In testing goodwill and indefinite-lived intangible assets, the fair value is estimated utilizing a discounted cash flow approach utilizing cash flow forecasts in our five year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66" w:lineRule="exact"/>
        <w:rPr>
          <w:sz w:val="20"/>
          <w:szCs w:val="20"/>
          <w:color w:val="auto"/>
        </w:rPr>
      </w:pPr>
    </w:p>
    <w:p>
      <w:pPr>
        <w:ind w:right="180" w:firstLine="357"/>
        <w:spacing w:after="0" w:line="24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—On a recurring basis, we assess the need for a valuation allowance against our deferred tax assets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60" w:lineRule="exact"/>
        <w:rPr>
          <w:sz w:val="20"/>
          <w:szCs w:val="20"/>
          <w:color w:val="auto"/>
        </w:rPr>
      </w:pPr>
    </w:p>
    <w:p>
      <w:pPr>
        <w:jc w:val="both"/>
        <w:ind w:right="480" w:firstLine="357"/>
        <w:spacing w:after="0" w:line="251" w:lineRule="auto"/>
        <w:rPr>
          <w:sz w:val="20"/>
          <w:szCs w:val="20"/>
          <w:color w:val="auto"/>
        </w:rPr>
      </w:pPr>
      <w:r>
        <w:rPr>
          <w:rFonts w:ascii="Arial" w:cs="Arial" w:eastAsia="Arial" w:hAnsi="Arial"/>
          <w:sz w:val="19"/>
          <w:szCs w:val="19"/>
          <w:b w:val="1"/>
          <w:bCs w:val="1"/>
          <w:i w:val="1"/>
          <w:iCs w:val="1"/>
          <w:color w:val="auto"/>
        </w:rPr>
        <w:t>Sales Recognition on Long-Term Contracts</w:t>
      </w:r>
      <w:r>
        <w:rPr>
          <w:rFonts w:ascii="Arial" w:cs="Arial" w:eastAsia="Arial" w:hAnsi="Arial"/>
          <w:sz w:val="19"/>
          <w:szCs w:val="19"/>
          <w:color w:val="auto"/>
        </w:rPr>
        <w:t>—In 2017, we recognized approximately 16% of our total net sales using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percentage-of-completion method for long-term contracts. These long-term contracts are measured on the cost-to-cost basis for engineering-type contracts and the units-of-delivery basis for production-type contracts. Accounting for these contracts involves management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6" w:name="page37"/>
    <w:bookmarkEnd w:id="36"/>
    <w:p>
      <w:pPr>
        <w:spacing w:after="0" w:line="239" w:lineRule="auto"/>
        <w:rPr>
          <w:sz w:val="20"/>
          <w:szCs w:val="20"/>
          <w:color w:val="auto"/>
        </w:rPr>
      </w:pPr>
      <w:r>
        <w:rPr>
          <w:rFonts w:ascii="Arial" w:cs="Arial" w:eastAsia="Arial" w:hAnsi="Arial"/>
          <w:sz w:val="19"/>
          <w:szCs w:val="19"/>
          <w:color w:val="auto"/>
        </w:rPr>
        <w:t>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1" w:right="299" w:bottom="1440" w:gutter="0" w:footer="0" w:header="0"/>
        </w:sectPr>
      </w:pPr>
    </w:p>
    <w:bookmarkStart w:id="37" w:name="page38"/>
    <w:bookmarkEnd w:id="37"/>
    <w:p>
      <w:pPr>
        <w:spacing w:after="0"/>
        <w:rPr>
          <w:sz w:val="20"/>
          <w:szCs w:val="20"/>
          <w:color w:val="auto"/>
        </w:rPr>
      </w:pPr>
      <w:r>
        <w:rPr>
          <w:rFonts w:ascii="Arial" w:cs="Arial" w:eastAsia="Arial" w:hAnsi="Arial"/>
          <w:sz w:val="23"/>
          <w:szCs w:val="23"/>
          <w:b w:val="1"/>
          <w:bCs w:val="1"/>
          <w:color w:val="auto"/>
        </w:rPr>
        <w:t>OTHER MATTERS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30" w:lineRule="exact"/>
        <w:rPr>
          <w:sz w:val="20"/>
          <w:szCs w:val="20"/>
          <w:color w:val="auto"/>
        </w:rPr>
      </w:pPr>
    </w:p>
    <w:p>
      <w:pPr>
        <w:ind w:right="40" w:firstLine="357"/>
        <w:spacing w:after="0" w:line="253" w:lineRule="auto"/>
        <w:rPr>
          <w:sz w:val="20"/>
          <w:szCs w:val="20"/>
          <w:color w:val="auto"/>
        </w:rPr>
      </w:pPr>
      <w:r>
        <w:rPr>
          <w:rFonts w:ascii="Arial" w:cs="Arial" w:eastAsia="Arial" w:hAnsi="Arial"/>
          <w:sz w:val="19"/>
          <w:szCs w:val="19"/>
          <w:color w:val="auto"/>
        </w:rPr>
        <w:t>See Note 19 Commitments and Contingencies of Notes to Consolidated Financial Statements for a discussion of environmental, asbestos and other litigation matters.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See Note 1 Summary of Significant Accounting Policies of Notes to Consolidated Financial Statements for a discussion of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Risks</w:t>
      </w:r>
    </w:p>
    <w:p>
      <w:pPr>
        <w:spacing w:after="0" w:line="147" w:lineRule="exact"/>
        <w:rPr>
          <w:sz w:val="20"/>
          <w:szCs w:val="20"/>
          <w:color w:val="auto"/>
        </w:rPr>
      </w:pPr>
    </w:p>
    <w:p>
      <w:pPr>
        <w:ind w:right="460" w:firstLine="357"/>
        <w:spacing w:after="0" w:line="253" w:lineRule="auto"/>
        <w:rPr>
          <w:sz w:val="20"/>
          <w:szCs w:val="20"/>
          <w:color w:val="auto"/>
        </w:rPr>
      </w:pPr>
      <w:r>
        <w:rPr>
          <w:rFonts w:ascii="Arial" w:cs="Arial" w:eastAsia="Arial" w:hAnsi="Arial"/>
          <w:sz w:val="19"/>
          <w:szCs w:val="19"/>
          <w:color w:val="auto"/>
        </w:rPr>
        <w:t>Information relating to market risks is included in Item 7. Management’s Discussion and Analysis of Financial Condition and Results of Operations under the caption “Financial Instruments”.</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5" w:right="27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2016</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2015</w:t>
            </w:r>
          </w:p>
        </w:tc>
      </w:tr>
      <w:tr>
        <w:trPr>
          <w:trHeight w:val="155"/>
        </w:trPr>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98"/>
              </w:rPr>
              <w:t>(Dollars 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8"/>
          </w:tcPr>
          <w:p>
            <w:pPr>
              <w:jc w:val="center"/>
              <w:ind w:right="44"/>
              <w:spacing w:after="0"/>
              <w:rPr>
                <w:sz w:val="20"/>
                <w:szCs w:val="20"/>
                <w:color w:val="auto"/>
              </w:rPr>
            </w:pPr>
            <w:r>
              <w:rPr>
                <w:rFonts w:ascii="Arial" w:cs="Arial" w:eastAsia="Arial" w:hAnsi="Arial"/>
                <w:sz w:val="16"/>
                <w:szCs w:val="16"/>
                <w:b w:val="1"/>
                <w:bCs w:val="1"/>
                <w:color w:val="auto"/>
                <w:w w:val="99"/>
              </w:rPr>
              <w:t>except per share amounts)</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Product sales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32,317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31,362</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30,695</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Service sales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8,217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7,940</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7,886</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40,534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39,302</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38,581</w:t>
            </w:r>
          </w:p>
        </w:tc>
      </w:tr>
      <w:tr>
        <w:trPr>
          <w:trHeight w:val="223"/>
        </w:trPr>
        <w:tc>
          <w:tcPr>
            <w:tcW w:w="8200" w:type="dxa"/>
            <w:vAlign w:val="bottom"/>
          </w:tcPr>
          <w:p>
            <w:pPr>
              <w:spacing w:after="0"/>
              <w:rPr>
                <w:sz w:val="20"/>
                <w:szCs w:val="20"/>
                <w:color w:val="auto"/>
              </w:rPr>
            </w:pPr>
            <w:r>
              <w:rPr>
                <w:rFonts w:ascii="Arial" w:cs="Arial" w:eastAsia="Arial" w:hAnsi="Arial"/>
                <w:sz w:val="19"/>
                <w:szCs w:val="19"/>
                <w:color w:val="auto"/>
              </w:rPr>
              <w:t>Costs, expenses and other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Cost of products sold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22,659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22,170</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21,775</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Cost of services sold</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4,916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4,980</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4,972</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27,575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27,150</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26,747</w:t>
            </w:r>
          </w:p>
        </w:tc>
      </w:tr>
      <w:tr>
        <w:trPr>
          <w:trHeight w:val="243"/>
        </w:trPr>
        <w:tc>
          <w:tcPr>
            <w:tcW w:w="820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5,808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5,469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5,006</w:t>
            </w: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 (income) expense</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Interest and other financial charges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338</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310</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33,632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32,855</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31,995</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Income before taxes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6,902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6,447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6,586</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5,204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1,601</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1,739</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1,698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4,846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4,847</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Less: Net income attributable to the noncontrolling interest</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79</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 attributable to Honeywell</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1,655</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4,809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4,768</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Earnings per share of common stock—basic</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2.17</w:t>
            </w:r>
          </w:p>
        </w:tc>
        <w:tc>
          <w:tcPr>
            <w:tcW w:w="300" w:type="dxa"/>
            <w:vAlign w:val="bottom"/>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6.29</w:t>
            </w:r>
          </w:p>
        </w:tc>
        <w:tc>
          <w:tcPr>
            <w:tcW w:w="280" w:type="dxa"/>
            <w:vAlign w:val="bottom"/>
            <w:shd w:val="clear" w:color="auto" w:fill="E5FFFF"/>
          </w:tcPr>
          <w:p>
            <w:pPr>
              <w:spacing w:after="0"/>
              <w:rPr>
                <w:sz w:val="20"/>
                <w:szCs w:val="20"/>
                <w:color w:val="auto"/>
              </w:rPr>
            </w:pPr>
          </w:p>
        </w:tc>
        <w:tc>
          <w:tcPr>
            <w:tcW w:w="20" w:type="dxa"/>
            <w:vAlign w:val="bottom"/>
            <w:tcBorders>
              <w:bottom w:val="single" w:sz="8" w:color="auto"/>
            </w:tcBorders>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6.11</w:t>
            </w:r>
          </w:p>
        </w:tc>
      </w:tr>
      <w:tr>
        <w:trPr>
          <w:trHeight w:val="20"/>
        </w:trPr>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2.14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6.20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6.04</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Cash dividends per share of common stock</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2.45</w:t>
            </w: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2.15</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COMPREHENSIVE INCOME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2920" w:type="dxa"/>
            <w:vAlign w:val="bottom"/>
            <w:tcBorders>
              <w:bottom w:val="single" w:sz="8" w:color="auto"/>
            </w:tcBorders>
            <w:gridSpan w:val="7"/>
          </w:tcPr>
          <w:p>
            <w:pPr>
              <w:jc w:val="right"/>
              <w:ind w:right="344"/>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500" w:type="dxa"/>
            <w:vAlign w:val="bottom"/>
          </w:tcPr>
          <w:p>
            <w:pPr>
              <w:spacing w:after="0"/>
              <w:rPr>
                <w:sz w:val="14"/>
                <w:szCs w:val="14"/>
                <w:color w:val="auto"/>
              </w:rPr>
            </w:pPr>
          </w:p>
        </w:tc>
        <w:tc>
          <w:tcPr>
            <w:tcW w:w="7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8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w w:val="98"/>
              </w:rPr>
              <w:t>(Dollars in millions)</w:t>
            </w:r>
          </w:p>
        </w:tc>
        <w:tc>
          <w:tcPr>
            <w:tcW w:w="680" w:type="dxa"/>
            <w:vAlign w:val="bottom"/>
          </w:tcPr>
          <w:p>
            <w:pPr>
              <w:spacing w:after="0"/>
              <w:rPr>
                <w:sz w:val="20"/>
                <w:szCs w:val="20"/>
                <w:color w:val="auto"/>
              </w:rPr>
            </w:pP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Net income</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$ 1,698</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$ 4,846</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4,847</w:t>
            </w:r>
          </w:p>
        </w:tc>
      </w:tr>
      <w:tr>
        <w:trPr>
          <w:trHeight w:val="216"/>
        </w:trPr>
        <w:tc>
          <w:tcPr>
            <w:tcW w:w="8500" w:type="dxa"/>
            <w:vAlign w:val="bottom"/>
          </w:tcPr>
          <w:p>
            <w:pPr>
              <w:ind w:left="180"/>
              <w:spacing w:after="0" w:line="216" w:lineRule="exact"/>
              <w:rPr>
                <w:sz w:val="20"/>
                <w:szCs w:val="20"/>
                <w:color w:val="auto"/>
              </w:rPr>
            </w:pPr>
            <w:r>
              <w:rPr>
                <w:rFonts w:ascii="Arial" w:cs="Arial" w:eastAsia="Arial" w:hAnsi="Arial"/>
                <w:sz w:val="19"/>
                <w:szCs w:val="19"/>
                <w:color w:val="auto"/>
              </w:rPr>
              <w:t>Other comprehensive income (loss), 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3"/>
        </w:trPr>
        <w:tc>
          <w:tcPr>
            <w:tcW w:w="8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exchange translation adjustment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(1,152)</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Actuarial gains/(losses)</w:t>
            </w:r>
          </w:p>
        </w:tc>
        <w:tc>
          <w:tcPr>
            <w:tcW w:w="720" w:type="dxa"/>
            <w:vAlign w:val="bottom"/>
          </w:tcPr>
          <w:p>
            <w:pPr>
              <w:jc w:val="right"/>
              <w:spacing w:after="0"/>
              <w:rPr>
                <w:sz w:val="20"/>
                <w:szCs w:val="20"/>
                <w:color w:val="auto"/>
              </w:rPr>
            </w:pPr>
            <w:r>
              <w:rPr>
                <w:rFonts w:ascii="Arial" w:cs="Arial" w:eastAsia="Arial" w:hAnsi="Arial"/>
                <w:sz w:val="19"/>
                <w:szCs w:val="19"/>
                <w:color w:val="auto"/>
              </w:rPr>
              <w:t>753</w:t>
            </w: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(443)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(464)</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Prior service (cost) credit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446</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Prior service credit recognized during year</w:t>
            </w:r>
          </w:p>
        </w:tc>
        <w:tc>
          <w:tcPr>
            <w:tcW w:w="720" w:type="dxa"/>
            <w:vAlign w:val="bottom"/>
          </w:tcPr>
          <w:p>
            <w:pPr>
              <w:jc w:val="right"/>
              <w:spacing w:after="0"/>
              <w:rPr>
                <w:sz w:val="20"/>
                <w:szCs w:val="20"/>
                <w:color w:val="auto"/>
              </w:rPr>
            </w:pPr>
            <w:r>
              <w:rPr>
                <w:rFonts w:ascii="Arial" w:cs="Arial" w:eastAsia="Arial" w:hAnsi="Arial"/>
                <w:sz w:val="19"/>
                <w:szCs w:val="19"/>
                <w:color w:val="auto"/>
              </w:rPr>
              <w:t>(70)</w:t>
            </w: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Actuarial losses recognized during year</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236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w:t>
            </w:r>
          </w:p>
        </w:tc>
      </w:tr>
      <w:tr>
        <w:trPr>
          <w:trHeight w:val="243"/>
        </w:trPr>
        <w:tc>
          <w:tcPr>
            <w:tcW w:w="8500" w:type="dxa"/>
            <w:vAlign w:val="bottom"/>
          </w:tcPr>
          <w:p>
            <w:pPr>
              <w:ind w:left="540"/>
              <w:spacing w:after="0"/>
              <w:rPr>
                <w:sz w:val="20"/>
                <w:szCs w:val="20"/>
                <w:color w:val="auto"/>
              </w:rPr>
            </w:pPr>
            <w:r>
              <w:rPr>
                <w:rFonts w:ascii="Arial" w:cs="Arial" w:eastAsia="Arial" w:hAnsi="Arial"/>
                <w:sz w:val="19"/>
                <w:szCs w:val="19"/>
                <w:color w:val="auto"/>
              </w:rPr>
              <w:t>Settlements and curtailments</w:t>
            </w:r>
          </w:p>
        </w:tc>
        <w:tc>
          <w:tcPr>
            <w:tcW w:w="720" w:type="dxa"/>
            <w:vAlign w:val="bottom"/>
          </w:tcPr>
          <w:p>
            <w:pPr>
              <w:jc w:val="right"/>
              <w:spacing w:after="0"/>
              <w:rPr>
                <w:sz w:val="20"/>
                <w:szCs w:val="20"/>
                <w:color w:val="auto"/>
              </w:rPr>
            </w:pPr>
            <w:r>
              <w:rPr>
                <w:rFonts w:ascii="Arial" w:cs="Arial" w:eastAsia="Arial" w:hAnsi="Arial"/>
                <w:sz w:val="19"/>
                <w:szCs w:val="19"/>
                <w:color w:val="auto"/>
              </w:rPr>
              <w:t>19</w:t>
            </w: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Foreign exchange translation and other</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w:t>
            </w:r>
          </w:p>
        </w:tc>
      </w:tr>
      <w:tr>
        <w:trPr>
          <w:trHeight w:val="250"/>
        </w:trPr>
        <w:tc>
          <w:tcPr>
            <w:tcW w:w="8500" w:type="dxa"/>
            <w:vAlign w:val="bottom"/>
          </w:tcPr>
          <w:p>
            <w:pPr>
              <w:ind w:left="360"/>
              <w:spacing w:after="0"/>
              <w:rPr>
                <w:sz w:val="20"/>
                <w:szCs w:val="20"/>
                <w:color w:val="auto"/>
              </w:rPr>
            </w:pPr>
            <w:r>
              <w:rPr>
                <w:rFonts w:ascii="Arial" w:cs="Arial" w:eastAsia="Arial" w:hAnsi="Arial"/>
                <w:sz w:val="19"/>
                <w:szCs w:val="19"/>
                <w:color w:val="auto"/>
              </w:rPr>
              <w:t>Pensions and other postretirement benefit adjustments</w:t>
            </w:r>
          </w:p>
        </w:tc>
        <w:tc>
          <w:tcPr>
            <w:tcW w:w="720" w:type="dxa"/>
            <w:vAlign w:val="bottom"/>
          </w:tcPr>
          <w:p>
            <w:pPr>
              <w:jc w:val="right"/>
              <w:spacing w:after="0"/>
              <w:rPr>
                <w:sz w:val="20"/>
                <w:szCs w:val="20"/>
                <w:color w:val="auto"/>
              </w:rPr>
            </w:pPr>
            <w:r>
              <w:rPr>
                <w:rFonts w:ascii="Arial" w:cs="Arial" w:eastAsia="Arial" w:hAnsi="Arial"/>
                <w:sz w:val="19"/>
                <w:szCs w:val="19"/>
                <w:color w:val="auto"/>
              </w:rPr>
              <w:t>677</w:t>
            </w: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(235)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84</w:t>
            </w:r>
          </w:p>
        </w:tc>
      </w:tr>
      <w:tr>
        <w:trPr>
          <w:trHeight w:val="243"/>
        </w:trPr>
        <w:tc>
          <w:tcPr>
            <w:tcW w:w="8500" w:type="dxa"/>
            <w:vAlign w:val="bottom"/>
            <w:shd w:val="clear" w:color="auto" w:fill="E5FFFF"/>
          </w:tcPr>
          <w:p>
            <w:pPr>
              <w:ind w:left="540"/>
              <w:spacing w:after="0"/>
              <w:rPr>
                <w:sz w:val="20"/>
                <w:szCs w:val="20"/>
                <w:color w:val="auto"/>
              </w:rPr>
            </w:pPr>
            <w:r>
              <w:rPr>
                <w:rFonts w:ascii="Arial" w:cs="Arial" w:eastAsia="Arial" w:hAnsi="Arial"/>
                <w:sz w:val="19"/>
                <w:szCs w:val="19"/>
                <w:color w:val="auto"/>
              </w:rPr>
              <w:t>Effective portion of cash flow hedges recognized in other comprehensive income</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w:t>
            </w:r>
          </w:p>
        </w:tc>
      </w:tr>
      <w:tr>
        <w:trPr>
          <w:trHeight w:val="250"/>
        </w:trPr>
        <w:tc>
          <w:tcPr>
            <w:tcW w:w="8500" w:type="dxa"/>
            <w:vAlign w:val="bottom"/>
          </w:tcPr>
          <w:p>
            <w:pPr>
              <w:ind w:left="540"/>
              <w:spacing w:after="0"/>
              <w:rPr>
                <w:sz w:val="20"/>
                <w:szCs w:val="20"/>
                <w:color w:val="auto"/>
              </w:rPr>
            </w:pPr>
            <w:r>
              <w:rPr>
                <w:rFonts w:ascii="Arial" w:cs="Arial" w:eastAsia="Arial" w:hAnsi="Arial"/>
                <w:sz w:val="19"/>
                <w:szCs w:val="19"/>
                <w:color w:val="auto"/>
              </w:rPr>
              <w:t>Less: reclassification adjustment for (losses) gains included in net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w:t>
            </w:r>
          </w:p>
        </w:tc>
      </w:tr>
      <w:tr>
        <w:trPr>
          <w:trHeight w:val="243"/>
        </w:trPr>
        <w:tc>
          <w:tcPr>
            <w:tcW w:w="8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Changes in fair value of effective cash flow hedges</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r>
      <w:tr>
        <w:trPr>
          <w:trHeight w:val="243"/>
        </w:trPr>
        <w:tc>
          <w:tcPr>
            <w:tcW w:w="8500" w:type="dxa"/>
            <w:vAlign w:val="bottom"/>
          </w:tcPr>
          <w:p>
            <w:pPr>
              <w:ind w:left="180"/>
              <w:spacing w:after="0"/>
              <w:rPr>
                <w:sz w:val="20"/>
                <w:szCs w:val="20"/>
                <w:color w:val="auto"/>
              </w:rPr>
            </w:pPr>
            <w:r>
              <w:rPr>
                <w:rFonts w:ascii="Arial" w:cs="Arial" w:eastAsia="Arial" w:hAnsi="Arial"/>
                <w:sz w:val="19"/>
                <w:szCs w:val="19"/>
                <w:color w:val="auto"/>
              </w:rPr>
              <w:t>Other comprehensive income (loss), net of tax</w:t>
            </w:r>
          </w:p>
        </w:tc>
        <w:tc>
          <w:tcPr>
            <w:tcW w:w="720" w:type="dxa"/>
            <w:vAlign w:val="bottom"/>
          </w:tcPr>
          <w:p>
            <w:pPr>
              <w:jc w:val="right"/>
              <w:spacing w:after="0"/>
              <w:rPr>
                <w:sz w:val="20"/>
                <w:szCs w:val="20"/>
                <w:color w:val="auto"/>
              </w:rPr>
            </w:pPr>
            <w:r>
              <w:rPr>
                <w:rFonts w:ascii="Arial" w:cs="Arial" w:eastAsia="Arial" w:hAnsi="Arial"/>
                <w:sz w:val="19"/>
                <w:szCs w:val="19"/>
                <w:color w:val="auto"/>
              </w:rPr>
              <w:t>479</w:t>
            </w:r>
          </w:p>
        </w:tc>
        <w:tc>
          <w:tcPr>
            <w:tcW w:w="1060" w:type="dxa"/>
            <w:vAlign w:val="bottom"/>
            <w:gridSpan w:val="3"/>
          </w:tcPr>
          <w:p>
            <w:pPr>
              <w:jc w:val="right"/>
              <w:spacing w:after="0"/>
              <w:rPr>
                <w:sz w:val="20"/>
                <w:szCs w:val="20"/>
                <w:color w:val="auto"/>
              </w:rPr>
            </w:pPr>
            <w:r>
              <w:rPr>
                <w:rFonts w:ascii="Arial" w:cs="Arial" w:eastAsia="Arial" w:hAnsi="Arial"/>
                <w:sz w:val="19"/>
                <w:szCs w:val="19"/>
                <w:color w:val="auto"/>
              </w:rPr>
              <w:t>(179)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(1,076)</w:t>
            </w: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2,177</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4,667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3,771</w:t>
            </w:r>
          </w:p>
        </w:tc>
      </w:tr>
      <w:tr>
        <w:trPr>
          <w:trHeight w:val="250"/>
        </w:trPr>
        <w:tc>
          <w:tcPr>
            <w:tcW w:w="8500" w:type="dxa"/>
            <w:vAlign w:val="bottom"/>
          </w:tcPr>
          <w:p>
            <w:pPr>
              <w:ind w:left="360"/>
              <w:spacing w:after="0"/>
              <w:rPr>
                <w:sz w:val="20"/>
                <w:szCs w:val="20"/>
                <w:color w:val="auto"/>
              </w:rPr>
            </w:pPr>
            <w:r>
              <w:rPr>
                <w:rFonts w:ascii="Arial" w:cs="Arial" w:eastAsia="Arial" w:hAnsi="Arial"/>
                <w:sz w:val="19"/>
                <w:szCs w:val="19"/>
                <w:color w:val="auto"/>
              </w:rPr>
              <w:t>Less: Comprehensive income attributable to the noncontrolling interest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w:t>
            </w:r>
          </w:p>
        </w:tc>
      </w:tr>
      <w:tr>
        <w:trPr>
          <w:trHeight w:val="243"/>
        </w:trPr>
        <w:tc>
          <w:tcPr>
            <w:tcW w:w="850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 attributable to Honeywell</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$ 2,126</w:t>
            </w:r>
          </w:p>
        </w:tc>
        <w:tc>
          <w:tcPr>
            <w:tcW w:w="10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$ 4,638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3,698</w:t>
            </w:r>
          </w:p>
        </w:tc>
      </w:tr>
      <w:tr>
        <w:trPr>
          <w:trHeight w:val="20"/>
        </w:trPr>
        <w:tc>
          <w:tcPr>
            <w:tcW w:w="8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9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4"/>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9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4"/>
          </w:tcPr>
          <w:p>
            <w:pPr>
              <w:jc w:val="right"/>
              <w:ind w:right="284"/>
              <w:spacing w:after="0"/>
              <w:rPr>
                <w:sz w:val="20"/>
                <w:szCs w:val="20"/>
                <w:color w:val="auto"/>
              </w:rPr>
            </w:pPr>
            <w:r>
              <w:rPr>
                <w:rFonts w:ascii="Arial" w:cs="Arial" w:eastAsia="Arial" w:hAnsi="Arial"/>
                <w:sz w:val="16"/>
                <w:szCs w:val="16"/>
                <w:b w:val="1"/>
                <w:bCs w:val="1"/>
                <w:color w:val="auto"/>
              </w:rPr>
              <w:t>(Dollars in millions)</w:t>
            </w:r>
          </w:p>
        </w:tc>
      </w:tr>
      <w:tr>
        <w:trPr>
          <w:trHeight w:val="176"/>
        </w:trPr>
        <w:tc>
          <w:tcPr>
            <w:tcW w:w="920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r>
      <w:tr>
        <w:trPr>
          <w:trHeight w:val="216"/>
        </w:trPr>
        <w:tc>
          <w:tcPr>
            <w:tcW w:w="9200" w:type="dxa"/>
            <w:vAlign w:val="bottom"/>
          </w:tcPr>
          <w:p>
            <w:pPr>
              <w:spacing w:after="0" w:line="216" w:lineRule="exact"/>
              <w:rPr>
                <w:sz w:val="20"/>
                <w:szCs w:val="20"/>
                <w:color w:val="auto"/>
              </w:rPr>
            </w:pPr>
            <w:r>
              <w:rPr>
                <w:rFonts w:ascii="Arial" w:cs="Arial" w:eastAsia="Arial" w:hAnsi="Arial"/>
                <w:sz w:val="19"/>
                <w:szCs w:val="19"/>
                <w:color w:val="auto"/>
              </w:rPr>
              <w:t>Current assets: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Cash and cash equivalents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7,059</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7,843</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Short-term investments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3,758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1,520</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receivable—net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8,866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8,177</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Inventories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4,613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4,366</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 current assets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1,706</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1,152</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current assets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26,002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23,058</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Investments and long-term receivables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667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587</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5,926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5,793</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Goodwill</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18,277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17,707</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Other intangible assets—net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4,496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4,634</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417</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236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347</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Other assets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3,372</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1,603</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assets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59,387</w:t>
            </w:r>
          </w:p>
        </w:tc>
        <w:tc>
          <w:tcPr>
            <w:tcW w:w="4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54,146</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9200" w:type="dxa"/>
            <w:vAlign w:val="bottom"/>
            <w:shd w:val="clear" w:color="auto" w:fill="E5FFFF"/>
          </w:tcPr>
          <w:p>
            <w:pPr>
              <w:spacing w:after="0" w:line="170"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800" w:type="dxa"/>
            <w:vAlign w:val="bottom"/>
            <w:shd w:val="clear" w:color="auto" w:fill="E5FFFF"/>
          </w:tcPr>
          <w:p>
            <w:pPr>
              <w:spacing w:after="0"/>
              <w:rPr>
                <w:sz w:val="14"/>
                <w:szCs w:val="14"/>
                <w:color w:val="auto"/>
              </w:rPr>
            </w:pPr>
          </w:p>
        </w:tc>
      </w:tr>
      <w:tr>
        <w:trPr>
          <w:trHeight w:val="216"/>
        </w:trPr>
        <w:tc>
          <w:tcPr>
            <w:tcW w:w="9200" w:type="dxa"/>
            <w:vAlign w:val="bottom"/>
          </w:tcPr>
          <w:p>
            <w:pPr>
              <w:spacing w:after="0" w:line="216" w:lineRule="exact"/>
              <w:rPr>
                <w:sz w:val="20"/>
                <w:szCs w:val="20"/>
                <w:color w:val="auto"/>
              </w:rPr>
            </w:pPr>
            <w:r>
              <w:rPr>
                <w:rFonts w:ascii="Arial" w:cs="Arial" w:eastAsia="Arial" w:hAnsi="Arial"/>
                <w:sz w:val="19"/>
                <w:szCs w:val="19"/>
                <w:color w:val="auto"/>
              </w:rPr>
              <w:t>Current 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payable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6,584</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5,690</w:t>
            </w:r>
          </w:p>
        </w:tc>
      </w:tr>
      <w:tr>
        <w:trPr>
          <w:trHeight w:val="243"/>
        </w:trPr>
        <w:tc>
          <w:tcPr>
            <w:tcW w:w="9200" w:type="dxa"/>
            <w:vAlign w:val="bottom"/>
          </w:tcPr>
          <w:p>
            <w:pPr>
              <w:ind w:left="180"/>
              <w:spacing w:after="0"/>
              <w:rPr>
                <w:sz w:val="20"/>
                <w:szCs w:val="20"/>
                <w:color w:val="auto"/>
              </w:rPr>
            </w:pPr>
            <w:r>
              <w:rPr>
                <w:rFonts w:ascii="Arial" w:cs="Arial" w:eastAsia="Arial" w:hAnsi="Arial"/>
                <w:sz w:val="19"/>
                <w:szCs w:val="19"/>
                <w:color w:val="auto"/>
              </w:rPr>
              <w:t>Commercial paper and other short-term borrowings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3,958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3,366</w:t>
            </w:r>
          </w:p>
        </w:tc>
      </w:tr>
      <w:tr>
        <w:trPr>
          <w:trHeight w:val="243"/>
        </w:trPr>
        <w:tc>
          <w:tcPr>
            <w:tcW w:w="92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Current maturities of long-term debt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1,351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227</w:t>
            </w:r>
          </w:p>
        </w:tc>
      </w:tr>
      <w:tr>
        <w:trPr>
          <w:trHeight w:val="250"/>
        </w:trPr>
        <w:tc>
          <w:tcPr>
            <w:tcW w:w="9200" w:type="dxa"/>
            <w:vAlign w:val="bottom"/>
          </w:tcPr>
          <w:p>
            <w:pPr>
              <w:ind w:left="180"/>
              <w:spacing w:after="0"/>
              <w:rPr>
                <w:sz w:val="20"/>
                <w:szCs w:val="20"/>
                <w:color w:val="auto"/>
              </w:rPr>
            </w:pPr>
            <w:r>
              <w:rPr>
                <w:rFonts w:ascii="Arial" w:cs="Arial" w:eastAsia="Arial" w:hAnsi="Arial"/>
                <w:sz w:val="19"/>
                <w:szCs w:val="19"/>
                <w:color w:val="auto"/>
              </w:rPr>
              <w:t>Accrued liabilities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6,968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7,048</w:t>
            </w:r>
          </w:p>
        </w:tc>
      </w:tr>
      <w:tr>
        <w:trPr>
          <w:trHeight w:val="243"/>
        </w:trPr>
        <w:tc>
          <w:tcPr>
            <w:tcW w:w="92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current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18,861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16,331</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Long-term debt</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12,573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12,182</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2,894</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486</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Postretirement benefit obligations other than pensions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512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473</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1,173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1,014</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Other liabilities</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5,930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4,110</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Redeemable noncontrolling interest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w:t>
            </w:r>
          </w:p>
        </w:tc>
      </w:tr>
      <w:tr>
        <w:trPr>
          <w:trHeight w:val="176"/>
        </w:trPr>
        <w:tc>
          <w:tcPr>
            <w:tcW w:w="9200" w:type="dxa"/>
            <w:vAlign w:val="bottom"/>
          </w:tcPr>
          <w:p>
            <w:pPr>
              <w:spacing w:after="0" w:line="176" w:lineRule="exact"/>
              <w:rPr>
                <w:sz w:val="20"/>
                <w:szCs w:val="20"/>
                <w:color w:val="auto"/>
              </w:rPr>
            </w:pPr>
            <w:r>
              <w:rPr>
                <w:rFonts w:ascii="Arial" w:cs="Arial" w:eastAsia="Arial" w:hAnsi="Arial"/>
                <w:sz w:val="16"/>
                <w:szCs w:val="16"/>
                <w:b w:val="1"/>
                <w:bCs w:val="1"/>
                <w:color w:val="auto"/>
              </w:rPr>
              <w:t>SHAREOWNERS’ EQUITY</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Capital—common stock issued</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958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958</w:t>
            </w:r>
          </w:p>
        </w:tc>
      </w:tr>
      <w:tr>
        <w:trPr>
          <w:trHeight w:val="243"/>
        </w:trPr>
        <w:tc>
          <w:tcPr>
            <w:tcW w:w="9200" w:type="dxa"/>
            <w:vAlign w:val="bottom"/>
          </w:tcPr>
          <w:p>
            <w:pPr>
              <w:ind w:left="540"/>
              <w:spacing w:after="0"/>
              <w:rPr>
                <w:sz w:val="20"/>
                <w:szCs w:val="20"/>
                <w:color w:val="auto"/>
              </w:rPr>
            </w:pPr>
            <w:r>
              <w:rPr>
                <w:rFonts w:ascii="Arial" w:cs="Arial" w:eastAsia="Arial" w:hAnsi="Arial"/>
                <w:sz w:val="19"/>
                <w:szCs w:val="19"/>
                <w:color w:val="auto"/>
              </w:rPr>
              <w:t>—additional paid-in capital</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6,212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5,781</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Common stock held in treasury, at cost</w:t>
            </w:r>
          </w:p>
        </w:tc>
        <w:tc>
          <w:tcPr>
            <w:tcW w:w="16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(15,914)</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(13,366)</w:t>
            </w:r>
          </w:p>
        </w:tc>
      </w:tr>
      <w:tr>
        <w:trPr>
          <w:trHeight w:val="243"/>
        </w:trPr>
        <w:tc>
          <w:tcPr>
            <w:tcW w:w="9200" w:type="dxa"/>
            <w:vAlign w:val="bottom"/>
          </w:tcPr>
          <w:p>
            <w:pPr>
              <w:spacing w:after="0"/>
              <w:rPr>
                <w:sz w:val="20"/>
                <w:szCs w:val="20"/>
                <w:color w:val="auto"/>
              </w:rPr>
            </w:pPr>
            <w:r>
              <w:rPr>
                <w:rFonts w:ascii="Arial" w:cs="Arial" w:eastAsia="Arial" w:hAnsi="Arial"/>
                <w:sz w:val="19"/>
                <w:szCs w:val="19"/>
                <w:color w:val="auto"/>
              </w:rPr>
              <w:t>Accumulated other comprehensive income (loss)</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(2,235)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(2,714)</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Retained earnings</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28,255</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28,710</w:t>
            </w:r>
          </w:p>
        </w:tc>
      </w:tr>
      <w:tr>
        <w:trPr>
          <w:trHeight w:val="250"/>
        </w:trPr>
        <w:tc>
          <w:tcPr>
            <w:tcW w:w="9200" w:type="dxa"/>
            <w:vAlign w:val="bottom"/>
          </w:tcPr>
          <w:p>
            <w:pPr>
              <w:ind w:left="720"/>
              <w:spacing w:after="0"/>
              <w:rPr>
                <w:sz w:val="20"/>
                <w:szCs w:val="20"/>
                <w:color w:val="auto"/>
              </w:rPr>
            </w:pPr>
            <w:r>
              <w:rPr>
                <w:rFonts w:ascii="Arial" w:cs="Arial" w:eastAsia="Arial" w:hAnsi="Arial"/>
                <w:sz w:val="19"/>
                <w:szCs w:val="19"/>
                <w:color w:val="auto"/>
              </w:rPr>
              <w:t>Total Honeywell shareowners’ equity</w:t>
            </w:r>
          </w:p>
        </w:tc>
        <w:tc>
          <w:tcPr>
            <w:tcW w:w="16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17,276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19,369</w:t>
            </w:r>
          </w:p>
        </w:tc>
      </w:tr>
      <w:tr>
        <w:trPr>
          <w:trHeight w:val="243"/>
        </w:trPr>
        <w:tc>
          <w:tcPr>
            <w:tcW w:w="920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16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163</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178</w:t>
            </w:r>
          </w:p>
        </w:tc>
      </w:tr>
      <w:tr>
        <w:trPr>
          <w:trHeight w:val="257"/>
        </w:trPr>
        <w:tc>
          <w:tcPr>
            <w:tcW w:w="9200" w:type="dxa"/>
            <w:vAlign w:val="bottom"/>
          </w:tcPr>
          <w:p>
            <w:pPr>
              <w:ind w:left="720"/>
              <w:spacing w:after="0"/>
              <w:rPr>
                <w:sz w:val="20"/>
                <w:szCs w:val="20"/>
                <w:color w:val="auto"/>
              </w:rPr>
            </w:pPr>
            <w:r>
              <w:rPr>
                <w:rFonts w:ascii="Arial" w:cs="Arial" w:eastAsia="Arial" w:hAnsi="Arial"/>
                <w:sz w:val="19"/>
                <w:szCs w:val="19"/>
                <w:color w:val="auto"/>
              </w:rPr>
              <w:t>Total shareowners’ equity</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17,439</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19,547</w:t>
            </w:r>
          </w:p>
        </w:tc>
      </w:tr>
      <w:tr>
        <w:trPr>
          <w:trHeight w:val="243"/>
        </w:trPr>
        <w:tc>
          <w:tcPr>
            <w:tcW w:w="920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liabilities, redeemable noncontrolling interest and shareowners’ equity</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59,387</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54,146</w:t>
            </w:r>
          </w:p>
        </w:tc>
      </w:tr>
      <w:tr>
        <w:trPr>
          <w:trHeight w:val="20"/>
        </w:trPr>
        <w:tc>
          <w:tcPr>
            <w:tcW w:w="9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center"/>
              <w:ind w:right="61"/>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1"/>
              <w:spacing w:after="0" w:line="169" w:lineRule="exact"/>
              <w:rPr>
                <w:sz w:val="20"/>
                <w:szCs w:val="20"/>
                <w:color w:val="auto"/>
              </w:rPr>
            </w:pPr>
            <w:r>
              <w:rPr>
                <w:rFonts w:ascii="Arial" w:cs="Arial" w:eastAsia="Arial" w:hAnsi="Arial"/>
                <w:sz w:val="16"/>
                <w:szCs w:val="16"/>
                <w:b w:val="1"/>
                <w:bCs w:val="1"/>
                <w:color w:val="auto"/>
                <w:w w:val="95"/>
              </w:rPr>
              <w:t>2016</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2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6"/>
          </w:tcPr>
          <w:p>
            <w:pPr>
              <w:jc w:val="center"/>
              <w:ind w:left="381"/>
              <w:spacing w:after="0"/>
              <w:rPr>
                <w:sz w:val="20"/>
                <w:szCs w:val="20"/>
                <w:color w:val="auto"/>
              </w:rPr>
            </w:pPr>
            <w:r>
              <w:rPr>
                <w:rFonts w:ascii="Arial" w:cs="Arial" w:eastAsia="Arial" w:hAnsi="Arial"/>
                <w:sz w:val="16"/>
                <w:szCs w:val="16"/>
                <w:b w:val="1"/>
                <w:bCs w:val="1"/>
                <w:color w:val="auto"/>
                <w:w w:val="98"/>
              </w:rPr>
              <w:t>(Dollars in millions)</w:t>
            </w:r>
          </w:p>
        </w:tc>
        <w:tc>
          <w:tcPr>
            <w:tcW w:w="60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854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1,698</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4,846</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4,847</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Less: Net income attributable to the noncontrolling interest</w:t>
            </w: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37</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79</w:t>
            </w:r>
          </w:p>
        </w:tc>
      </w:tr>
      <w:tr>
        <w:trPr>
          <w:trHeight w:val="250"/>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Net income attributable to Honeywell</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4,809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4,768</w:t>
            </w:r>
          </w:p>
        </w:tc>
      </w:tr>
      <w:tr>
        <w:trPr>
          <w:trHeight w:val="176"/>
        </w:trPr>
        <w:tc>
          <w:tcPr>
            <w:tcW w:w="20" w:type="dxa"/>
            <w:vAlign w:val="bottom"/>
          </w:tcPr>
          <w:p>
            <w:pPr>
              <w:spacing w:after="0"/>
              <w:rPr>
                <w:sz w:val="15"/>
                <w:szCs w:val="15"/>
                <w:color w:val="auto"/>
              </w:rPr>
            </w:pPr>
          </w:p>
        </w:tc>
        <w:tc>
          <w:tcPr>
            <w:tcW w:w="8540" w:type="dxa"/>
            <w:vAlign w:val="bottom"/>
            <w:shd w:val="clear" w:color="auto" w:fill="E5FFFF"/>
          </w:tcPr>
          <w:p>
            <w:pPr>
              <w:ind w:left="280"/>
              <w:spacing w:after="0" w:line="176" w:lineRule="exact"/>
              <w:rPr>
                <w:sz w:val="20"/>
                <w:szCs w:val="20"/>
                <w:color w:val="auto"/>
              </w:rPr>
            </w:pPr>
            <w:r>
              <w:rPr>
                <w:rFonts w:ascii="Arial" w:cs="Arial" w:eastAsia="Arial" w:hAnsi="Arial"/>
                <w:sz w:val="16"/>
                <w:szCs w:val="16"/>
                <w:color w:val="auto"/>
              </w:rPr>
              <w:t>Adjustments to reconcile net income attributable to Honeywell to net cash provided by operating activities:</w:t>
            </w:r>
          </w:p>
        </w:tc>
        <w:tc>
          <w:tcPr>
            <w:tcW w:w="14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726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672</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560"/>
              <w:spacing w:after="0"/>
              <w:rPr>
                <w:sz w:val="20"/>
                <w:szCs w:val="20"/>
                <w:color w:val="auto"/>
              </w:rPr>
            </w:pPr>
            <w:r>
              <w:rPr>
                <w:rFonts w:ascii="Arial" w:cs="Arial" w:eastAsia="Arial" w:hAnsi="Arial"/>
                <w:sz w:val="16"/>
                <w:szCs w:val="16"/>
                <w:color w:val="auto"/>
              </w:rPr>
              <w:t>Amortization</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304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211</w:t>
            </w: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(Gain) loss on sale of non-strategic businesses and assets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560"/>
              <w:spacing w:after="0"/>
              <w:rPr>
                <w:sz w:val="20"/>
                <w:szCs w:val="20"/>
                <w:color w:val="auto"/>
              </w:rPr>
            </w:pPr>
            <w:r>
              <w:rPr>
                <w:rFonts w:ascii="Arial" w:cs="Arial" w:eastAsia="Arial" w:hAnsi="Arial"/>
                <w:sz w:val="16"/>
                <w:szCs w:val="16"/>
                <w:color w:val="auto"/>
              </w:rPr>
              <w:t>Repositioning and other charges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695</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546</w:t>
            </w: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Net payments for repositioning and other charges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560"/>
              <w:spacing w:after="0"/>
              <w:rPr>
                <w:sz w:val="20"/>
                <w:szCs w:val="20"/>
                <w:color w:val="auto"/>
              </w:rPr>
            </w:pPr>
            <w:r>
              <w:rPr>
                <w:rFonts w:ascii="Arial" w:cs="Arial" w:eastAsia="Arial" w:hAnsi="Arial"/>
                <w:sz w:val="16"/>
                <w:szCs w:val="16"/>
                <w:color w:val="auto"/>
              </w:rPr>
              <w:t>Pension and other postretirement (income) expense</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(360)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(323)</w:t>
            </w: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Pension and other postretirement benefit payments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560"/>
              <w:spacing w:after="0"/>
              <w:rPr>
                <w:sz w:val="20"/>
                <w:szCs w:val="20"/>
                <w:color w:val="auto"/>
              </w:rPr>
            </w:pPr>
            <w:r>
              <w:rPr>
                <w:rFonts w:ascii="Arial" w:cs="Arial" w:eastAsia="Arial" w:hAnsi="Arial"/>
                <w:sz w:val="16"/>
                <w:szCs w:val="16"/>
                <w:color w:val="auto"/>
              </w:rPr>
              <w:t>Stock compensation expense</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176</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184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175</w:t>
            </w: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2,294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315</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560"/>
              <w:spacing w:after="0"/>
              <w:rPr>
                <w:sz w:val="20"/>
                <w:szCs w:val="20"/>
                <w:color w:val="auto"/>
              </w:rPr>
            </w:pPr>
            <w:r>
              <w:rPr>
                <w:rFonts w:ascii="Arial" w:cs="Arial" w:eastAsia="Arial" w:hAnsi="Arial"/>
                <w:sz w:val="16"/>
                <w:szCs w:val="16"/>
                <w:color w:val="auto"/>
              </w:rPr>
              <w:t>Excess tax benefits from share based payment arrangements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20" w:type="dxa"/>
            <w:vAlign w:val="bottom"/>
          </w:tcPr>
          <w:p>
            <w:pPr>
              <w:spacing w:after="0"/>
              <w:rPr>
                <w:sz w:val="21"/>
                <w:szCs w:val="21"/>
                <w:color w:val="auto"/>
              </w:rPr>
            </w:pPr>
          </w:p>
        </w:tc>
        <w:tc>
          <w:tcPr>
            <w:tcW w:w="8540" w:type="dxa"/>
            <w:vAlign w:val="bottom"/>
          </w:tcPr>
          <w:p>
            <w:pPr>
              <w:ind w:left="56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1,642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194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57</w:t>
            </w:r>
          </w:p>
        </w:tc>
      </w:tr>
      <w:tr>
        <w:trPr>
          <w:trHeight w:val="176"/>
        </w:trPr>
        <w:tc>
          <w:tcPr>
            <w:tcW w:w="20" w:type="dxa"/>
            <w:vAlign w:val="bottom"/>
          </w:tcPr>
          <w:p>
            <w:pPr>
              <w:spacing w:after="0"/>
              <w:rPr>
                <w:sz w:val="15"/>
                <w:szCs w:val="15"/>
                <w:color w:val="auto"/>
              </w:rPr>
            </w:pPr>
          </w:p>
        </w:tc>
        <w:tc>
          <w:tcPr>
            <w:tcW w:w="8540" w:type="dxa"/>
            <w:vAlign w:val="bottom"/>
            <w:shd w:val="clear" w:color="auto" w:fill="E5FFFF"/>
          </w:tcPr>
          <w:p>
            <w:pPr>
              <w:ind w:left="560"/>
              <w:spacing w:after="0" w:line="176" w:lineRule="exact"/>
              <w:rPr>
                <w:sz w:val="20"/>
                <w:szCs w:val="20"/>
                <w:color w:val="auto"/>
              </w:rPr>
            </w:pPr>
            <w:r>
              <w:rPr>
                <w:rFonts w:ascii="Arial" w:cs="Arial" w:eastAsia="Arial" w:hAnsi="Arial"/>
                <w:sz w:val="16"/>
                <w:szCs w:val="16"/>
                <w:color w:val="auto"/>
              </w:rPr>
              <w:t>Changes in assets and liabilities, net of the effects of acquisitions and divestitures:</w:t>
            </w:r>
          </w:p>
        </w:tc>
        <w:tc>
          <w:tcPr>
            <w:tcW w:w="14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201</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8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230</w:t>
            </w:r>
          </w:p>
        </w:tc>
      </w:tr>
      <w:tr>
        <w:trPr>
          <w:trHeight w:val="243"/>
        </w:trPr>
        <w:tc>
          <w:tcPr>
            <w:tcW w:w="2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90</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86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254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w:t>
            </w:r>
          </w:p>
        </w:tc>
      </w:tr>
      <w:tr>
        <w:trPr>
          <w:trHeight w:val="250"/>
        </w:trPr>
        <w:tc>
          <w:tcPr>
            <w:tcW w:w="20" w:type="dxa"/>
            <w:vAlign w:val="bottom"/>
          </w:tcPr>
          <w:p>
            <w:pPr>
              <w:spacing w:after="0"/>
              <w:rPr>
                <w:sz w:val="21"/>
                <w:szCs w:val="21"/>
                <w:color w:val="auto"/>
              </w:rPr>
            </w:pPr>
          </w:p>
        </w:tc>
        <w:tc>
          <w:tcPr>
            <w:tcW w:w="8540" w:type="dxa"/>
            <w:vAlign w:val="bottom"/>
          </w:tcPr>
          <w:p>
            <w:pPr>
              <w:ind w:left="860"/>
              <w:spacing w:after="0"/>
              <w:rPr>
                <w:sz w:val="20"/>
                <w:szCs w:val="20"/>
                <w:color w:val="auto"/>
              </w:rPr>
            </w:pPr>
            <w:r>
              <w:rPr>
                <w:rFonts w:ascii="Arial" w:cs="Arial" w:eastAsia="Arial" w:hAnsi="Arial"/>
                <w:sz w:val="16"/>
                <w:szCs w:val="16"/>
                <w:color w:val="auto"/>
              </w:rPr>
              <w:t>Accrued liabilities</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5,966</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5,498</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5,519</w:t>
            </w:r>
          </w:p>
        </w:tc>
      </w:tr>
      <w:tr>
        <w:trPr>
          <w:trHeight w:val="183"/>
        </w:trPr>
        <w:tc>
          <w:tcPr>
            <w:tcW w:w="85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(1,095)</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(1,073)</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Proceeds from disposals of property, plant and equipment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Increase in investments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(6,743)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(3,954)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(6,714)</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Decrease in investments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4,414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3,681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6,587</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(2,573)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(5,228)</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Proceeds from sales of businesses, net of fees paid</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296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(218)</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282</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20" w:type="dxa"/>
            <w:vAlign w:val="bottom"/>
          </w:tcPr>
          <w:p>
            <w:pPr>
              <w:spacing w:after="0"/>
              <w:rPr>
                <w:sz w:val="22"/>
                <w:szCs w:val="22"/>
                <w:color w:val="auto"/>
              </w:rPr>
            </w:pPr>
          </w:p>
        </w:tc>
        <w:tc>
          <w:tcPr>
            <w:tcW w:w="8540" w:type="dxa"/>
            <w:vAlign w:val="bottom"/>
          </w:tcPr>
          <w:p>
            <w:pPr>
              <w:ind w:left="1000"/>
              <w:spacing w:after="0"/>
              <w:rPr>
                <w:sz w:val="20"/>
                <w:szCs w:val="20"/>
                <w:color w:val="auto"/>
              </w:rPr>
            </w:pPr>
            <w:r>
              <w:rPr>
                <w:rFonts w:ascii="Arial" w:cs="Arial" w:eastAsia="Arial" w:hAnsi="Arial"/>
                <w:sz w:val="16"/>
                <w:szCs w:val="16"/>
                <w:color w:val="auto"/>
              </w:rPr>
              <w:t>Net cash used for investing activities</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(3,574)</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(3,342)</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w:t>
            </w:r>
          </w:p>
        </w:tc>
      </w:tr>
      <w:tr>
        <w:trPr>
          <w:trHeight w:val="176"/>
        </w:trPr>
        <w:tc>
          <w:tcPr>
            <w:tcW w:w="20" w:type="dxa"/>
            <w:vAlign w:val="bottom"/>
          </w:tcPr>
          <w:p>
            <w:pPr>
              <w:spacing w:after="0"/>
              <w:rPr>
                <w:sz w:val="15"/>
                <w:szCs w:val="15"/>
                <w:color w:val="auto"/>
              </w:rPr>
            </w:pPr>
          </w:p>
        </w:tc>
        <w:tc>
          <w:tcPr>
            <w:tcW w:w="854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E5FFFF"/>
          </w:tcPr>
          <w:p>
            <w:pPr>
              <w:spacing w:after="0"/>
              <w:rPr>
                <w:sz w:val="15"/>
                <w:szCs w:val="15"/>
                <w:color w:val="auto"/>
              </w:rPr>
            </w:pPr>
          </w:p>
        </w:tc>
        <w:tc>
          <w:tcPr>
            <w:tcW w:w="62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6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Proceeds from issuance of commercial paper and other short-term borrowings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13,701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18,997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12,992</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Payments of commercial paper and other short-term borrowings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(13,532)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(21,461)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(8,727)</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409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186</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1,238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9,245</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60</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(2,839)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Excess tax benefits from share based payment arrangements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81</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(1,884)</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Cash dividends paid</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(2,119)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(1,915)</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(1,726)</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Payments to purchase the noncontrolling interest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AdvanSix pre-separation funding</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269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AdvanSix pre-spin borrowing</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280"/>
              <w:spacing w:after="0"/>
              <w:rPr>
                <w:sz w:val="20"/>
                <w:szCs w:val="20"/>
                <w:color w:val="auto"/>
              </w:rPr>
            </w:pPr>
            <w:r>
              <w:rPr>
                <w:rFonts w:ascii="Arial" w:cs="Arial" w:eastAsia="Arial" w:hAnsi="Arial"/>
                <w:sz w:val="16"/>
                <w:szCs w:val="16"/>
                <w:color w:val="auto"/>
              </w:rPr>
              <w:t>AdvanSix cash at spin-off</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w:t>
            </w:r>
          </w:p>
        </w:tc>
      </w:tr>
      <w:tr>
        <w:trPr>
          <w:trHeight w:val="250"/>
        </w:trPr>
        <w:tc>
          <w:tcPr>
            <w:tcW w:w="20" w:type="dxa"/>
            <w:vAlign w:val="bottom"/>
          </w:tcPr>
          <w:p>
            <w:pPr>
              <w:spacing w:after="0"/>
              <w:rPr>
                <w:sz w:val="21"/>
                <w:szCs w:val="21"/>
                <w:color w:val="auto"/>
              </w:rPr>
            </w:pPr>
          </w:p>
        </w:tc>
        <w:tc>
          <w:tcPr>
            <w:tcW w:w="8540" w:type="dxa"/>
            <w:vAlign w:val="bottom"/>
          </w:tcPr>
          <w:p>
            <w:pPr>
              <w:ind w:left="2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ind w:left="1000"/>
              <w:spacing w:after="0"/>
              <w:rPr>
                <w:sz w:val="20"/>
                <w:szCs w:val="20"/>
                <w:color w:val="auto"/>
              </w:rPr>
            </w:pPr>
            <w:r>
              <w:rPr>
                <w:rFonts w:ascii="Arial" w:cs="Arial" w:eastAsia="Arial" w:hAnsi="Arial"/>
                <w:sz w:val="16"/>
                <w:szCs w:val="16"/>
                <w:color w:val="auto"/>
              </w:rPr>
              <w:t>Net cash (used for) provided by financing activities</w:t>
            </w: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(3,516)</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346</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color w:val="auto"/>
              </w:rPr>
              <w:t>37</w:t>
            </w:r>
          </w:p>
        </w:tc>
      </w:tr>
      <w:tr>
        <w:trPr>
          <w:trHeight w:val="257"/>
        </w:trPr>
        <w:tc>
          <w:tcPr>
            <w:tcW w:w="8560" w:type="dxa"/>
            <w:vAlign w:val="bottom"/>
            <w:gridSpan w:val="2"/>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2,388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(1,504)</w:t>
            </w:r>
          </w:p>
        </w:tc>
      </w:tr>
      <w:tr>
        <w:trPr>
          <w:trHeight w:val="250"/>
        </w:trPr>
        <w:tc>
          <w:tcPr>
            <w:tcW w:w="856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5,455</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6,959</w:t>
            </w:r>
          </w:p>
        </w:tc>
      </w:tr>
      <w:tr>
        <w:trPr>
          <w:trHeight w:val="243"/>
        </w:trPr>
        <w:tc>
          <w:tcPr>
            <w:tcW w:w="2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7,059</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7,843</w:t>
            </w:r>
          </w:p>
        </w:tc>
        <w:tc>
          <w:tcPr>
            <w:tcW w:w="42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5,455</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SHAREOWNERS’ EQUITY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592"/>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572"/>
              <w:spacing w:after="0" w:line="169" w:lineRule="exact"/>
              <w:rPr>
                <w:sz w:val="20"/>
                <w:szCs w:val="20"/>
                <w:color w:val="auto"/>
              </w:rPr>
            </w:pPr>
            <w:r>
              <w:rPr>
                <w:rFonts w:ascii="Arial" w:cs="Arial" w:eastAsia="Arial" w:hAnsi="Arial"/>
                <w:sz w:val="16"/>
                <w:szCs w:val="16"/>
                <w:b w:val="1"/>
                <w:bCs w:val="1"/>
                <w:color w:val="auto"/>
                <w:w w:val="95"/>
              </w:rPr>
              <w:t>2016</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12"/>
              <w:spacing w:after="0" w:line="169" w:lineRule="exact"/>
              <w:rPr>
                <w:sz w:val="20"/>
                <w:szCs w:val="20"/>
                <w:color w:val="auto"/>
              </w:rPr>
            </w:pPr>
            <w:r>
              <w:rPr>
                <w:rFonts w:ascii="Arial" w:cs="Arial" w:eastAsia="Arial" w:hAnsi="Arial"/>
                <w:sz w:val="16"/>
                <w:szCs w:val="16"/>
                <w:b w:val="1"/>
                <w:bCs w:val="1"/>
                <w:color w:val="auto"/>
              </w:rPr>
              <w:t>2015</w:t>
            </w:r>
          </w:p>
        </w:tc>
      </w:tr>
      <w:tr>
        <w:trPr>
          <w:trHeight w:val="169"/>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252"/>
              <w:spacing w:after="0" w:line="169"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232"/>
              <w:spacing w:after="0" w:line="169"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272"/>
              <w:spacing w:after="0" w:line="169" w:lineRule="exact"/>
              <w:rPr>
                <w:sz w:val="20"/>
                <w:szCs w:val="20"/>
                <w:color w:val="auto"/>
              </w:rPr>
            </w:pPr>
            <w:r>
              <w:rPr>
                <w:rFonts w:ascii="Arial" w:cs="Arial" w:eastAsia="Arial" w:hAnsi="Arial"/>
                <w:sz w:val="16"/>
                <w:szCs w:val="16"/>
                <w:b w:val="1"/>
                <w:bCs w:val="1"/>
                <w:color w:val="auto"/>
              </w:rPr>
              <w:t>$</w:t>
            </w:r>
          </w:p>
        </w:tc>
      </w:tr>
      <w:tr>
        <w:trPr>
          <w:trHeight w:val="237"/>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Common stock, par value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958</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5,781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5,377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5,038</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164</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175</w:t>
            </w:r>
          </w:p>
        </w:tc>
      </w:tr>
      <w:tr>
        <w:trPr>
          <w:trHeight w:val="250"/>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6,212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5,781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5,377</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Treasury stock</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(196.8)</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(13,366)</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(187.2)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(11,664)</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(175.4)</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(9,995)</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Reacquired stock or repurchases of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(1,884)</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341</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9.7</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6.7</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215</w:t>
            </w:r>
          </w:p>
        </w:tc>
      </w:tr>
      <w:tr>
        <w:trPr>
          <w:trHeight w:val="250"/>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(206.7)</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(15,914)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(196.8)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(13,366)</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(187.2)</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(11,664)</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Retained earnings</w:t>
            </w: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28,710</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26,147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23,115</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Net income attributable to Honeywell</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4,809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4,768</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Dividends on common stock</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(2,101)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(1,883)</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(1,686)</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AdvanSix spin-off</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Redemption value adjustment</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28,255</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28,710</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26,147</w:t>
            </w:r>
          </w:p>
        </w:tc>
      </w:tr>
      <w:tr>
        <w:trPr>
          <w:trHeight w:val="203"/>
        </w:trPr>
        <w:tc>
          <w:tcPr>
            <w:tcW w:w="20" w:type="dxa"/>
            <w:vAlign w:val="bottom"/>
          </w:tcPr>
          <w:p>
            <w:pPr>
              <w:spacing w:after="0"/>
              <w:rPr>
                <w:sz w:val="17"/>
                <w:szCs w:val="17"/>
                <w:color w:val="auto"/>
              </w:rPr>
            </w:pPr>
          </w:p>
        </w:tc>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Accumulated other comprehensive income (loss)</w:t>
            </w: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spacing w:after="0"/>
              <w:rPr>
                <w:sz w:val="17"/>
                <w:szCs w:val="17"/>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(1,459)</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(1,152)</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Pensions and other postretirement benefit adjustments</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Changes in fair value of effective cash flow hedges</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(2,535)</w:t>
            </w:r>
          </w:p>
        </w:tc>
      </w:tr>
      <w:tr>
        <w:trPr>
          <w:trHeight w:val="203"/>
        </w:trPr>
        <w:tc>
          <w:tcPr>
            <w:tcW w:w="20" w:type="dxa"/>
            <w:vAlign w:val="bottom"/>
          </w:tcPr>
          <w:p>
            <w:pPr>
              <w:spacing w:after="0"/>
              <w:rPr>
                <w:sz w:val="17"/>
                <w:szCs w:val="17"/>
                <w:color w:val="auto"/>
              </w:rPr>
            </w:pPr>
          </w:p>
        </w:tc>
        <w:tc>
          <w:tcPr>
            <w:tcW w:w="5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Noncontrolling interest</w:t>
            </w: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6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spacing w:after="0"/>
              <w:rPr>
                <w:sz w:val="17"/>
                <w:szCs w:val="17"/>
                <w:color w:val="auto"/>
              </w:rPr>
            </w:pPr>
          </w:p>
        </w:tc>
      </w:tr>
      <w:tr>
        <w:trPr>
          <w:trHeight w:val="243"/>
        </w:trPr>
        <w:tc>
          <w:tcPr>
            <w:tcW w:w="564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127</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Acquisitions</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0" w:type="dxa"/>
            <w:vAlign w:val="bottom"/>
          </w:tcPr>
          <w:p>
            <w:pPr>
              <w:spacing w:after="0"/>
              <w:rPr>
                <w:sz w:val="21"/>
                <w:szCs w:val="21"/>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Dividends paid</w:t>
            </w:r>
          </w:p>
        </w:tc>
        <w:tc>
          <w:tcPr>
            <w:tcW w:w="6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r>
      <w:tr>
        <w:trPr>
          <w:trHeight w:val="243"/>
        </w:trPr>
        <w:tc>
          <w:tcPr>
            <w:tcW w:w="20" w:type="dxa"/>
            <w:vAlign w:val="bottom"/>
          </w:tcPr>
          <w:p>
            <w:pPr>
              <w:spacing w:after="0"/>
              <w:rPr>
                <w:sz w:val="21"/>
                <w:szCs w:val="21"/>
                <w:color w:val="auto"/>
              </w:rPr>
            </w:pPr>
          </w:p>
        </w:tc>
        <w:tc>
          <w:tcPr>
            <w:tcW w:w="56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Total shareowners’ equity</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750.9</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17,439</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760.8</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19,547</w:t>
            </w:r>
          </w:p>
        </w:tc>
        <w:tc>
          <w:tcPr>
            <w:tcW w:w="30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770.4</w:t>
            </w:r>
          </w:p>
        </w:tc>
        <w:tc>
          <w:tcPr>
            <w:tcW w:w="1100" w:type="dxa"/>
            <w:vAlign w:val="bottom"/>
            <w:gridSpan w:val="2"/>
            <w:shd w:val="clear" w:color="auto" w:fill="E5FFFF"/>
          </w:tcPr>
          <w:p>
            <w:pPr>
              <w:jc w:val="right"/>
              <w:ind w:right="12"/>
              <w:spacing w:after="0"/>
              <w:rPr>
                <w:sz w:val="20"/>
                <w:szCs w:val="20"/>
                <w:color w:val="auto"/>
              </w:rPr>
            </w:pPr>
            <w:r>
              <w:rPr>
                <w:rFonts w:ascii="Arial" w:cs="Arial" w:eastAsia="Arial" w:hAnsi="Arial"/>
                <w:sz w:val="18"/>
                <w:szCs w:val="18"/>
                <w:color w:val="auto"/>
              </w:rPr>
              <w:t>18,418</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Consolidated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Summary of Significant Accounting Policies</w:t>
      </w:r>
    </w:p>
    <w:p>
      <w:pPr>
        <w:spacing w:after="0" w:line="106" w:lineRule="exact"/>
        <w:rPr>
          <w:sz w:val="20"/>
          <w:szCs w:val="20"/>
          <w:color w:val="auto"/>
        </w:rPr>
      </w:pPr>
    </w:p>
    <w:p>
      <w:pPr>
        <w:ind w:right="380" w:firstLine="357"/>
        <w:spacing w:after="0" w:line="258" w:lineRule="auto"/>
        <w:rPr>
          <w:sz w:val="20"/>
          <w:szCs w:val="20"/>
          <w:color w:val="auto"/>
        </w:rPr>
      </w:pP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—The financial statements and accompanying notes are prepared in accordance with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generally accepted in the United States of America. The following is a description of Honeywell’s significant accounting policies.</w:t>
      </w:r>
    </w:p>
    <w:p>
      <w:pPr>
        <w:spacing w:after="0" w:line="52"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Principles of Consolidation</w:t>
      </w:r>
      <w:r>
        <w:rPr>
          <w:rFonts w:ascii="Arial" w:cs="Arial" w:eastAsia="Arial" w:hAnsi="Arial"/>
          <w:sz w:val="19"/>
          <w:szCs w:val="19"/>
          <w:color w:val="auto"/>
        </w:rPr>
        <w:t>—The consolidated financial statements include the accounts of Honeywell International Inc. and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66"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b w:val="1"/>
          <w:bCs w:val="1"/>
          <w:i w:val="1"/>
          <w:iCs w:val="1"/>
          <w:color w:val="auto"/>
        </w:rPr>
        <w:t>Property, Plant and Equipment</w:t>
      </w:r>
      <w:r>
        <w:rPr>
          <w:rFonts w:ascii="Arial" w:cs="Arial" w:eastAsia="Arial" w:hAnsi="Arial"/>
          <w:sz w:val="19"/>
          <w:szCs w:val="19"/>
          <w:color w:val="auto"/>
        </w:rPr>
        <w:t>—Property, plant and equipment are recorded at cost, including any asset 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53" w:lineRule="exact"/>
        <w:rPr>
          <w:sz w:val="20"/>
          <w:szCs w:val="20"/>
          <w:color w:val="auto"/>
        </w:rPr>
      </w:pPr>
    </w:p>
    <w:p>
      <w:pPr>
        <w:jc w:val="both"/>
        <w:ind w:right="300" w:firstLine="357"/>
        <w:spacing w:after="0" w:line="248" w:lineRule="auto"/>
        <w:rPr>
          <w:sz w:val="20"/>
          <w:szCs w:val="20"/>
          <w:color w:val="auto"/>
        </w:rPr>
      </w:pPr>
      <w:r>
        <w:rPr>
          <w:rFonts w:ascii="Arial" w:cs="Arial" w:eastAsia="Arial" w:hAnsi="Arial"/>
          <w:sz w:val="19"/>
          <w:szCs w:val="19"/>
          <w:b w:val="1"/>
          <w:bCs w:val="1"/>
          <w:i w:val="1"/>
          <w:iCs w:val="1"/>
          <w:color w:val="auto"/>
        </w:rPr>
        <w:t>Goodwill and Indefinite-Lived Intangible Assets</w:t>
      </w:r>
      <w:r>
        <w:rPr>
          <w:rFonts w:ascii="Arial" w:cs="Arial" w:eastAsia="Arial" w:hAnsi="Arial"/>
          <w:sz w:val="19"/>
          <w:szCs w:val="19"/>
          <w:color w:val="auto"/>
        </w:rPr>
        <w:t>—Goodwill and indefinite-lived intangible assets are subject to impairment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testing annually as of March 31, and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2017 and determined that there was no impairment as of that date.</w:t>
      </w:r>
    </w:p>
    <w:p>
      <w:pPr>
        <w:spacing w:after="0" w:line="60" w:lineRule="exact"/>
        <w:rPr>
          <w:sz w:val="20"/>
          <w:szCs w:val="20"/>
          <w:color w:val="auto"/>
        </w:rPr>
      </w:pPr>
    </w:p>
    <w:p>
      <w:pPr>
        <w:jc w:val="both"/>
        <w:ind w:right="240" w:firstLine="357"/>
        <w:spacing w:after="0" w:line="258" w:lineRule="auto"/>
        <w:rPr>
          <w:sz w:val="20"/>
          <w:szCs w:val="20"/>
          <w:color w:val="auto"/>
        </w:rPr>
      </w:pPr>
      <w:r>
        <w:rPr>
          <w:rFonts w:ascii="Arial" w:cs="Arial" w:eastAsia="Arial" w:hAnsi="Arial"/>
          <w:sz w:val="19"/>
          <w:szCs w:val="19"/>
          <w:b w:val="1"/>
          <w:bCs w:val="1"/>
          <w:i w:val="1"/>
          <w:iCs w:val="1"/>
          <w:color w:val="auto"/>
        </w:rPr>
        <w:t>Other Intangible Assets with Determinable Lives</w:t>
      </w:r>
      <w:r>
        <w:rPr>
          <w:rFonts w:ascii="Arial" w:cs="Arial" w:eastAsia="Arial" w:hAnsi="Arial"/>
          <w:sz w:val="19"/>
          <w:szCs w:val="19"/>
          <w:color w:val="auto"/>
        </w:rPr>
        <w:t>—Other intangible assets with determinable lives consist of customer lists,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technology, patents and trademarks and other intangibles and are amortized over their estimated useful lives, ranging from 2 to 24 years.</w:t>
      </w:r>
    </w:p>
    <w:p>
      <w:pPr>
        <w:spacing w:after="0" w:line="52" w:lineRule="exact"/>
        <w:rPr>
          <w:sz w:val="20"/>
          <w:szCs w:val="20"/>
          <w:color w:val="auto"/>
        </w:rPr>
      </w:pPr>
    </w:p>
    <w:p>
      <w:pPr>
        <w:ind w:right="60" w:firstLine="357"/>
        <w:spacing w:after="0" w:line="242" w:lineRule="auto"/>
        <w:rPr>
          <w:sz w:val="20"/>
          <w:szCs w:val="20"/>
          <w:color w:val="auto"/>
        </w:rPr>
      </w:pPr>
      <w:r>
        <w:rPr>
          <w:rFonts w:ascii="Arial" w:cs="Arial" w:eastAsia="Arial" w:hAnsi="Arial"/>
          <w:sz w:val="19"/>
          <w:szCs w:val="19"/>
          <w:b w:val="1"/>
          <w:bCs w:val="1"/>
          <w:i w:val="1"/>
          <w:iCs w:val="1"/>
          <w:color w:val="auto"/>
        </w:rPr>
        <w:t>Sales Recognition</w:t>
      </w:r>
      <w:r>
        <w:rPr>
          <w:rFonts w:ascii="Arial" w:cs="Arial" w:eastAsia="Arial" w:hAnsi="Arial"/>
          <w:sz w:val="19"/>
          <w:szCs w:val="19"/>
          <w:color w:val="auto"/>
        </w:rPr>
        <w:t>—Product and service sales are recognized when persuasive evidence of an arrangement exists, product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delivery has occurred or services have been rendered, pricing is fixed or determinable, and collection is reasonably assured. Service sales, principally representing repair, maintenance and engineering activities are recognized over the contractual period or as services are rendered. Sales under long-term contracts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286"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b w:val="1"/>
          <w:bCs w:val="1"/>
          <w:i w:val="1"/>
          <w:iCs w:val="1"/>
          <w:color w:val="auto"/>
        </w:rPr>
        <w:t>Environmental</w:t>
      </w:r>
      <w:r>
        <w:rPr>
          <w:rFonts w:ascii="Arial" w:cs="Arial" w:eastAsia="Arial" w:hAnsi="Arial"/>
          <w:sz w:val="19"/>
          <w:szCs w:val="19"/>
          <w:color w:val="auto"/>
        </w:rPr>
        <w:t>—We accrue costs related to environmental matters when it is probable that we have incurred a liability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contaminated site and the amount can be reasonably estimated. For additional information, see Note 19 Commitments and Contingencies.</w:t>
      </w:r>
    </w:p>
    <w:p>
      <w:pPr>
        <w:spacing w:after="0" w:line="52" w:lineRule="exact"/>
        <w:rPr>
          <w:sz w:val="20"/>
          <w:szCs w:val="20"/>
          <w:color w:val="auto"/>
        </w:rPr>
      </w:pPr>
    </w:p>
    <w:p>
      <w:pPr>
        <w:ind w:right="100" w:firstLine="357"/>
        <w:spacing w:after="0" w:line="251"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—We recognize a liability for any asbestos related contingency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probable of occurrence and reasonably estimable. In connection with the recognition of liabilities for asbestos related matters, we record asbestos related insurance recoveries that are deemed probable. For additional information, see Note 19 Commitments and Contingencies.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70"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Aerospace Sales Incentives</w:t>
      </w:r>
      <w:r>
        <w:rPr>
          <w:rFonts w:ascii="Arial" w:cs="Arial" w:eastAsia="Arial" w:hAnsi="Arial"/>
          <w:sz w:val="19"/>
          <w:szCs w:val="19"/>
          <w:color w:val="auto"/>
        </w:rPr>
        <w:t>—We provide sales incentives to commercial aircraft manufacturers and airlines in connection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selection of our aircraft equipment, predominately wheel and braking system hardware, avionics, and auxiliary power units, for installation on commercial aircraft. These incentives consist of free or deeply discounted products, credits for future purchases of product and upfront cash payments. These costs are recognized in the period incurred as cost of products sold or as a reduction to sales, as appropriate.</w:t>
      </w:r>
    </w:p>
    <w:p>
      <w:pPr>
        <w:spacing w:after="0" w:line="60" w:lineRule="exact"/>
        <w:rPr>
          <w:sz w:val="20"/>
          <w:szCs w:val="20"/>
          <w:color w:val="auto"/>
        </w:rPr>
      </w:pPr>
    </w:p>
    <w:p>
      <w:pPr>
        <w:ind w:right="120" w:firstLine="357"/>
        <w:spacing w:after="0" w:line="251" w:lineRule="auto"/>
        <w:rPr>
          <w:sz w:val="20"/>
          <w:szCs w:val="20"/>
          <w:color w:val="auto"/>
        </w:rPr>
      </w:pPr>
      <w:r>
        <w:rPr>
          <w:rFonts w:ascii="Arial" w:cs="Arial" w:eastAsia="Arial" w:hAnsi="Arial"/>
          <w:sz w:val="19"/>
          <w:szCs w:val="19"/>
          <w:b w:val="1"/>
          <w:bCs w:val="1"/>
          <w:i w:val="1"/>
          <w:iCs w:val="1"/>
          <w:color w:val="auto"/>
        </w:rPr>
        <w:t>Research and Development</w:t>
      </w:r>
      <w:r>
        <w:rPr>
          <w:rFonts w:ascii="Arial" w:cs="Arial" w:eastAsia="Arial" w:hAnsi="Arial"/>
          <w:sz w:val="19"/>
          <w:szCs w:val="19"/>
          <w:color w:val="auto"/>
        </w:rPr>
        <w:t>—Research and development costs for company-sponsored research and development projects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expensed as incurred. Such costs are principally included in cost of products sold and were $1,835 million, $1,864 million and $1,856 million in 2017, 2016 and 2015. The 2016 research and development costs previously disclosed have been revised to reflect the amounts recorded in the 2016 Consolidated Statement of Operations and had no impact on the results of operations.</w:t>
      </w:r>
    </w:p>
    <w:p>
      <w:pPr>
        <w:spacing w:after="0" w:line="58" w:lineRule="exact"/>
        <w:rPr>
          <w:sz w:val="20"/>
          <w:szCs w:val="20"/>
          <w:color w:val="auto"/>
        </w:rPr>
      </w:pPr>
    </w:p>
    <w:p>
      <w:pPr>
        <w:ind w:right="40" w:firstLine="357"/>
        <w:spacing w:after="0" w:line="245" w:lineRule="auto"/>
        <w:rPr>
          <w:sz w:val="20"/>
          <w:szCs w:val="20"/>
          <w:color w:val="auto"/>
        </w:rPr>
      </w:pPr>
      <w:r>
        <w:rPr>
          <w:rFonts w:ascii="Arial" w:cs="Arial" w:eastAsia="Arial" w:hAnsi="Arial"/>
          <w:sz w:val="19"/>
          <w:szCs w:val="19"/>
          <w:b w:val="1"/>
          <w:bCs w:val="1"/>
          <w:i w:val="1"/>
          <w:iCs w:val="1"/>
          <w:color w:val="auto"/>
        </w:rPr>
        <w:t>Stock-Based Compensation Plans</w:t>
      </w:r>
      <w:r>
        <w:rPr>
          <w:rFonts w:ascii="Arial" w:cs="Arial" w:eastAsia="Arial" w:hAnsi="Arial"/>
          <w:sz w:val="19"/>
          <w:szCs w:val="19"/>
          <w:color w:val="auto"/>
        </w:rPr>
        <w:t>—The principal awards issued under our stock-based compensation plans,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described in Note 18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spacing w:after="0" w:line="66"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Pension Benefits</w:t>
      </w:r>
      <w:r>
        <w:rPr>
          <w:rFonts w:ascii="Arial" w:cs="Arial" w:eastAsia="Arial" w:hAnsi="Arial"/>
          <w:sz w:val="19"/>
          <w:szCs w:val="19"/>
          <w:color w:val="auto"/>
        </w:rPr>
        <w:t>—We recognize net actuarial gains or losses in excess of 10% of the greater of the fair value of plan assets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plans’ projected benefit obligation (the corridor) annually in the fourth quarter each year (MTM Adjustment), and, if applicable, in any quarter in which an interim remeasurement is triggered. The remaining components of pension (income) expense, primarily service and interest costs and assumed return on plan assets, are recognized on a quarterly basis (Pension ongoing (income) expense).</w:t>
      </w:r>
    </w:p>
    <w:p>
      <w:pPr>
        <w:spacing w:after="0" w:line="285" w:lineRule="exact"/>
        <w:rPr>
          <w:sz w:val="20"/>
          <w:szCs w:val="20"/>
          <w:color w:val="auto"/>
        </w:rPr>
      </w:pPr>
    </w:p>
    <w:p>
      <w:pPr>
        <w:ind w:right="20" w:firstLine="357"/>
        <w:spacing w:after="0" w:line="244" w:lineRule="auto"/>
        <w:rPr>
          <w:sz w:val="20"/>
          <w:szCs w:val="20"/>
          <w:color w:val="auto"/>
        </w:rPr>
      </w:pPr>
      <w:r>
        <w:rPr>
          <w:rFonts w:ascii="Arial" w:cs="Arial" w:eastAsia="Arial" w:hAnsi="Arial"/>
          <w:sz w:val="19"/>
          <w:szCs w:val="19"/>
          <w:b w:val="1"/>
          <w:bCs w:val="1"/>
          <w:i w:val="1"/>
          <w:iCs w:val="1"/>
          <w:color w:val="auto"/>
        </w:rPr>
        <w:t>Foreign Currency Translation</w:t>
      </w:r>
      <w:r>
        <w:rPr>
          <w:rFonts w:ascii="Arial" w:cs="Arial" w:eastAsia="Arial" w:hAnsi="Arial"/>
          <w:sz w:val="19"/>
          <w:szCs w:val="19"/>
          <w:color w:val="auto"/>
        </w:rPr>
        <w:t>—Assets and liabilities of subsidiaries operating outside the United States with a functional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52" w:lineRule="exact"/>
        <w:rPr>
          <w:sz w:val="20"/>
          <w:szCs w:val="20"/>
          <w:color w:val="auto"/>
        </w:rPr>
      </w:pPr>
    </w:p>
    <w:p>
      <w:pPr>
        <w:ind w:firstLine="357"/>
        <w:spacing w:after="0" w:line="244" w:lineRule="auto"/>
        <w:rPr>
          <w:sz w:val="20"/>
          <w:szCs w:val="20"/>
          <w:color w:val="auto"/>
        </w:rPr>
      </w:pP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—We minimize our risks from interest and foreign currency exchange rate fluctuations through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normal operating and financing activities and, when deemed appropriate through the use of derivative financial instruments. Derivative financial instruments are used to manage risk and are not used for trading or other speculative purposes.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classified consistent with the underlying hedged item. For derivative instruments that are designated and qualify as a net investment hedge, the effective portion of the derivative’s gain or loss is reported as a component of Other comprehensive income (loss) and recorded in Accumulated other comprehensive income (loss). The gain or loss will be subsequently reclassified into net earnings when the hedged net investment is either sold or substantially liquidated.</w:t>
      </w:r>
    </w:p>
    <w:p>
      <w:pPr>
        <w:spacing w:after="0" w:line="67"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—Significant judgment is required in evaluating tax positions. We establish additional reserves for income taxes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w:t>
      </w:r>
    </w:p>
    <w:p>
      <w:pPr>
        <w:spacing w:after="0" w:line="70" w:lineRule="exact"/>
        <w:rPr>
          <w:sz w:val="20"/>
          <w:szCs w:val="20"/>
          <w:color w:val="auto"/>
        </w:rPr>
      </w:pPr>
    </w:p>
    <w:p>
      <w:pPr>
        <w:ind w:firstLine="357"/>
        <w:spacing w:after="0" w:line="280" w:lineRule="auto"/>
        <w:rPr>
          <w:sz w:val="20"/>
          <w:szCs w:val="20"/>
          <w:color w:val="auto"/>
        </w:rPr>
      </w:pPr>
      <w:r>
        <w:rPr>
          <w:rFonts w:ascii="Arial" w:cs="Arial" w:eastAsia="Arial" w:hAnsi="Arial"/>
          <w:sz w:val="19"/>
          <w:szCs w:val="19"/>
          <w:b w:val="1"/>
          <w:bCs w:val="1"/>
          <w:i w:val="1"/>
          <w:iCs w:val="1"/>
          <w:color w:val="auto"/>
        </w:rPr>
        <w:t>Cash and cash equivalents</w:t>
      </w:r>
      <w:r>
        <w:rPr>
          <w:rFonts w:ascii="Arial" w:cs="Arial" w:eastAsia="Arial" w:hAnsi="Arial"/>
          <w:sz w:val="19"/>
          <w:szCs w:val="19"/>
          <w:color w:val="auto"/>
        </w:rPr>
        <w:t>—Cash and cash equivalents include cash on hand and highly liquid investments having an original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maturity of three months or less.</w:t>
      </w:r>
    </w:p>
    <w:p>
      <w:pPr>
        <w:spacing w:after="0" w:line="30" w:lineRule="exact"/>
        <w:rPr>
          <w:sz w:val="20"/>
          <w:szCs w:val="20"/>
          <w:color w:val="auto"/>
        </w:rPr>
      </w:pPr>
    </w:p>
    <w:p>
      <w:pPr>
        <w:ind w:right="460" w:firstLine="357"/>
        <w:spacing w:after="0" w:line="258" w:lineRule="auto"/>
        <w:rPr>
          <w:sz w:val="20"/>
          <w:szCs w:val="20"/>
          <w:color w:val="auto"/>
        </w:rPr>
      </w:pPr>
      <w:r>
        <w:rPr>
          <w:rFonts w:ascii="Arial" w:cs="Arial" w:eastAsia="Arial" w:hAnsi="Arial"/>
          <w:sz w:val="19"/>
          <w:szCs w:val="19"/>
          <w:b w:val="1"/>
          <w:bCs w:val="1"/>
          <w:i w:val="1"/>
          <w:iCs w:val="1"/>
          <w:color w:val="auto"/>
        </w:rPr>
        <w:t>Earnings Per Share</w:t>
      </w:r>
      <w:r>
        <w:rPr>
          <w:rFonts w:ascii="Arial" w:cs="Arial" w:eastAsia="Arial" w:hAnsi="Arial"/>
          <w:sz w:val="19"/>
          <w:szCs w:val="19"/>
          <w:color w:val="auto"/>
        </w:rPr>
        <w:t>—Basic earnings per share is based on the weighted average number of common shares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Diluted earnings per share is based on the weighted average number of common shares outstanding and all dilutive potential common shares outstanding.</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Reclassifications</w:t>
      </w:r>
      <w:r>
        <w:rPr>
          <w:rFonts w:ascii="Arial" w:cs="Arial" w:eastAsia="Arial" w:hAnsi="Arial"/>
          <w:sz w:val="19"/>
          <w:szCs w:val="19"/>
          <w:color w:val="auto"/>
        </w:rPr>
        <w:t>—Certain prior year amounts have been reclassified to conform to the current year presentation.</w:t>
      </w:r>
    </w:p>
    <w:p>
      <w:pPr>
        <w:spacing w:after="0" w:line="92" w:lineRule="exact"/>
        <w:rPr>
          <w:sz w:val="20"/>
          <w:szCs w:val="20"/>
          <w:color w:val="auto"/>
        </w:rPr>
      </w:pPr>
    </w:p>
    <w:p>
      <w:pPr>
        <w:ind w:right="80" w:firstLine="357"/>
        <w:spacing w:after="0" w:line="251" w:lineRule="auto"/>
        <w:rPr>
          <w:sz w:val="20"/>
          <w:szCs w:val="20"/>
          <w:color w:val="auto"/>
        </w:rPr>
      </w:pPr>
      <w:r>
        <w:rPr>
          <w:rFonts w:ascii="Arial" w:cs="Arial" w:eastAsia="Arial" w:hAnsi="Arial"/>
          <w:sz w:val="19"/>
          <w:szCs w:val="19"/>
          <w:b w:val="1"/>
          <w:bCs w:val="1"/>
          <w:i w:val="1"/>
          <w:iCs w:val="1"/>
          <w:color w:val="auto"/>
        </w:rPr>
        <w:t>Recent Accounting Pronouncements</w:t>
      </w:r>
      <w:r>
        <w:rPr>
          <w:rFonts w:ascii="Arial" w:cs="Arial" w:eastAsia="Arial" w:hAnsi="Arial"/>
          <w:sz w:val="19"/>
          <w:szCs w:val="19"/>
          <w:color w:val="auto"/>
        </w:rPr>
        <w:t>—We consider the applicability and impact of all Accounting Standards Updates (ASUs)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82"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In May 2014, and in following related amendments, the FASB issued guidance on revenue from contracts with customers that supersedes upon adoption previous revenue recognition guidance, including industry-specific guidance. The underlying principle requires an entity to recognize revenue for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in certain circumstances, allowing estimates of variable consideration to be recognized before contingencies are resolved. The guidance also requires enhanced disclosures regarding the nature, amount, timing and uncertainty of revenue and cash flows arising from an entity’s contracts with customers.</w:t>
      </w:r>
    </w:p>
    <w:p>
      <w:pPr>
        <w:spacing w:after="0" w:line="96"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The Company has completed its evaluation of the new standard and has assessed the impacts of adoption on the Consolidated Financial Statements and disclosures. Based on the evaluation of our current contracts and revenue streams, revenue recognition is mostly consistent under both the previous and new standard, with the exception of two key revenue streams within our Aerospace segment, which are described below.</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First, the previous accounting policy for costs incurred for nonrecurring engineering and development activities of our Aerospace products with commercial customers was generally to record the expense as incurred. Any customer funding received for such efforts was recognized when earned as a reduction of cost of sales. Upon adoption of the new standard, the customer funding is generally classified as revenue and not as a reduction of cost of sales. Such revenues are deferred and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40"/>
        <w:spacing w:after="0"/>
        <w:rPr>
          <w:sz w:val="20"/>
          <w:szCs w:val="20"/>
          <w:color w:val="auto"/>
        </w:rPr>
      </w:pPr>
      <w:r>
        <w:rPr>
          <w:rFonts w:ascii="Arial" w:cs="Arial" w:eastAsia="Arial" w:hAnsi="Arial"/>
          <w:sz w:val="19"/>
          <w:szCs w:val="19"/>
          <w:color w:val="auto"/>
        </w:rPr>
        <w:t>subsequently recognized as products are delivered to the customers. Additionally, under the new guidance, expenses incurred, up to the customer agreed funded amount, are deferred as an asset and subsequently recognized as cost of sales as products are delivered to the customer. As a result of these changes, both deferred costs (assets) and deferred revenue (liability) increased by approximately $1,090 million effective January 1, 2018. The aforementioned change in classification within the Consolidated Statement of Operations and timing difference in recognition is expected to have a minor impact on our gross margin percentage but no change to gross profit.</w:t>
      </w:r>
    </w:p>
    <w:p>
      <w:pPr>
        <w:spacing w:after="0" w:line="312" w:lineRule="exact"/>
        <w:rPr>
          <w:sz w:val="20"/>
          <w:szCs w:val="20"/>
          <w:color w:val="auto"/>
        </w:rPr>
      </w:pPr>
    </w:p>
    <w:p>
      <w:pPr>
        <w:ind w:right="80" w:firstLine="357"/>
        <w:spacing w:after="0" w:line="242" w:lineRule="auto"/>
        <w:rPr>
          <w:sz w:val="20"/>
          <w:szCs w:val="20"/>
          <w:color w:val="auto"/>
        </w:rPr>
      </w:pPr>
      <w:r>
        <w:rPr>
          <w:rFonts w:ascii="Arial" w:cs="Arial" w:eastAsia="Arial" w:hAnsi="Arial"/>
          <w:sz w:val="19"/>
          <w:szCs w:val="19"/>
          <w:color w:val="auto"/>
        </w:rPr>
        <w:t>Second, the accounting for revenues for our mechanical service programs at our Aerospace segment are impacted. Our previous policy was to recognize revenue over time as costs were incurred (input method). Upon adoption, we continue to recognize revenue over time, but recognition is based on a series of distinct services using the output method. At adoption, this change results in unbilled receivables and deferred revenue being eliminated through retained earnings.</w:t>
      </w:r>
    </w:p>
    <w:p>
      <w:pPr>
        <w:spacing w:after="0" w:line="91" w:lineRule="exact"/>
        <w:rPr>
          <w:sz w:val="20"/>
          <w:szCs w:val="20"/>
          <w:color w:val="auto"/>
        </w:rPr>
      </w:pPr>
    </w:p>
    <w:p>
      <w:pPr>
        <w:ind w:right="480" w:firstLine="357"/>
        <w:spacing w:after="0" w:line="253" w:lineRule="auto"/>
        <w:rPr>
          <w:sz w:val="20"/>
          <w:szCs w:val="20"/>
          <w:color w:val="auto"/>
        </w:rPr>
      </w:pPr>
      <w:r>
        <w:rPr>
          <w:rFonts w:ascii="Arial" w:cs="Arial" w:eastAsia="Arial" w:hAnsi="Arial"/>
          <w:sz w:val="19"/>
          <w:szCs w:val="19"/>
          <w:color w:val="auto"/>
        </w:rPr>
        <w:t>We adopted the new standard effective January 1, 2018 using the modified retrospective transition method. The cumulative effect recorded to the opening balance of retained earnings of the above impacted revenue streams is $75 million.</w:t>
      </w:r>
    </w:p>
    <w:p>
      <w:pPr>
        <w:spacing w:after="0" w:line="80" w:lineRule="exact"/>
        <w:rPr>
          <w:sz w:val="20"/>
          <w:szCs w:val="20"/>
          <w:color w:val="auto"/>
        </w:rPr>
      </w:pPr>
    </w:p>
    <w:p>
      <w:pPr>
        <w:jc w:val="both"/>
        <w:ind w:right="160" w:firstLine="357"/>
        <w:spacing w:after="0" w:line="245" w:lineRule="auto"/>
        <w:rPr>
          <w:sz w:val="20"/>
          <w:szCs w:val="20"/>
          <w:color w:val="auto"/>
        </w:rPr>
      </w:pPr>
      <w:r>
        <w:rPr>
          <w:rFonts w:ascii="Arial" w:cs="Arial" w:eastAsia="Arial" w:hAnsi="Arial"/>
          <w:sz w:val="19"/>
          <w:szCs w:val="19"/>
          <w:color w:val="auto"/>
        </w:rPr>
        <w:t>The disclosures in our notes to Consolidated Financial Statements related to revenue recognition will be significantly expanded under the new standard, specifically around the quantitative and qualitative information about performance obligations, changes in contract assets and liabilities, and disaggregation of revenue.</w:t>
      </w:r>
    </w:p>
    <w:p>
      <w:pPr>
        <w:spacing w:after="0" w:line="87" w:lineRule="exact"/>
        <w:rPr>
          <w:sz w:val="20"/>
          <w:szCs w:val="20"/>
          <w:color w:val="auto"/>
        </w:rPr>
      </w:pPr>
    </w:p>
    <w:p>
      <w:pPr>
        <w:ind w:right="100" w:firstLine="357"/>
        <w:spacing w:after="0"/>
        <w:rPr>
          <w:sz w:val="20"/>
          <w:szCs w:val="20"/>
          <w:color w:val="auto"/>
        </w:rPr>
      </w:pPr>
      <w:r>
        <w:rPr>
          <w:rFonts w:ascii="Arial" w:cs="Arial" w:eastAsia="Arial" w:hAnsi="Arial"/>
          <w:sz w:val="19"/>
          <w:szCs w:val="19"/>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We are currently evaluating our lease portfolio to assess overall financial statement impact and planning for adoption and implementation of this standard. We will continue to evaluate the adoption impact of this standard on our consolidated financial position, results of operations, and related notes to financial statements.</w:t>
      </w:r>
    </w:p>
    <w:p>
      <w:pPr>
        <w:spacing w:after="0" w:line="29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October 2016, the FASB issued an accounting standard update which requires an entity to recognize the income tax consequences of an intra-entity transfer of an asset, other than inventory, at the time the entity transfer occurs rather than when the asset is ultimately transferred to a third party, as required under current U.S. GAAP. The guidance is intended to reduce diversity in practice, particularly for transfers involving intellectual property. Subsequent to 2017 fiscal year, we adopted the accounting standard update as of January 1, 2018. The guidance requires application on a modified retrospective basis. The adoption of this guidance increases our deferred tax assets by approximately $340 million with a cumulative-effect adjustment to retained earnings of the same amount.</w:t>
      </w:r>
    </w:p>
    <w:p>
      <w:pPr>
        <w:spacing w:after="0" w:line="91"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In March 2017, the FASB issued guidance on presentation of net periodic pension cost and net periodic postretirement benefit cost. The new standard requires that an employer disaggregate the service cost component of net benefit cost. The employer is required to report the service cost component in the same line item or items in the statement of operations as other compensation costs arising from services rendered by the pertinent employees during the period. The other components of net benefit cost are required to be presented in the statement of operations separately from the service cost component, such as in other income and expense. The guidance is effective for fiscal years beginning after December 15, 2017. Subsequent to 2017 fiscal year, we adopted the accounting standard update as of January 1, 2018. This guidance impacts the presentation of our Consolidated Financial Statements. Our current presentation of the service cost component is consistent with the requirements of the new standard. We will present the other components within Other (income) expense (we currently present the other components within Cost of products and services sold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620"/>
        <w:spacing w:after="0" w:line="253" w:lineRule="auto"/>
        <w:rPr>
          <w:sz w:val="20"/>
          <w:szCs w:val="20"/>
          <w:color w:val="auto"/>
        </w:rPr>
      </w:pPr>
      <w:r>
        <w:rPr>
          <w:rFonts w:ascii="Arial" w:cs="Arial" w:eastAsia="Arial" w:hAnsi="Arial"/>
          <w:sz w:val="19"/>
          <w:szCs w:val="19"/>
          <w:color w:val="auto"/>
        </w:rPr>
        <w:t>Selling, general, and administrative expenses). All components will continue to be excluded from Segment Profit (see Note 20 Pension and Other Postretirement Benefits for components of net period benefit cost).</w:t>
      </w:r>
    </w:p>
    <w:p>
      <w:pPr>
        <w:spacing w:after="0" w:line="8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In August 2017, the FASB issued amendments to hedge accounting guidance. These amendments are intended to better align a company’s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guidance is effective for fiscal years beginning after December 15, 2018 with early adoption permitted, including the interim periods within those years. The guidance requires the use of a modified retrospective approach. We are currently evaluating whether to early adopt the new guidance and the impact of this amendment on our consolidated financial position, results of operations, and related notes to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Acquisitions and Divestitures</w:t>
      </w:r>
    </w:p>
    <w:p>
      <w:pPr>
        <w:spacing w:after="0" w:line="116" w:lineRule="exact"/>
        <w:rPr>
          <w:sz w:val="20"/>
          <w:szCs w:val="20"/>
          <w:color w:val="auto"/>
        </w:rPr>
      </w:pPr>
    </w:p>
    <w:p>
      <w:pPr>
        <w:ind w:right="500" w:firstLine="357"/>
        <w:spacing w:after="0" w:line="253" w:lineRule="auto"/>
        <w:rPr>
          <w:sz w:val="20"/>
          <w:szCs w:val="20"/>
          <w:color w:val="auto"/>
        </w:rPr>
      </w:pPr>
      <w:r>
        <w:rPr>
          <w:rFonts w:ascii="Arial" w:cs="Arial" w:eastAsia="Arial" w:hAnsi="Arial"/>
          <w:sz w:val="19"/>
          <w:szCs w:val="19"/>
          <w:color w:val="auto"/>
        </w:rPr>
        <w:t>During 2017 there were no significant acquisitions individually or in aggregate. During 2016, we acquired businesses for an aggregate cost (net of cash and debt assumed) of $2,538 million.</w:t>
      </w:r>
    </w:p>
    <w:p>
      <w:pPr>
        <w:spacing w:after="0" w:line="8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In August 2016, the Company acquired Intelligrated, a leading provider of supply chain and warehouse automation technologies, for an aggregate value, net of cash acquired, of $1,488 million. Intelligrated is part of Safety and Productivity Solutions. In the third quarter of 2017, we completed our evaluation of the fair value of all of the assets and liabilities acquired. Management recorded goodwill and intangible assets acquired of, $1,121 million and $507 million, respectively. The Intelligrated identifiable intangible assets primarily include customer relationships, technology, and trade name that are being amortized over their estimated lives ranging from 1 to 15 years using straight line and accelerated amortization methods. The goodwill is non-deductible for tax purposes.</w:t>
      </w:r>
    </w:p>
    <w:p>
      <w:pPr>
        <w:spacing w:after="0" w:line="94" w:lineRule="exact"/>
        <w:rPr>
          <w:sz w:val="20"/>
          <w:szCs w:val="20"/>
          <w:color w:val="auto"/>
        </w:rPr>
      </w:pPr>
    </w:p>
    <w:p>
      <w:pPr>
        <w:ind w:right="400" w:firstLine="357"/>
        <w:spacing w:after="0" w:line="245" w:lineRule="auto"/>
        <w:rPr>
          <w:sz w:val="20"/>
          <w:szCs w:val="20"/>
          <w:color w:val="auto"/>
        </w:rPr>
      </w:pPr>
      <w:r>
        <w:rPr>
          <w:rFonts w:ascii="Arial" w:cs="Arial" w:eastAsia="Arial" w:hAnsi="Arial"/>
          <w:sz w:val="19"/>
          <w:szCs w:val="19"/>
          <w:color w:val="auto"/>
        </w:rPr>
        <w:t>In April 2016, the Company completed the acquisition of Xtralis International Holdings Limited (“Xtralis”), a leading global provider of aspiration smoke detection and perimeter security technologies, for an aggregate cost, net of cash acquired and debt assumed, of $515 million. Xtralis is part of Home and Building Technologies.</w:t>
      </w:r>
    </w:p>
    <w:p>
      <w:pPr>
        <w:spacing w:after="0" w:line="87" w:lineRule="exact"/>
        <w:rPr>
          <w:sz w:val="20"/>
          <w:szCs w:val="20"/>
          <w:color w:val="auto"/>
        </w:rPr>
      </w:pPr>
    </w:p>
    <w:p>
      <w:pPr>
        <w:ind w:right="140" w:firstLine="357"/>
        <w:spacing w:after="0" w:line="245" w:lineRule="auto"/>
        <w:rPr>
          <w:sz w:val="20"/>
          <w:szCs w:val="20"/>
          <w:color w:val="auto"/>
        </w:rPr>
      </w:pPr>
      <w:r>
        <w:rPr>
          <w:rFonts w:ascii="Arial" w:cs="Arial" w:eastAsia="Arial" w:hAnsi="Arial"/>
          <w:sz w:val="19"/>
          <w:szCs w:val="19"/>
          <w:color w:val="auto"/>
        </w:rPr>
        <w:t>In February 2016, the Company acquired 100 percent of the issued and outstanding shares of COM DEV International (“COM DEV”), a leading satellite and space components provider, for an aggregate value, net of cash acquired and debt assumed, of $347 million. COM DEV is part of Aerospace.</w:t>
      </w:r>
    </w:p>
    <w:p>
      <w:pPr>
        <w:spacing w:after="0" w:line="87" w:lineRule="exact"/>
        <w:rPr>
          <w:sz w:val="20"/>
          <w:szCs w:val="20"/>
          <w:color w:val="auto"/>
        </w:rPr>
      </w:pPr>
    </w:p>
    <w:p>
      <w:pPr>
        <w:jc w:val="both"/>
        <w:ind w:right="160" w:firstLine="357"/>
        <w:spacing w:after="0" w:line="245" w:lineRule="auto"/>
        <w:rPr>
          <w:sz w:val="20"/>
          <w:szCs w:val="20"/>
          <w:color w:val="auto"/>
        </w:rPr>
      </w:pPr>
      <w:r>
        <w:rPr>
          <w:rFonts w:ascii="Arial" w:cs="Arial" w:eastAsia="Arial" w:hAnsi="Arial"/>
          <w:sz w:val="19"/>
          <w:szCs w:val="19"/>
          <w:color w:val="auto"/>
        </w:rPr>
        <w:t>In January 2016, the Company acquired the remaining 30 percent noncontrolling interest in UOP Russell LLC, which develops technology and manufactures modular equipment to process natural gas, for $240 million. UOP Russell LLC is part of Performance Materials and Technologies.</w:t>
      </w:r>
    </w:p>
    <w:p>
      <w:pPr>
        <w:spacing w:after="0" w:line="87"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In December 2015, the Company completed the acquisition of the Elster Division of Melrose Industries plc (“Elster”), for an aggregate value, net of cash acquired, of $4,899 million. Elster had 2015 revenues of $1,670 million and has been integrated into Home and Building Technologies and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Performance Materials and Technologies. The following table summarizes the fair value of the acquired Elster assets and liabilities.</w:t>
      </w:r>
    </w:p>
    <w:p>
      <w:pPr>
        <w:spacing w:after="0" w:line="35" w:lineRule="exact"/>
        <w:rPr>
          <w:sz w:val="20"/>
          <w:szCs w:val="20"/>
          <w:color w:val="auto"/>
        </w:rPr>
      </w:pPr>
    </w:p>
    <w:tbl>
      <w:tblPr>
        <w:tblLayout w:type="fixed"/>
        <w:tblInd w:w="1000" w:type="dxa"/>
        <w:tblCellMar>
          <w:top w:w="0" w:type="dxa"/>
          <w:left w:w="0" w:type="dxa"/>
          <w:bottom w:w="0" w:type="dxa"/>
          <w:right w:w="0" w:type="dxa"/>
        </w:tblCellMar>
      </w:tblPr>
      <w:tr>
        <w:trPr>
          <w:trHeight w:val="233"/>
        </w:trPr>
        <w:tc>
          <w:tcPr>
            <w:tcW w:w="8560" w:type="dxa"/>
            <w:vAlign w:val="bottom"/>
            <w:shd w:val="clear" w:color="auto" w:fill="E5FFFF"/>
          </w:tcPr>
          <w:p>
            <w:pPr>
              <w:spacing w:after="0"/>
              <w:rPr>
                <w:sz w:val="20"/>
                <w:szCs w:val="20"/>
                <w:color w:val="auto"/>
              </w:rPr>
            </w:pPr>
            <w:r>
              <w:rPr>
                <w:rFonts w:ascii="Arial" w:cs="Arial" w:eastAsia="Arial" w:hAnsi="Arial"/>
                <w:sz w:val="19"/>
                <w:szCs w:val="19"/>
                <w:color w:val="auto"/>
              </w:rPr>
              <w:t>Current assets</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519</w:t>
            </w:r>
          </w:p>
        </w:tc>
      </w:tr>
      <w:tr>
        <w:trPr>
          <w:trHeight w:val="243"/>
        </w:trPr>
        <w:tc>
          <w:tcPr>
            <w:tcW w:w="8560" w:type="dxa"/>
            <w:vAlign w:val="bottom"/>
          </w:tcPr>
          <w:p>
            <w:pPr>
              <w:spacing w:after="0"/>
              <w:rPr>
                <w:sz w:val="20"/>
                <w:szCs w:val="20"/>
                <w:color w:val="auto"/>
              </w:rPr>
            </w:pPr>
            <w:r>
              <w:rPr>
                <w:rFonts w:ascii="Arial" w:cs="Arial" w:eastAsia="Arial" w:hAnsi="Arial"/>
                <w:sz w:val="19"/>
                <w:szCs w:val="19"/>
                <w:color w:val="auto"/>
              </w:rPr>
              <w:t>Intangible assets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2,163</w:t>
            </w:r>
          </w:p>
        </w:tc>
      </w:tr>
      <w:tr>
        <w:trPr>
          <w:trHeight w:val="243"/>
        </w:trPr>
        <w:tc>
          <w:tcPr>
            <w:tcW w:w="8560" w:type="dxa"/>
            <w:vAlign w:val="bottom"/>
            <w:shd w:val="clear" w:color="auto" w:fill="E5FFFF"/>
          </w:tcPr>
          <w:p>
            <w:pPr>
              <w:spacing w:after="0"/>
              <w:rPr>
                <w:sz w:val="20"/>
                <w:szCs w:val="20"/>
                <w:color w:val="auto"/>
              </w:rPr>
            </w:pPr>
            <w:r>
              <w:rPr>
                <w:rFonts w:ascii="Arial" w:cs="Arial" w:eastAsia="Arial" w:hAnsi="Arial"/>
                <w:sz w:val="19"/>
                <w:szCs w:val="19"/>
                <w:color w:val="auto"/>
              </w:rPr>
              <w:t>Other noncurrent assets</w:t>
            </w: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193</w:t>
            </w:r>
          </w:p>
        </w:tc>
      </w:tr>
      <w:tr>
        <w:trPr>
          <w:trHeight w:val="243"/>
        </w:trPr>
        <w:tc>
          <w:tcPr>
            <w:tcW w:w="8560" w:type="dxa"/>
            <w:vAlign w:val="bottom"/>
          </w:tcPr>
          <w:p>
            <w:pPr>
              <w:spacing w:after="0"/>
              <w:rPr>
                <w:sz w:val="20"/>
                <w:szCs w:val="20"/>
                <w:color w:val="auto"/>
              </w:rPr>
            </w:pPr>
            <w:r>
              <w:rPr>
                <w:rFonts w:ascii="Arial" w:cs="Arial" w:eastAsia="Arial" w:hAnsi="Arial"/>
                <w:sz w:val="19"/>
                <w:szCs w:val="19"/>
                <w:color w:val="auto"/>
              </w:rPr>
              <w:t>Current liabilities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(566)</w:t>
            </w:r>
          </w:p>
        </w:tc>
      </w:tr>
      <w:tr>
        <w:trPr>
          <w:trHeight w:val="243"/>
        </w:trPr>
        <w:tc>
          <w:tcPr>
            <w:tcW w:w="8560" w:type="dxa"/>
            <w:vAlign w:val="bottom"/>
            <w:shd w:val="clear" w:color="auto" w:fill="E5FFFF"/>
          </w:tcPr>
          <w:p>
            <w:pPr>
              <w:spacing w:after="0"/>
              <w:rPr>
                <w:sz w:val="20"/>
                <w:szCs w:val="20"/>
                <w:color w:val="auto"/>
              </w:rPr>
            </w:pPr>
            <w:r>
              <w:rPr>
                <w:rFonts w:ascii="Arial" w:cs="Arial" w:eastAsia="Arial" w:hAnsi="Arial"/>
                <w:sz w:val="19"/>
                <w:szCs w:val="19"/>
                <w:color w:val="auto"/>
              </w:rPr>
              <w:t>Noncurrent liabilities</w:t>
            </w:r>
          </w:p>
        </w:tc>
        <w:tc>
          <w:tcPr>
            <w:tcW w:w="2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(973)</w:t>
            </w:r>
          </w:p>
        </w:tc>
      </w:tr>
      <w:tr>
        <w:trPr>
          <w:trHeight w:val="250"/>
        </w:trPr>
        <w:tc>
          <w:tcPr>
            <w:tcW w:w="8560" w:type="dxa"/>
            <w:vAlign w:val="bottom"/>
          </w:tcPr>
          <w:p>
            <w:pPr>
              <w:ind w:left="360"/>
              <w:spacing w:after="0"/>
              <w:rPr>
                <w:sz w:val="20"/>
                <w:szCs w:val="20"/>
                <w:color w:val="auto"/>
              </w:rPr>
            </w:pPr>
            <w:r>
              <w:rPr>
                <w:rFonts w:ascii="Arial" w:cs="Arial" w:eastAsia="Arial" w:hAnsi="Arial"/>
                <w:sz w:val="19"/>
                <w:szCs w:val="19"/>
                <w:color w:val="auto"/>
              </w:rPr>
              <w:t>Net assets acquired</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1,336</w:t>
            </w:r>
          </w:p>
        </w:tc>
      </w:tr>
      <w:tr>
        <w:trPr>
          <w:trHeight w:val="243"/>
        </w:trPr>
        <w:tc>
          <w:tcPr>
            <w:tcW w:w="8560" w:type="dxa"/>
            <w:vAlign w:val="bottom"/>
            <w:shd w:val="clear" w:color="auto" w:fill="E5FFFF"/>
          </w:tcPr>
          <w:p>
            <w:pPr>
              <w:spacing w:after="0"/>
              <w:rPr>
                <w:sz w:val="20"/>
                <w:szCs w:val="20"/>
                <w:color w:val="auto"/>
              </w:rPr>
            </w:pPr>
            <w:r>
              <w:rPr>
                <w:rFonts w:ascii="Arial" w:cs="Arial" w:eastAsia="Arial" w:hAnsi="Arial"/>
                <w:sz w:val="19"/>
                <w:szCs w:val="19"/>
                <w:color w:val="auto"/>
              </w:rPr>
              <w:t>Noncontrolling interest</w:t>
            </w:r>
          </w:p>
        </w:tc>
        <w:tc>
          <w:tcPr>
            <w:tcW w:w="20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r>
      <w:tr>
        <w:trPr>
          <w:trHeight w:val="250"/>
        </w:trPr>
        <w:tc>
          <w:tcPr>
            <w:tcW w:w="8560" w:type="dxa"/>
            <w:vAlign w:val="bottom"/>
          </w:tcPr>
          <w:p>
            <w:pPr>
              <w:spacing w:after="0"/>
              <w:rPr>
                <w:sz w:val="20"/>
                <w:szCs w:val="20"/>
                <w:color w:val="auto"/>
              </w:rPr>
            </w:pPr>
            <w:r>
              <w:rPr>
                <w:rFonts w:ascii="Arial" w:cs="Arial" w:eastAsia="Arial" w:hAnsi="Arial"/>
                <w:sz w:val="19"/>
                <w:szCs w:val="19"/>
                <w:color w:val="auto"/>
              </w:rPr>
              <w:t>Goodwill</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3,565</w:t>
            </w:r>
          </w:p>
        </w:tc>
      </w:tr>
      <w:tr>
        <w:trPr>
          <w:trHeight w:val="243"/>
        </w:trPr>
        <w:tc>
          <w:tcPr>
            <w:tcW w:w="85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Purchase Price</w:t>
            </w: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4,899</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360" w:firstLine="357"/>
        <w:spacing w:after="0" w:line="245" w:lineRule="auto"/>
        <w:rPr>
          <w:sz w:val="20"/>
          <w:szCs w:val="20"/>
          <w:color w:val="auto"/>
        </w:rPr>
      </w:pPr>
      <w:r>
        <w:rPr>
          <w:rFonts w:ascii="Arial" w:cs="Arial" w:eastAsia="Arial" w:hAnsi="Arial"/>
          <w:sz w:val="19"/>
          <w:szCs w:val="19"/>
          <w:color w:val="auto"/>
        </w:rPr>
        <w:t>The Elster identifiable intangible assets primarily include customer relationships, trade names and technology that are being amortized over their estimated lives ranging from 1 to 20 years using straight line and accelerated amortization methods. The goodwill is non-deductible for tax purposes.</w:t>
      </w:r>
    </w:p>
    <w:p>
      <w:pPr>
        <w:spacing w:after="0" w:line="87"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On October 1, 2016, the Company completed the tax-free spin-off of its Resins and Chemicals business, part of Performance Materials and Technologies, into a standalone, publicly-traded company (named AdvanSix Inc. (“AdvanSix”)) to Honeywell shareowners. The assets and liabilities associated with AdvanSix have been removed from the Company’s Consolidated Balance Sheet. The results of operations for AdvanSix are included in the Consolidated Statement of Operations through the effective date of the spin-off.</w:t>
      </w:r>
    </w:p>
    <w:p>
      <w:pPr>
        <w:spacing w:after="0" w:line="91"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Honeywell shareowners of record as of the close of business on September 16, 2016 received one share of AdvanSix common stock for every 25 shares of Honeywell common stock. Immediately prior to the effective date of the spin-off, AdvanSix incurred debt to make a cash distribution of $269 million to the Company. At the same time, AdvanSix also incurred $38 million of borrowings in order to fund its post spin-off working capital.</w:t>
      </w:r>
    </w:p>
    <w:p>
      <w:pPr>
        <w:spacing w:after="0" w:line="91"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In 2016 in connection with the spin-off, the Company entered into certain agreements with AdvanSix to effect our legal and structural separation including a transition services agreement with AdvanSix to provide certain administrative and other services for a limited time. As of the end of 2017, most of those agreements have ended.</w:t>
      </w:r>
    </w:p>
    <w:p>
      <w:pPr>
        <w:spacing w:after="0" w:line="74" w:lineRule="exact"/>
        <w:rPr>
          <w:sz w:val="20"/>
          <w:szCs w:val="20"/>
          <w:color w:val="auto"/>
        </w:rPr>
      </w:pPr>
    </w:p>
    <w:p>
      <w:pPr>
        <w:ind w:right="360" w:firstLine="357"/>
        <w:spacing w:after="0" w:line="245" w:lineRule="auto"/>
        <w:rPr>
          <w:sz w:val="20"/>
          <w:szCs w:val="20"/>
          <w:color w:val="auto"/>
        </w:rPr>
      </w:pPr>
      <w:r>
        <w:rPr>
          <w:rFonts w:ascii="Arial" w:cs="Arial" w:eastAsia="Arial" w:hAnsi="Arial"/>
          <w:sz w:val="19"/>
          <w:szCs w:val="19"/>
          <w:color w:val="auto"/>
        </w:rPr>
        <w:t>On September 16, 2016, the Company completed the sale of Honeywell Technology Solutions Inc. for a sale price of $300 million. The Company recognized a pre-tax gain of $176 million, which was recorded in Other (income) expense. The Honeywell Technology Solutions Inc. business was part of Aerospace.</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57"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Repositioning and Other Charges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summary of repositioning and other charges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28"/>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Severance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305</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283</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$ 197</w:t>
            </w:r>
          </w:p>
        </w:tc>
      </w:tr>
      <w:tr>
        <w:trPr>
          <w:trHeight w:val="243"/>
        </w:trPr>
        <w:tc>
          <w:tcPr>
            <w:tcW w:w="8780" w:type="dxa"/>
            <w:vAlign w:val="bottom"/>
          </w:tcPr>
          <w:p>
            <w:pPr>
              <w:spacing w:after="0"/>
              <w:rPr>
                <w:sz w:val="20"/>
                <w:szCs w:val="20"/>
                <w:color w:val="auto"/>
              </w:rPr>
            </w:pPr>
            <w:r>
              <w:rPr>
                <w:rFonts w:ascii="Arial" w:cs="Arial" w:eastAsia="Arial" w:hAnsi="Arial"/>
                <w:sz w:val="19"/>
                <w:szCs w:val="19"/>
                <w:color w:val="auto"/>
              </w:rPr>
              <w:t>Asset impairments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43</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Exit costs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Reserve adjustments</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w:t>
            </w:r>
          </w:p>
        </w:tc>
        <w:tc>
          <w:tcPr>
            <w:tcW w:w="3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charge</w:t>
            </w: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491</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260</w:t>
            </w:r>
          </w:p>
        </w:tc>
        <w:tc>
          <w:tcPr>
            <w:tcW w:w="32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163</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Asbestos related litigation charges, net of insurance</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207</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222</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189</w:t>
            </w:r>
          </w:p>
        </w:tc>
      </w:tr>
      <w:tr>
        <w:trPr>
          <w:trHeight w:val="243"/>
        </w:trPr>
        <w:tc>
          <w:tcPr>
            <w:tcW w:w="8780" w:type="dxa"/>
            <w:vAlign w:val="bottom"/>
            <w:shd w:val="clear" w:color="auto" w:fill="E5FFFF"/>
          </w:tcPr>
          <w:p>
            <w:pPr>
              <w:spacing w:after="0"/>
              <w:rPr>
                <w:sz w:val="20"/>
                <w:szCs w:val="20"/>
                <w:color w:val="auto"/>
              </w:rPr>
            </w:pPr>
            <w:r>
              <w:rPr>
                <w:rFonts w:ascii="Arial" w:cs="Arial" w:eastAsia="Arial" w:hAnsi="Arial"/>
                <w:sz w:val="19"/>
                <w:szCs w:val="19"/>
                <w:color w:val="auto"/>
              </w:rPr>
              <w:t>Probable and reasonably estimable environmental liabilities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287</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195</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194</w:t>
            </w:r>
          </w:p>
        </w:tc>
      </w:tr>
      <w:tr>
        <w:trPr>
          <w:trHeight w:val="250"/>
        </w:trPr>
        <w:tc>
          <w:tcPr>
            <w:tcW w:w="8780" w:type="dxa"/>
            <w:vAlign w:val="bottom"/>
          </w:tcPr>
          <w:p>
            <w:pPr>
              <w:spacing w:after="0"/>
              <w:rPr>
                <w:sz w:val="20"/>
                <w:szCs w:val="20"/>
                <w:color w:val="auto"/>
              </w:rPr>
            </w:pPr>
            <w:r>
              <w:rPr>
                <w:rFonts w:ascii="Arial" w:cs="Arial" w:eastAsia="Arial" w:hAnsi="Arial"/>
                <w:sz w:val="19"/>
                <w:szCs w:val="19"/>
                <w:color w:val="auto"/>
              </w:rPr>
              <w:t>Other</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3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and other charges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695</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$ 546</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distribution of total net repositioning and other charges by classification: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9"/>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784</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$ 522</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$ 483</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Selling, general and administrative expenses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187</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126</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63</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Other (income) expense</w:t>
            </w: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w:t>
            </w:r>
          </w:p>
        </w:tc>
        <w:tc>
          <w:tcPr>
            <w:tcW w:w="32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8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1,021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$ 695</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$ 546</w:t>
            </w: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impact of total net repositioning and other charges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296</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$ 298</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$ 211</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Home and Building Technologies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78</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28</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43</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16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w:t>
            </w:r>
          </w:p>
        </w:tc>
      </w:tr>
      <w:tr>
        <w:trPr>
          <w:trHeight w:val="243"/>
        </w:trPr>
        <w:tc>
          <w:tcPr>
            <w:tcW w:w="8860" w:type="dxa"/>
            <w:vAlign w:val="bottom"/>
          </w:tcPr>
          <w:p>
            <w:pPr>
              <w:spacing w:after="0"/>
              <w:rPr>
                <w:sz w:val="20"/>
                <w:szCs w:val="20"/>
                <w:color w:val="auto"/>
              </w:rPr>
            </w:pPr>
            <w:r>
              <w:rPr>
                <w:rFonts w:ascii="Arial" w:cs="Arial" w:eastAsia="Arial" w:hAnsi="Arial"/>
                <w:sz w:val="19"/>
                <w:szCs w:val="19"/>
                <w:color w:val="auto"/>
              </w:rPr>
              <w:t>Safety and Productivity Solutions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51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34</w:t>
            </w:r>
          </w:p>
        </w:tc>
      </w:tr>
      <w:tr>
        <w:trPr>
          <w:trHeight w:val="243"/>
        </w:trPr>
        <w:tc>
          <w:tcPr>
            <w:tcW w:w="8860" w:type="dxa"/>
            <w:vAlign w:val="bottom"/>
            <w:shd w:val="clear" w:color="auto" w:fill="E5FFFF"/>
          </w:tcPr>
          <w:p>
            <w:pPr>
              <w:spacing w:after="0"/>
              <w:rPr>
                <w:sz w:val="20"/>
                <w:szCs w:val="20"/>
                <w:color w:val="auto"/>
              </w:rPr>
            </w:pPr>
            <w:r>
              <w:rPr>
                <w:rFonts w:ascii="Arial" w:cs="Arial" w:eastAsia="Arial" w:hAnsi="Arial"/>
                <w:sz w:val="19"/>
                <w:szCs w:val="19"/>
                <w:color w:val="auto"/>
              </w:rPr>
              <w:t>Corporate</w:t>
            </w:r>
          </w:p>
        </w:tc>
        <w:tc>
          <w:tcPr>
            <w:tcW w:w="1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494</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267</w:t>
            </w:r>
          </w:p>
        </w:tc>
        <w:tc>
          <w:tcPr>
            <w:tcW w:w="32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218</w:t>
            </w:r>
          </w:p>
        </w:tc>
      </w:tr>
      <w:tr>
        <w:trPr>
          <w:trHeight w:val="250"/>
        </w:trPr>
        <w:tc>
          <w:tcPr>
            <w:tcW w:w="88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1,021</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$ 695</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$ 546</w:t>
            </w: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In 2017, we recognized repositioning charges totaling $507 million including severance costs of $305 million related to workforce reductions of 7,096 manufacturing and administrative positions across our segments. The workforce reductions were primarily related to cost savings actions taken in connection with our productivity and ongoing functional transformation initiatives and with site transitions, in each of our segments, to more cost-effective locations. The repositioning charge included asset impairments of $ 142 million principally in our Corporate segment related to the write-down of legacy properties and certain equipment in connection with their planned disposition and the write-down of a research and development facility in connection with a planned exit from such facility. The repositioning charge included exit costs of $60 million principally for closure obligations associated with site transitions in each of our segments and for lease exit obligations in our Corporate segment.</w:t>
      </w:r>
    </w:p>
    <w:p>
      <w:pPr>
        <w:spacing w:after="0" w:line="96" w:lineRule="exact"/>
        <w:rPr>
          <w:sz w:val="20"/>
          <w:szCs w:val="20"/>
          <w:color w:val="auto"/>
        </w:rPr>
      </w:pPr>
    </w:p>
    <w:p>
      <w:pPr>
        <w:ind w:right="40" w:firstLine="357"/>
        <w:spacing w:after="0" w:line="243" w:lineRule="auto"/>
        <w:rPr>
          <w:sz w:val="20"/>
          <w:szCs w:val="20"/>
          <w:color w:val="auto"/>
        </w:rPr>
      </w:pPr>
      <w:r>
        <w:rPr>
          <w:rFonts w:ascii="Arial" w:cs="Arial" w:eastAsia="Arial" w:hAnsi="Arial"/>
          <w:sz w:val="19"/>
          <w:szCs w:val="19"/>
          <w:color w:val="auto"/>
        </w:rPr>
        <w:t>In 2016, we recognized repositioning charges totaling $369 million including severance costs of $283 million related to workforce reductions of 6,585 manufacturing and administrative positions across our segments. The workforce reductions were primarily related to cost savings actions taken in connection with our productivity and ongoing functional transformation initiatives; the separation of the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00"/>
        <w:spacing w:after="0" w:line="239" w:lineRule="auto"/>
        <w:rPr>
          <w:sz w:val="20"/>
          <w:szCs w:val="20"/>
          <w:color w:val="auto"/>
        </w:rPr>
      </w:pPr>
      <w:r>
        <w:rPr>
          <w:rFonts w:ascii="Arial" w:cs="Arial" w:eastAsia="Arial" w:hAnsi="Arial"/>
          <w:sz w:val="19"/>
          <w:szCs w:val="19"/>
          <w:color w:val="auto"/>
        </w:rPr>
        <w:t>former Automation and Control Solutions reporting segment into two new reporting segments; site transitions in each of our segments to more cost-effective locations; and achieving acquisition-related synergies. The repositioning charge included asset impairments of $43 million principally related to the write-off of certain intangible assets in connection with the sale of a Performance Materials and Technologies business. The repositioning charge included exit costs of $43 million principally for expenses related to the spin-off of our AdvanSix business and closure obligations associated with site transitions. Also, $109 million of previously established accruals, primarily for severance, were returned to income as a result of higher attrition than anticipated in prior severance programs resulting in lower required severance payments, lower than expected severance costs in certain repositioning actions, and changes in scope of previously announced repositioning actions.</w:t>
      </w:r>
    </w:p>
    <w:p>
      <w:pPr>
        <w:spacing w:after="0" w:line="96"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In 2015, we recognized repositioning charges totaling $216 million including severance costs of $197 million related to workforce reductions of 6,405 manufacturing and administrative positions across our segments. The workforce reductions were primarily related to cost savings actions taken in connection with our productivity and ongoing functional transformation initiatives. Also, $53 million of previously established accruals, primarily for severance, were returned to income due principally to higher attrition than anticipated in prior severance programs resulting in lower required severance payments, and changes in scope of previously announced repositioning actions.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status of our total repositioning reserves: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Severance</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264"/>
              <w:spacing w:after="0"/>
              <w:rPr>
                <w:sz w:val="20"/>
                <w:szCs w:val="20"/>
                <w:color w:val="auto"/>
              </w:rPr>
            </w:pPr>
            <w:r>
              <w:rPr>
                <w:rFonts w:ascii="Arial" w:cs="Arial" w:eastAsia="Arial" w:hAnsi="Arial"/>
                <w:sz w:val="16"/>
                <w:szCs w:val="16"/>
                <w:b w:val="1"/>
                <w:bCs w:val="1"/>
                <w:color w:val="auto"/>
              </w:rPr>
              <w:t>Asset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24"/>
              <w:spacing w:after="0"/>
              <w:rPr>
                <w:sz w:val="20"/>
                <w:szCs w:val="20"/>
                <w:color w:val="auto"/>
              </w:rPr>
            </w:pPr>
            <w:r>
              <w:rPr>
                <w:rFonts w:ascii="Arial" w:cs="Arial" w:eastAsia="Arial" w:hAnsi="Arial"/>
                <w:sz w:val="16"/>
                <w:szCs w:val="16"/>
                <w:b w:val="1"/>
                <w:bCs w:val="1"/>
                <w:color w:val="auto"/>
                <w:w w:val="95"/>
              </w:rPr>
              <w:t>Exit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6"/>
                <w:szCs w:val="16"/>
                <w:b w:val="1"/>
                <w:bCs w:val="1"/>
                <w:color w:val="auto"/>
              </w:rPr>
              <w:t>Impairments</w:t>
            </w:r>
          </w:p>
        </w:tc>
        <w:tc>
          <w:tcPr>
            <w:tcW w:w="300" w:type="dxa"/>
            <w:vAlign w:val="bottom"/>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Costs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w w:val="94"/>
              </w:rPr>
              <w:t>Total</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2014</w:t>
            </w:r>
          </w:p>
        </w:tc>
        <w:tc>
          <w:tcPr>
            <w:tcW w:w="2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285</w:t>
            </w:r>
          </w:p>
        </w:tc>
        <w:tc>
          <w:tcPr>
            <w:tcW w:w="5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315</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2015 charges</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197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216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2015 usage—cash</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2015 usage—noncash</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4"/>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Acquisitions</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16</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Adjustments</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(49)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(53)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Foreign currency translation</w:t>
            </w:r>
          </w:p>
        </w:tc>
        <w:tc>
          <w:tcPr>
            <w:tcW w:w="20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Arial" w:cs="Arial" w:eastAsia="Arial" w:hAnsi="Arial"/>
                <w:sz w:val="19"/>
                <w:szCs w:val="19"/>
                <w:color w:val="auto"/>
              </w:rPr>
              <w:t>Balance at December 31, 2015</w:t>
            </w:r>
          </w:p>
        </w:tc>
        <w:tc>
          <w:tcPr>
            <w:tcW w:w="2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329</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350</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2016 charges</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283</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43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369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2016 usage—cash</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(203)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(228)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2016 usage—noncash</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Adjustments</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(109)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Foreign currency translation</w:t>
            </w:r>
          </w:p>
        </w:tc>
        <w:tc>
          <w:tcPr>
            <w:tcW w:w="20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Arial" w:cs="Arial" w:eastAsia="Arial" w:hAnsi="Arial"/>
                <w:sz w:val="19"/>
                <w:szCs w:val="19"/>
                <w:color w:val="auto"/>
              </w:rPr>
              <w:t>Balance at December 31, 2016</w:t>
            </w:r>
          </w:p>
        </w:tc>
        <w:tc>
          <w:tcPr>
            <w:tcW w:w="2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298</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331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2017 charges</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305</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142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507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2017 usage—cash</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(163)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(177)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2017 usage—noncash</w:t>
            </w:r>
          </w:p>
        </w:tc>
        <w:tc>
          <w:tcPr>
            <w:tcW w:w="20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(142)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ind w:left="180"/>
              <w:spacing w:after="0"/>
              <w:rPr>
                <w:sz w:val="20"/>
                <w:szCs w:val="20"/>
                <w:color w:val="auto"/>
              </w:rPr>
            </w:pPr>
            <w:r>
              <w:rPr>
                <w:rFonts w:ascii="Arial" w:cs="Arial" w:eastAsia="Arial" w:hAnsi="Arial"/>
                <w:sz w:val="19"/>
                <w:szCs w:val="19"/>
                <w:color w:val="auto"/>
              </w:rPr>
              <w:t>Adjustments and reclassifications</w:t>
            </w:r>
          </w:p>
        </w:tc>
        <w:tc>
          <w:tcPr>
            <w:tcW w:w="2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Foreign currency translation</w:t>
            </w:r>
          </w:p>
        </w:tc>
        <w:tc>
          <w:tcPr>
            <w:tcW w:w="20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15</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9"/>
                <w:szCs w:val="19"/>
                <w:color w:val="auto"/>
              </w:rPr>
              <w:t>Balance at December 31, 2017</w:t>
            </w:r>
          </w:p>
        </w:tc>
        <w:tc>
          <w:tcPr>
            <w:tcW w:w="2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ind w:right="24"/>
              <w:spacing w:after="0"/>
              <w:rPr>
                <w:sz w:val="20"/>
                <w:szCs w:val="20"/>
                <w:color w:val="auto"/>
              </w:rPr>
            </w:pPr>
            <w:r>
              <w:rPr>
                <w:rFonts w:ascii="Arial" w:cs="Arial" w:eastAsia="Arial" w:hAnsi="Arial"/>
                <w:sz w:val="19"/>
                <w:szCs w:val="19"/>
                <w:color w:val="auto"/>
              </w:rPr>
              <w:t>442</w:t>
            </w:r>
          </w:p>
        </w:tc>
        <w:tc>
          <w:tcPr>
            <w:tcW w:w="54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920" w:type="dxa"/>
            <w:vAlign w:val="bottom"/>
          </w:tcPr>
          <w:p>
            <w:pPr>
              <w:jc w:val="right"/>
              <w:ind w:right="64"/>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71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4"/>
              <w:spacing w:after="0"/>
              <w:rPr>
                <w:sz w:val="20"/>
                <w:szCs w:val="20"/>
                <w:color w:val="auto"/>
              </w:rPr>
            </w:pPr>
            <w:r>
              <w:rPr>
                <w:rFonts w:ascii="Arial" w:cs="Arial" w:eastAsia="Arial" w:hAnsi="Arial"/>
                <w:sz w:val="19"/>
                <w:szCs w:val="19"/>
                <w:color w:val="auto"/>
              </w:rPr>
              <w:t>513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80" w:type="dxa"/>
            <w:vAlign w:val="bottom"/>
            <w:vMerge w:val="restart"/>
          </w:tcPr>
          <w:p>
            <w:pPr>
              <w:jc w:val="right"/>
              <w:ind w:right="743"/>
              <w:spacing w:after="0"/>
              <w:rPr>
                <w:sz w:val="20"/>
                <w:szCs w:val="20"/>
                <w:color w:val="auto"/>
              </w:rPr>
            </w:pPr>
            <w:r>
              <w:rPr>
                <w:rFonts w:ascii="Arial" w:cs="Arial" w:eastAsia="Arial" w:hAnsi="Arial"/>
                <w:sz w:val="19"/>
                <w:szCs w:val="19"/>
                <w:color w:val="auto"/>
              </w:rPr>
              <w:t>48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Certain repositioning projects in each of our reportable operating segments in 2017, 2016 and 2015 included exit or disposal activities, the costs related to which will be recognized in future periods when the actual liability is incurred. Such exit and disposal costs were not significant.</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Other (Income)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2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w w:val="95"/>
              </w:rPr>
              <w:t>2016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2015</w:t>
            </w:r>
          </w:p>
        </w:tc>
      </w:tr>
      <w:tr>
        <w:trPr>
          <w:trHeight w:val="210"/>
        </w:trPr>
        <w:tc>
          <w:tcPr>
            <w:tcW w:w="76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Equity (income) loss of affiliated companies</w:t>
            </w:r>
          </w:p>
        </w:tc>
        <w:tc>
          <w:tcPr>
            <w:tcW w:w="1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(39)</w:t>
            </w:r>
          </w:p>
        </w:tc>
        <w:tc>
          <w:tcPr>
            <w:tcW w:w="460" w:type="dxa"/>
            <w:vAlign w:val="bottom"/>
            <w:gridSpan w:val="2"/>
            <w:shd w:val="clear" w:color="auto" w:fill="E5FFFF"/>
          </w:tcPr>
          <w:p>
            <w:pPr>
              <w:jc w:val="right"/>
              <w:ind w:right="40"/>
              <w:spacing w:after="0" w:line="210" w:lineRule="exact"/>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(31)</w:t>
            </w:r>
          </w:p>
        </w:tc>
        <w:tc>
          <w:tcPr>
            <w:tcW w:w="480" w:type="dxa"/>
            <w:vAlign w:val="bottom"/>
            <w:gridSpan w:val="2"/>
            <w:shd w:val="clear" w:color="auto" w:fill="E5FFFF"/>
          </w:tcPr>
          <w:p>
            <w:pPr>
              <w:jc w:val="right"/>
              <w:ind w:right="40"/>
              <w:spacing w:after="0" w:line="210" w:lineRule="exact"/>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(30)</w:t>
            </w:r>
          </w:p>
        </w:tc>
      </w:tr>
      <w:tr>
        <w:trPr>
          <w:trHeight w:val="243"/>
        </w:trPr>
        <w:tc>
          <w:tcPr>
            <w:tcW w:w="7680" w:type="dxa"/>
            <w:vAlign w:val="bottom"/>
          </w:tcPr>
          <w:p>
            <w:pPr>
              <w:spacing w:after="0"/>
              <w:rPr>
                <w:sz w:val="20"/>
                <w:szCs w:val="20"/>
                <w:color w:val="auto"/>
              </w:rPr>
            </w:pPr>
            <w:r>
              <w:rPr>
                <w:rFonts w:ascii="Arial" w:cs="Arial" w:eastAsia="Arial" w:hAnsi="Arial"/>
                <w:sz w:val="19"/>
                <w:szCs w:val="19"/>
                <w:color w:val="auto"/>
              </w:rPr>
              <w:t>(Gain) loss on sale of non-strategic businesses and assets</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(178)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1</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Interest income</w:t>
            </w: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w:t>
            </w:r>
          </w:p>
        </w:tc>
      </w:tr>
      <w:tr>
        <w:trPr>
          <w:trHeight w:val="243"/>
        </w:trPr>
        <w:tc>
          <w:tcPr>
            <w:tcW w:w="7680" w:type="dxa"/>
            <w:vAlign w:val="bottom"/>
          </w:tcPr>
          <w:p>
            <w:pPr>
              <w:spacing w:after="0"/>
              <w:rPr>
                <w:sz w:val="20"/>
                <w:szCs w:val="20"/>
                <w:color w:val="auto"/>
              </w:rPr>
            </w:pPr>
            <w:r>
              <w:rPr>
                <w:rFonts w:ascii="Arial" w:cs="Arial" w:eastAsia="Arial" w:hAnsi="Arial"/>
                <w:sz w:val="19"/>
                <w:szCs w:val="19"/>
                <w:color w:val="auto"/>
              </w:rPr>
              <w:t>Foreign exchange</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43</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Other, net</w:t>
            </w: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98</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201</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22</w:t>
            </w:r>
          </w:p>
        </w:tc>
      </w:tr>
      <w:tr>
        <w:trPr>
          <w:trHeight w:val="223"/>
        </w:trPr>
        <w:tc>
          <w:tcPr>
            <w:tcW w:w="76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(67)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(102)</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920" w:firstLine="357"/>
        <w:spacing w:after="0" w:line="253" w:lineRule="auto"/>
        <w:rPr>
          <w:sz w:val="20"/>
          <w:szCs w:val="20"/>
          <w:color w:val="auto"/>
        </w:rPr>
      </w:pPr>
      <w:r>
        <w:rPr>
          <w:rFonts w:ascii="Arial" w:cs="Arial" w:eastAsia="Arial" w:hAnsi="Arial"/>
          <w:sz w:val="19"/>
          <w:szCs w:val="19"/>
          <w:color w:val="auto"/>
        </w:rPr>
        <w:t>Refer to Note 2 Acquisitions and Divestitures and Note 12 Long-term Debt and Credit Agreements for further details of transactions recognized in 2016 within Other (income) expense.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before taxes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3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960" w:type="dxa"/>
            <w:vAlign w:val="bottom"/>
            <w:shd w:val="clear" w:color="auto" w:fill="E5FFFF"/>
          </w:tcPr>
          <w:p>
            <w:pPr>
              <w:spacing w:after="0"/>
              <w:rPr>
                <w:sz w:val="20"/>
                <w:szCs w:val="20"/>
                <w:color w:val="auto"/>
              </w:rPr>
            </w:pPr>
            <w:r>
              <w:rPr>
                <w:rFonts w:ascii="Arial" w:cs="Arial" w:eastAsia="Arial" w:hAnsi="Arial"/>
                <w:sz w:val="19"/>
                <w:szCs w:val="19"/>
                <w:color w:val="auto"/>
              </w:rPr>
              <w:t>U.S.</w:t>
            </w: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2,825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2,976</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3,361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4,077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3,471</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3,225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6,902</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6,447</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6,586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Tax expense (benefit)</w:t>
            </w:r>
          </w:p>
        </w:tc>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46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7"/>
            <w:vMerge w:val="restart"/>
          </w:tcPr>
          <w:p>
            <w:pPr>
              <w:jc w:val="right"/>
              <w:ind w:right="3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Tax expense (benefit) consists of</w:t>
            </w:r>
          </w:p>
        </w:tc>
        <w:tc>
          <w:tcPr>
            <w:tcW w:w="35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ind w:left="180"/>
              <w:spacing w:after="0" w:line="216" w:lineRule="exact"/>
              <w:rPr>
                <w:sz w:val="20"/>
                <w:szCs w:val="20"/>
                <w:color w:val="auto"/>
              </w:rPr>
            </w:pPr>
            <w:r>
              <w:rPr>
                <w:rFonts w:ascii="Arial" w:cs="Arial" w:eastAsia="Arial" w:hAnsi="Arial"/>
                <w:sz w:val="19"/>
                <w:szCs w:val="19"/>
                <w:color w:val="auto"/>
              </w:rPr>
              <w:t>Current:</w:t>
            </w: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Federal</w:t>
            </w:r>
          </w:p>
        </w:tc>
        <w:tc>
          <w:tcPr>
            <w:tcW w:w="3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2,061</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869</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U.S. State</w:t>
            </w:r>
          </w:p>
        </w:tc>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w:t>
            </w:r>
          </w:p>
        </w:tc>
        <w:tc>
          <w:tcPr>
            <w:tcW w:w="35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787</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559</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2,910</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1,525</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1,424</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Deferred:</w:t>
            </w:r>
          </w:p>
        </w:tc>
        <w:tc>
          <w:tcPr>
            <w:tcW w:w="350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U.S. Federal</w:t>
            </w: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39</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38</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196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State</w:t>
            </w:r>
          </w:p>
        </w:tc>
        <w:tc>
          <w:tcPr>
            <w:tcW w:w="35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ind w:left="360"/>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2,123</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35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2,294</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6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5,204</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1,601</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1,739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00" w:type="dxa"/>
            <w:vAlign w:val="bottom"/>
            <w:vMerge w:val="restart"/>
          </w:tcPr>
          <w:p>
            <w:pPr>
              <w:jc w:val="right"/>
              <w:ind w:right="2043"/>
              <w:spacing w:after="0"/>
              <w:rPr>
                <w:sz w:val="20"/>
                <w:szCs w:val="20"/>
                <w:color w:val="auto"/>
              </w:rPr>
            </w:pPr>
            <w:r>
              <w:rPr>
                <w:rFonts w:ascii="Arial" w:cs="Arial" w:eastAsia="Arial" w:hAnsi="Arial"/>
                <w:sz w:val="19"/>
                <w:szCs w:val="19"/>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620" w:type="dxa"/>
            <w:vAlign w:val="bottom"/>
          </w:tcPr>
          <w:p>
            <w:pPr>
              <w:spacing w:after="0"/>
              <w:rPr>
                <w:sz w:val="14"/>
                <w:szCs w:val="14"/>
                <w:color w:val="auto"/>
              </w:rPr>
            </w:pPr>
          </w:p>
        </w:tc>
        <w:tc>
          <w:tcPr>
            <w:tcW w:w="740" w:type="dxa"/>
            <w:vAlign w:val="bottom"/>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c>
          <w:tcPr>
            <w:tcW w:w="1000" w:type="dxa"/>
            <w:vAlign w:val="bottom"/>
            <w:gridSpan w:val="2"/>
          </w:tcPr>
          <w:p>
            <w:pPr>
              <w:jc w:val="right"/>
              <w:ind w:right="63"/>
              <w:spacing w:after="0" w:line="169" w:lineRule="exact"/>
              <w:rPr>
                <w:sz w:val="20"/>
                <w:szCs w:val="20"/>
                <w:color w:val="auto"/>
              </w:rPr>
            </w:pPr>
            <w:r>
              <w:rPr>
                <w:rFonts w:ascii="Arial" w:cs="Arial" w:eastAsia="Arial" w:hAnsi="Arial"/>
                <w:sz w:val="16"/>
                <w:szCs w:val="16"/>
                <w:b w:val="1"/>
                <w:bCs w:val="1"/>
                <w:color w:val="auto"/>
              </w:rPr>
              <w:t>2016</w:t>
            </w:r>
          </w:p>
        </w:tc>
        <w:tc>
          <w:tcPr>
            <w:tcW w:w="1040" w:type="dxa"/>
            <w:vAlign w:val="bottom"/>
            <w:gridSpan w:val="2"/>
          </w:tcPr>
          <w:p>
            <w:pPr>
              <w:jc w:val="right"/>
              <w:ind w:right="83"/>
              <w:spacing w:after="0" w:line="169" w:lineRule="exact"/>
              <w:rPr>
                <w:sz w:val="20"/>
                <w:szCs w:val="20"/>
                <w:color w:val="auto"/>
              </w:rPr>
            </w:pPr>
            <w:r>
              <w:rPr>
                <w:rFonts w:ascii="Arial" w:cs="Arial" w:eastAsia="Arial" w:hAnsi="Arial"/>
                <w:sz w:val="16"/>
                <w:szCs w:val="16"/>
                <w:b w:val="1"/>
                <w:bCs w:val="1"/>
                <w:color w:val="auto"/>
              </w:rPr>
              <w:t>2015</w:t>
            </w:r>
          </w:p>
        </w:tc>
      </w:tr>
      <w:tr>
        <w:trPr>
          <w:trHeight w:val="210"/>
        </w:trPr>
        <w:tc>
          <w:tcPr>
            <w:tcW w:w="76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The U.S. federal statutory income tax rate is reconciled to our effective income tax</w:t>
            </w:r>
          </w:p>
        </w:tc>
        <w:tc>
          <w:tcPr>
            <w:tcW w:w="7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r>
      <w:tr>
        <w:trPr>
          <w:trHeight w:val="216"/>
        </w:trPr>
        <w:tc>
          <w:tcPr>
            <w:tcW w:w="76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rate as follows:</w:t>
            </w:r>
          </w:p>
        </w:tc>
        <w:tc>
          <w:tcPr>
            <w:tcW w:w="7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43"/>
        </w:trPr>
        <w:tc>
          <w:tcPr>
            <w:tcW w:w="7620" w:type="dxa"/>
            <w:vAlign w:val="bottom"/>
          </w:tcPr>
          <w:p>
            <w:pPr>
              <w:ind w:left="360"/>
              <w:spacing w:after="0"/>
              <w:rPr>
                <w:sz w:val="20"/>
                <w:szCs w:val="20"/>
                <w:color w:val="auto"/>
              </w:rPr>
            </w:pPr>
            <w:r>
              <w:rPr>
                <w:rFonts w:ascii="Arial" w:cs="Arial" w:eastAsia="Arial" w:hAnsi="Arial"/>
                <w:sz w:val="19"/>
                <w:szCs w:val="19"/>
                <w:color w:val="auto"/>
              </w:rPr>
              <w:t>U.S. federal statutory income tax rate</w:t>
            </w:r>
          </w:p>
        </w:tc>
        <w:tc>
          <w:tcPr>
            <w:tcW w:w="740" w:type="dxa"/>
            <w:vAlign w:val="bottom"/>
          </w:tcPr>
          <w:p>
            <w:pPr>
              <w:jc w:val="right"/>
              <w:spacing w:after="0"/>
              <w:rPr>
                <w:sz w:val="20"/>
                <w:szCs w:val="20"/>
                <w:color w:val="auto"/>
              </w:rPr>
            </w:pPr>
            <w:r>
              <w:rPr>
                <w:rFonts w:ascii="Arial" w:cs="Arial" w:eastAsia="Arial" w:hAnsi="Arial"/>
                <w:sz w:val="19"/>
                <w:szCs w:val="19"/>
                <w:color w:val="auto"/>
              </w:rPr>
              <w:t>35.0%</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35.0%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35.0%</w:t>
            </w:r>
          </w:p>
        </w:tc>
      </w:tr>
      <w:tr>
        <w:trPr>
          <w:trHeight w:val="243"/>
        </w:trPr>
        <w:tc>
          <w:tcPr>
            <w:tcW w:w="76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Taxes on non-U.S. earnings below U.S. tax rate(1)</w:t>
            </w: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(12.9)</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(8.0)</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(8.0)</w:t>
            </w:r>
          </w:p>
        </w:tc>
      </w:tr>
      <w:tr>
        <w:trPr>
          <w:trHeight w:val="243"/>
        </w:trPr>
        <w:tc>
          <w:tcPr>
            <w:tcW w:w="7620" w:type="dxa"/>
            <w:vAlign w:val="bottom"/>
          </w:tcPr>
          <w:p>
            <w:pPr>
              <w:ind w:left="360"/>
              <w:spacing w:after="0"/>
              <w:rPr>
                <w:sz w:val="20"/>
                <w:szCs w:val="20"/>
                <w:color w:val="auto"/>
              </w:rPr>
            </w:pPr>
            <w:r>
              <w:rPr>
                <w:rFonts w:ascii="Arial" w:cs="Arial" w:eastAsia="Arial" w:hAnsi="Arial"/>
                <w:sz w:val="19"/>
                <w:szCs w:val="19"/>
                <w:color w:val="auto"/>
              </w:rPr>
              <w:t>U.S. state income taxes(1)</w:t>
            </w:r>
          </w:p>
        </w:tc>
        <w:tc>
          <w:tcPr>
            <w:tcW w:w="740" w:type="dxa"/>
            <w:vAlign w:val="bottom"/>
          </w:tcPr>
          <w:p>
            <w:pPr>
              <w:jc w:val="right"/>
              <w:ind w:right="106"/>
              <w:spacing w:after="0"/>
              <w:rPr>
                <w:sz w:val="20"/>
                <w:szCs w:val="20"/>
                <w:color w:val="auto"/>
              </w:rPr>
            </w:pPr>
            <w:r>
              <w:rPr>
                <w:rFonts w:ascii="Arial" w:cs="Arial" w:eastAsia="Arial" w:hAnsi="Arial"/>
                <w:sz w:val="19"/>
                <w:szCs w:val="19"/>
                <w:color w:val="auto"/>
              </w:rPr>
              <w:t>1.4</w:t>
            </w:r>
          </w:p>
        </w:tc>
        <w:tc>
          <w:tcPr>
            <w:tcW w:w="1000" w:type="dxa"/>
            <w:vAlign w:val="bottom"/>
            <w:gridSpan w:val="2"/>
          </w:tcPr>
          <w:p>
            <w:pPr>
              <w:jc w:val="right"/>
              <w:ind w:right="103"/>
              <w:spacing w:after="0"/>
              <w:rPr>
                <w:sz w:val="20"/>
                <w:szCs w:val="20"/>
                <w:color w:val="auto"/>
              </w:rPr>
            </w:pPr>
            <w:r>
              <w:rPr>
                <w:rFonts w:ascii="Arial" w:cs="Arial" w:eastAsia="Arial" w:hAnsi="Arial"/>
                <w:sz w:val="19"/>
                <w:szCs w:val="19"/>
                <w:color w:val="auto"/>
              </w:rPr>
              <w:t>1.1</w:t>
            </w:r>
          </w:p>
        </w:tc>
        <w:tc>
          <w:tcPr>
            <w:tcW w:w="1040" w:type="dxa"/>
            <w:vAlign w:val="bottom"/>
            <w:gridSpan w:val="2"/>
          </w:tcPr>
          <w:p>
            <w:pPr>
              <w:jc w:val="right"/>
              <w:ind w:right="123"/>
              <w:spacing w:after="0"/>
              <w:rPr>
                <w:sz w:val="20"/>
                <w:szCs w:val="20"/>
                <w:color w:val="auto"/>
              </w:rPr>
            </w:pPr>
            <w:r>
              <w:rPr>
                <w:rFonts w:ascii="Arial" w:cs="Arial" w:eastAsia="Arial" w:hAnsi="Arial"/>
                <w:sz w:val="19"/>
                <w:szCs w:val="19"/>
                <w:color w:val="auto"/>
              </w:rPr>
              <w:t>1.2</w:t>
            </w:r>
          </w:p>
        </w:tc>
      </w:tr>
      <w:tr>
        <w:trPr>
          <w:trHeight w:val="243"/>
        </w:trPr>
        <w:tc>
          <w:tcPr>
            <w:tcW w:w="76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Manufacturing incentives</w:t>
            </w: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(0.7)</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(0.7)</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(1.5)</w:t>
            </w:r>
          </w:p>
        </w:tc>
      </w:tr>
      <w:tr>
        <w:trPr>
          <w:trHeight w:val="243"/>
        </w:trPr>
        <w:tc>
          <w:tcPr>
            <w:tcW w:w="7620" w:type="dxa"/>
            <w:vAlign w:val="bottom"/>
          </w:tcPr>
          <w:p>
            <w:pPr>
              <w:ind w:left="360"/>
              <w:spacing w:after="0"/>
              <w:rPr>
                <w:sz w:val="20"/>
                <w:szCs w:val="20"/>
                <w:color w:val="auto"/>
              </w:rPr>
            </w:pPr>
            <w:r>
              <w:rPr>
                <w:rFonts w:ascii="Arial" w:cs="Arial" w:eastAsia="Arial" w:hAnsi="Arial"/>
                <w:sz w:val="19"/>
                <w:szCs w:val="19"/>
                <w:color w:val="auto"/>
              </w:rPr>
              <w:t>Employee stock ownership plan dividend tax benefit</w:t>
            </w:r>
          </w:p>
        </w:tc>
        <w:tc>
          <w:tcPr>
            <w:tcW w:w="740" w:type="dxa"/>
            <w:vAlign w:val="bottom"/>
          </w:tcPr>
          <w:p>
            <w:pPr>
              <w:jc w:val="right"/>
              <w:ind w:right="26"/>
              <w:spacing w:after="0"/>
              <w:rPr>
                <w:sz w:val="20"/>
                <w:szCs w:val="20"/>
                <w:color w:val="auto"/>
              </w:rPr>
            </w:pPr>
            <w:r>
              <w:rPr>
                <w:rFonts w:ascii="Arial" w:cs="Arial" w:eastAsia="Arial" w:hAnsi="Arial"/>
                <w:sz w:val="19"/>
                <w:szCs w:val="19"/>
                <w:color w:val="auto"/>
              </w:rPr>
              <w:t>(0.4)</w:t>
            </w:r>
          </w:p>
        </w:tc>
        <w:tc>
          <w:tcPr>
            <w:tcW w:w="1000" w:type="dxa"/>
            <w:vAlign w:val="bottom"/>
            <w:gridSpan w:val="2"/>
          </w:tcPr>
          <w:p>
            <w:pPr>
              <w:jc w:val="right"/>
              <w:ind w:right="23"/>
              <w:spacing w:after="0"/>
              <w:rPr>
                <w:sz w:val="20"/>
                <w:szCs w:val="20"/>
                <w:color w:val="auto"/>
              </w:rPr>
            </w:pPr>
            <w:r>
              <w:rPr>
                <w:rFonts w:ascii="Arial" w:cs="Arial" w:eastAsia="Arial" w:hAnsi="Arial"/>
                <w:sz w:val="19"/>
                <w:szCs w:val="19"/>
                <w:color w:val="auto"/>
              </w:rPr>
              <w:t>(0.5)</w:t>
            </w:r>
          </w:p>
        </w:tc>
        <w:tc>
          <w:tcPr>
            <w:tcW w:w="1040" w:type="dxa"/>
            <w:vAlign w:val="bottom"/>
            <w:gridSpan w:val="2"/>
          </w:tcPr>
          <w:p>
            <w:pPr>
              <w:jc w:val="right"/>
              <w:ind w:right="63"/>
              <w:spacing w:after="0"/>
              <w:rPr>
                <w:sz w:val="20"/>
                <w:szCs w:val="20"/>
                <w:color w:val="auto"/>
              </w:rPr>
            </w:pPr>
            <w:r>
              <w:rPr>
                <w:rFonts w:ascii="Arial" w:cs="Arial" w:eastAsia="Arial" w:hAnsi="Arial"/>
                <w:sz w:val="19"/>
                <w:szCs w:val="19"/>
                <w:color w:val="auto"/>
              </w:rPr>
              <w:t>(0.4)</w:t>
            </w:r>
          </w:p>
        </w:tc>
      </w:tr>
      <w:tr>
        <w:trPr>
          <w:trHeight w:val="243"/>
        </w:trPr>
        <w:tc>
          <w:tcPr>
            <w:tcW w:w="76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Tax credits</w:t>
            </w: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(0.9)</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(0.7)</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(1.0)</w:t>
            </w:r>
          </w:p>
        </w:tc>
      </w:tr>
      <w:tr>
        <w:trPr>
          <w:trHeight w:val="243"/>
        </w:trPr>
        <w:tc>
          <w:tcPr>
            <w:tcW w:w="7620" w:type="dxa"/>
            <w:vAlign w:val="bottom"/>
          </w:tcPr>
          <w:p>
            <w:pPr>
              <w:ind w:left="360"/>
              <w:spacing w:after="0"/>
              <w:rPr>
                <w:sz w:val="20"/>
                <w:szCs w:val="20"/>
                <w:color w:val="auto"/>
              </w:rPr>
            </w:pPr>
            <w:r>
              <w:rPr>
                <w:rFonts w:ascii="Arial" w:cs="Arial" w:eastAsia="Arial" w:hAnsi="Arial"/>
                <w:sz w:val="19"/>
                <w:szCs w:val="19"/>
                <w:color w:val="auto"/>
              </w:rPr>
              <w:t>Reserves for tax contingencies</w:t>
            </w:r>
          </w:p>
        </w:tc>
        <w:tc>
          <w:tcPr>
            <w:tcW w:w="740" w:type="dxa"/>
            <w:vAlign w:val="bottom"/>
          </w:tcPr>
          <w:p>
            <w:pPr>
              <w:jc w:val="right"/>
              <w:ind w:right="106"/>
              <w:spacing w:after="0"/>
              <w:rPr>
                <w:sz w:val="20"/>
                <w:szCs w:val="20"/>
                <w:color w:val="auto"/>
              </w:rPr>
            </w:pPr>
            <w:r>
              <w:rPr>
                <w:rFonts w:ascii="Arial" w:cs="Arial" w:eastAsia="Arial" w:hAnsi="Arial"/>
                <w:sz w:val="19"/>
                <w:szCs w:val="19"/>
                <w:color w:val="auto"/>
              </w:rPr>
              <w:t>1.6</w:t>
            </w:r>
          </w:p>
        </w:tc>
        <w:tc>
          <w:tcPr>
            <w:tcW w:w="1000" w:type="dxa"/>
            <w:vAlign w:val="bottom"/>
            <w:gridSpan w:val="2"/>
          </w:tcPr>
          <w:p>
            <w:pPr>
              <w:jc w:val="right"/>
              <w:ind w:right="103"/>
              <w:spacing w:after="0"/>
              <w:rPr>
                <w:sz w:val="20"/>
                <w:szCs w:val="20"/>
                <w:color w:val="auto"/>
              </w:rPr>
            </w:pPr>
            <w:r>
              <w:rPr>
                <w:rFonts w:ascii="Arial" w:cs="Arial" w:eastAsia="Arial" w:hAnsi="Arial"/>
                <w:sz w:val="19"/>
                <w:szCs w:val="19"/>
                <w:color w:val="auto"/>
              </w:rPr>
              <w:t>1.2</w:t>
            </w:r>
          </w:p>
        </w:tc>
        <w:tc>
          <w:tcPr>
            <w:tcW w:w="1040" w:type="dxa"/>
            <w:vAlign w:val="bottom"/>
            <w:gridSpan w:val="2"/>
          </w:tcPr>
          <w:p>
            <w:pPr>
              <w:jc w:val="right"/>
              <w:ind w:right="123"/>
              <w:spacing w:after="0"/>
              <w:rPr>
                <w:sz w:val="20"/>
                <w:szCs w:val="20"/>
                <w:color w:val="auto"/>
              </w:rPr>
            </w:pPr>
            <w:r>
              <w:rPr>
                <w:rFonts w:ascii="Arial" w:cs="Arial" w:eastAsia="Arial" w:hAnsi="Arial"/>
                <w:sz w:val="19"/>
                <w:szCs w:val="19"/>
                <w:color w:val="auto"/>
              </w:rPr>
              <w:t>0.7</w:t>
            </w:r>
          </w:p>
        </w:tc>
      </w:tr>
      <w:tr>
        <w:trPr>
          <w:trHeight w:val="243"/>
        </w:trPr>
        <w:tc>
          <w:tcPr>
            <w:tcW w:w="76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Employee share-based payments</w:t>
            </w:r>
          </w:p>
        </w:tc>
        <w:tc>
          <w:tcPr>
            <w:tcW w:w="74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(2.9)</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(2.0)</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123"/>
              <w:spacing w:after="0"/>
              <w:rPr>
                <w:sz w:val="20"/>
                <w:szCs w:val="20"/>
                <w:color w:val="auto"/>
              </w:rPr>
            </w:pPr>
            <w:r>
              <w:rPr>
                <w:rFonts w:ascii="Arial" w:cs="Arial" w:eastAsia="Arial" w:hAnsi="Arial"/>
                <w:sz w:val="19"/>
                <w:szCs w:val="19"/>
                <w:color w:val="auto"/>
              </w:rPr>
              <w:t>—</w:t>
            </w:r>
          </w:p>
        </w:tc>
      </w:tr>
      <w:tr>
        <w:trPr>
          <w:trHeight w:val="243"/>
        </w:trPr>
        <w:tc>
          <w:tcPr>
            <w:tcW w:w="7620" w:type="dxa"/>
            <w:vAlign w:val="bottom"/>
          </w:tcPr>
          <w:p>
            <w:pPr>
              <w:ind w:left="360"/>
              <w:spacing w:after="0"/>
              <w:rPr>
                <w:sz w:val="20"/>
                <w:szCs w:val="20"/>
                <w:color w:val="auto"/>
              </w:rPr>
            </w:pPr>
            <w:r>
              <w:rPr>
                <w:rFonts w:ascii="Arial" w:cs="Arial" w:eastAsia="Arial" w:hAnsi="Arial"/>
                <w:sz w:val="19"/>
                <w:szCs w:val="19"/>
                <w:color w:val="auto"/>
              </w:rPr>
              <w:t>U.S. Tax Cuts and Jobs Act enactment</w:t>
            </w:r>
          </w:p>
        </w:tc>
        <w:tc>
          <w:tcPr>
            <w:tcW w:w="740" w:type="dxa"/>
            <w:vAlign w:val="bottom"/>
          </w:tcPr>
          <w:p>
            <w:pPr>
              <w:jc w:val="right"/>
              <w:ind w:right="106"/>
              <w:spacing w:after="0"/>
              <w:rPr>
                <w:sz w:val="20"/>
                <w:szCs w:val="20"/>
                <w:color w:val="auto"/>
              </w:rPr>
            </w:pPr>
            <w:r>
              <w:rPr>
                <w:rFonts w:ascii="Arial" w:cs="Arial" w:eastAsia="Arial" w:hAnsi="Arial"/>
                <w:sz w:val="19"/>
                <w:szCs w:val="19"/>
                <w:color w:val="auto"/>
              </w:rPr>
              <w:t>54.4</w:t>
            </w:r>
          </w:p>
        </w:tc>
        <w:tc>
          <w:tcPr>
            <w:tcW w:w="320" w:type="dxa"/>
            <w:vAlign w:val="bottom"/>
          </w:tcPr>
          <w:p>
            <w:pPr>
              <w:spacing w:after="0"/>
              <w:rPr>
                <w:sz w:val="21"/>
                <w:szCs w:val="21"/>
                <w:color w:val="auto"/>
              </w:rPr>
            </w:pPr>
          </w:p>
        </w:tc>
        <w:tc>
          <w:tcPr>
            <w:tcW w:w="68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720" w:type="dxa"/>
            <w:vAlign w:val="bottom"/>
          </w:tcPr>
          <w:p>
            <w:pPr>
              <w:jc w:val="right"/>
              <w:ind w:right="123"/>
              <w:spacing w:after="0"/>
              <w:rPr>
                <w:sz w:val="20"/>
                <w:szCs w:val="20"/>
                <w:color w:val="auto"/>
              </w:rPr>
            </w:pPr>
            <w:r>
              <w:rPr>
                <w:rFonts w:ascii="Arial" w:cs="Arial" w:eastAsia="Arial" w:hAnsi="Arial"/>
                <w:sz w:val="19"/>
                <w:szCs w:val="19"/>
                <w:color w:val="auto"/>
              </w:rPr>
              <w:t>—</w:t>
            </w:r>
          </w:p>
        </w:tc>
      </w:tr>
      <w:tr>
        <w:trPr>
          <w:trHeight w:val="243"/>
        </w:trPr>
        <w:tc>
          <w:tcPr>
            <w:tcW w:w="76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All other items—net</w:t>
            </w:r>
          </w:p>
        </w:tc>
        <w:tc>
          <w:tcPr>
            <w:tcW w:w="740" w:type="dxa"/>
            <w:vAlign w:val="bottom"/>
            <w:tcBorders>
              <w:bottom w:val="single" w:sz="8" w:color="auto"/>
            </w:tcBorders>
            <w:shd w:val="clear" w:color="auto" w:fill="E5FFFF"/>
          </w:tcPr>
          <w:p>
            <w:pPr>
              <w:jc w:val="right"/>
              <w:ind w:right="106"/>
              <w:spacing w:after="0"/>
              <w:rPr>
                <w:sz w:val="20"/>
                <w:szCs w:val="20"/>
                <w:color w:val="auto"/>
              </w:rPr>
            </w:pPr>
            <w:r>
              <w:rPr>
                <w:rFonts w:ascii="Arial" w:cs="Arial" w:eastAsia="Arial" w:hAnsi="Arial"/>
                <w:sz w:val="19"/>
                <w:szCs w:val="19"/>
                <w:color w:val="auto"/>
              </w:rPr>
              <w:t>0.8</w:t>
            </w:r>
          </w:p>
        </w:tc>
        <w:tc>
          <w:tcPr>
            <w:tcW w:w="32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(0.6)</w:t>
            </w:r>
          </w:p>
        </w:tc>
        <w:tc>
          <w:tcPr>
            <w:tcW w:w="32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123"/>
              <w:spacing w:after="0"/>
              <w:rPr>
                <w:sz w:val="20"/>
                <w:szCs w:val="20"/>
                <w:color w:val="auto"/>
              </w:rPr>
            </w:pPr>
            <w:r>
              <w:rPr>
                <w:rFonts w:ascii="Arial" w:cs="Arial" w:eastAsia="Arial" w:hAnsi="Arial"/>
                <w:sz w:val="19"/>
                <w:szCs w:val="19"/>
                <w:color w:val="auto"/>
              </w:rPr>
              <w:t>0.4</w:t>
            </w:r>
          </w:p>
        </w:tc>
      </w:tr>
      <w:tr>
        <w:trPr>
          <w:trHeight w:val="250"/>
        </w:trPr>
        <w:tc>
          <w:tcPr>
            <w:tcW w:w="7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75.4%</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24.8%</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26.4%</w:t>
            </w:r>
          </w:p>
        </w:tc>
      </w:tr>
      <w:tr>
        <w:trPr>
          <w:trHeight w:val="20"/>
        </w:trPr>
        <w:tc>
          <w:tcPr>
            <w:tcW w:w="7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Net of changes in valuation allowance</w:t>
      </w:r>
    </w:p>
    <w:p>
      <w:pPr>
        <w:spacing w:after="0" w:line="10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The effective tax rate increased by 50.6 percentage points in 2017 compared to 2016. The increase was primarily attributable to the provisional impact of U.S. tax reform (see “The Tax Cuts and Jobs Act” further below), partially offset by increased tax benefits from foreign tax credits and for employee share-based payments. The Company’s non-U.S. effective tax rate was 71.4%, an increase of approximately 54.7 percentage points compared to 2016. The year-over-year increase in the non-U.S. effective tax rate was primarily driven by the Company’s change in assertion regarding foreign unremitted earnings, increased expense for reserves in various jurisdictions and increased withholding taxes, partially offset by higher earnings in low tax rate jurisdictions.</w:t>
      </w:r>
    </w:p>
    <w:p>
      <w:pPr>
        <w:spacing w:after="0" w:line="94" w:lineRule="exact"/>
        <w:rPr>
          <w:sz w:val="20"/>
          <w:szCs w:val="20"/>
          <w:color w:val="auto"/>
        </w:rPr>
      </w:pPr>
    </w:p>
    <w:p>
      <w:pPr>
        <w:ind w:right="40" w:firstLine="357"/>
        <w:spacing w:after="0"/>
        <w:rPr>
          <w:sz w:val="20"/>
          <w:szCs w:val="20"/>
          <w:color w:val="auto"/>
        </w:rPr>
      </w:pPr>
      <w:r>
        <w:rPr>
          <w:rFonts w:ascii="Arial" w:cs="Arial" w:eastAsia="Arial" w:hAnsi="Arial"/>
          <w:sz w:val="19"/>
          <w:szCs w:val="19"/>
          <w:color w:val="auto"/>
        </w:rPr>
        <w:t>The effective tax rate decreased by 1.6 percentage points in 2016 compared to 2015. The decrease was primarily attributable to excess tax benefits from employee share-based payments arising from adoption of the FASB’s amended guidance related to employee share-based payment accounting, partially offset by increased tax reserves in various jurisdictions and lower tax benefits from manufacturing incentives. The Company’s non-U.S effective tax rate was 16.7%, a decrease of approximately 2.8 percentage points compared to 2015. The year-over-year decrease in the non-U.S. effective tax rate was primarily driven by higher earnings in lower tax rate jurisdictions and a decrease in the tax impact of restructuring and divestitures. The effective tax rate was lower than the U.S. federal statutory rate of 35% primarily due to overall non-U.S. earnings taxed at lower rates.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57" w:right="2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 (liabilities)</w:t>
      </w:r>
    </w:p>
    <w:p>
      <w:pPr>
        <w:spacing w:after="0" w:line="130" w:lineRule="exact"/>
        <w:rPr>
          <w:sz w:val="20"/>
          <w:szCs w:val="20"/>
          <w:color w:val="auto"/>
        </w:rPr>
      </w:pPr>
    </w:p>
    <w:p>
      <w:pPr>
        <w:ind w:right="100" w:firstLine="357"/>
        <w:spacing w:after="0" w:line="246" w:lineRule="auto"/>
        <w:rPr>
          <w:sz w:val="20"/>
          <w:szCs w:val="20"/>
          <w:color w:val="auto"/>
        </w:rPr>
      </w:pPr>
      <w:r>
        <w:rPr>
          <w:rFonts w:ascii="Arial" w:cs="Arial" w:eastAsia="Arial" w:hAnsi="Arial"/>
          <w:sz w:val="19"/>
          <w:szCs w:val="19"/>
          <w:color w:val="auto"/>
        </w:rPr>
        <w:t>The tax effects of temporary differences and tax carryforwards which give rise to future income tax benefits and payables are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340" w:type="dxa"/>
            <w:vAlign w:val="bottom"/>
            <w:vMerge w:val="restart"/>
          </w:tcPr>
          <w:p>
            <w:pPr>
              <w:spacing w:after="0"/>
              <w:rPr>
                <w:sz w:val="20"/>
                <w:szCs w:val="20"/>
                <w:color w:val="auto"/>
              </w:rPr>
            </w:pPr>
            <w:r>
              <w:rPr>
                <w:rFonts w:ascii="Arial" w:cs="Arial" w:eastAsia="Arial" w:hAnsi="Arial"/>
                <w:sz w:val="19"/>
                <w:szCs w:val="19"/>
                <w:b w:val="1"/>
                <w:bCs w:val="1"/>
                <w:color w:val="auto"/>
              </w:rPr>
              <w:t>Deferred tax assets:</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7"/>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Pension</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411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Postretirement benefits other than pensions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177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262</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Asbestos and environmental</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325</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Employee compensation and benefits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218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418</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 accruals and reserves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376</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Net operating and capital losses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632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669</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Tax credit carryforwards</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510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206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0"/>
                <w:szCs w:val="20"/>
                <w:color w:val="auto"/>
              </w:rPr>
            </w:pPr>
            <w:r>
              <w:rPr>
                <w:rFonts w:ascii="Arial" w:cs="Arial" w:eastAsia="Arial" w:hAnsi="Arial"/>
                <w:sz w:val="19"/>
                <w:szCs w:val="19"/>
                <w:color w:val="auto"/>
              </w:rPr>
              <w:t>Gross deferred tax assets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2,238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3,202</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Valuation allowance</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(663)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(621)</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0"/>
                <w:szCs w:val="20"/>
                <w:color w:val="auto"/>
              </w:rPr>
            </w:pPr>
            <w:r>
              <w:rPr>
                <w:rFonts w:ascii="Arial" w:cs="Arial" w:eastAsia="Arial" w:hAnsi="Arial"/>
                <w:sz w:val="19"/>
                <w:szCs w:val="19"/>
                <w:color w:val="auto"/>
              </w:rPr>
              <w:t>Total deferred tax assets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1,575</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2,581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Deferred tax liabilities:</w:t>
            </w:r>
          </w:p>
        </w:tc>
        <w:tc>
          <w:tcPr>
            <w:tcW w:w="1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Pension</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(40)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Property, plant and equipment</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(439)</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Intangibles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(1,326)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(1,843)</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Unremitted earnings of foreign subsidiaries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(2,151)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Other asset basis differences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(210)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(231)</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0"/>
                <w:szCs w:val="20"/>
                <w:color w:val="auto"/>
              </w:rPr>
            </w:pPr>
            <w:r>
              <w:rPr>
                <w:rFonts w:ascii="Arial" w:cs="Arial" w:eastAsia="Arial" w:hAnsi="Arial"/>
                <w:sz w:val="19"/>
                <w:szCs w:val="19"/>
                <w:color w:val="auto"/>
              </w:rPr>
              <w:t>Total deferred tax liabilities</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(4,233)</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(2,720)</w:t>
            </w:r>
          </w:p>
        </w:tc>
        <w:tc>
          <w:tcPr>
            <w:tcW w:w="0" w:type="dxa"/>
            <w:vAlign w:val="bottom"/>
          </w:tcPr>
          <w:p>
            <w:pPr>
              <w:spacing w:after="0"/>
              <w:rPr>
                <w:sz w:val="1"/>
                <w:szCs w:val="1"/>
                <w:color w:val="auto"/>
              </w:rPr>
            </w:pPr>
          </w:p>
        </w:tc>
      </w:tr>
      <w:tr>
        <w:trPr>
          <w:trHeight w:val="216"/>
        </w:trPr>
        <w:tc>
          <w:tcPr>
            <w:tcW w:w="83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deferred tax liability</w:t>
            </w:r>
          </w:p>
        </w:tc>
        <w:tc>
          <w:tcPr>
            <w:tcW w:w="1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(2,658)</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(139)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color w:val="auto"/>
        </w:rPr>
        <w:t>As discussed further below under “The Tax Cuts and Jobs Act,” the Company no longer intends to reinvest the historical earnings of its foreign subsidiaries as of December 31, 2017 and has recorded a provisional deferred tax liability mainly comprised of non-U.S. withholding taxes of approximately $2.1 billion.</w:t>
      </w:r>
    </w:p>
    <w:p>
      <w:pPr>
        <w:spacing w:after="0" w:line="8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Our gross deferred tax assets include $794 million related to non-U.S. operations comprised principally of net operating losses, capital loss and tax credit carryforwards (mainly in Canada, France, Germany, Luxembourg and the United Kingdom) and deductible temporary differences. We maintain a valuation allowance of $660 million against a portion of the non-U.S. gross deferred tax assets. The change in the valuation allowance resulted in increases of $ 4 million, $ 69 million and $114 million to income tax expense in 2017, 2016 and 2015.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2017, our net operating loss, capital loss and tax credit carryforwards were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center"/>
              <w:ind w:right="50"/>
              <w:spacing w:after="0"/>
              <w:rPr>
                <w:sz w:val="20"/>
                <w:szCs w:val="20"/>
                <w:color w:val="auto"/>
              </w:rPr>
            </w:pPr>
            <w:r>
              <w:rPr>
                <w:rFonts w:ascii="Arial" w:cs="Arial" w:eastAsia="Arial" w:hAnsi="Arial"/>
                <w:sz w:val="16"/>
                <w:szCs w:val="16"/>
                <w:b w:val="1"/>
                <w:bCs w:val="1"/>
                <w:color w:val="auto"/>
                <w:w w:val="98"/>
              </w:rPr>
              <w:t>Net Operating</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6"/>
        </w:trPr>
        <w:tc>
          <w:tcPr>
            <w:tcW w:w="5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Expiration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6"/>
                <w:szCs w:val="16"/>
                <w:b w:val="1"/>
                <w:bCs w:val="1"/>
                <w:color w:val="auto"/>
                <w:w w:val="98"/>
              </w:rPr>
              <w:t>and Capital Loss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08"/>
              <w:spacing w:after="0" w:line="176" w:lineRule="exact"/>
              <w:rPr>
                <w:sz w:val="20"/>
                <w:szCs w:val="20"/>
                <w:color w:val="auto"/>
              </w:rPr>
            </w:pPr>
            <w:r>
              <w:rPr>
                <w:rFonts w:ascii="Arial" w:cs="Arial" w:eastAsia="Arial" w:hAnsi="Arial"/>
                <w:sz w:val="16"/>
                <w:szCs w:val="16"/>
                <w:b w:val="1"/>
                <w:bCs w:val="1"/>
                <w:color w:val="auto"/>
              </w:rPr>
              <w:t>Tax Credit</w:t>
            </w:r>
          </w:p>
        </w:tc>
      </w:tr>
      <w:tr>
        <w:trPr>
          <w:trHeight w:val="190"/>
        </w:trPr>
        <w:tc>
          <w:tcPr>
            <w:tcW w:w="5520" w:type="dxa"/>
            <w:vAlign w:val="bottom"/>
            <w:tcBorders>
              <w:bottom w:val="single" w:sz="8" w:color="auto"/>
            </w:tcBorders>
          </w:tcPr>
          <w:p>
            <w:pPr>
              <w:ind w:left="2320"/>
              <w:spacing w:after="0"/>
              <w:rPr>
                <w:sz w:val="20"/>
                <w:szCs w:val="20"/>
                <w:color w:val="auto"/>
              </w:rPr>
            </w:pPr>
            <w:r>
              <w:rPr>
                <w:rFonts w:ascii="Arial" w:cs="Arial" w:eastAsia="Arial" w:hAnsi="Arial"/>
                <w:sz w:val="16"/>
                <w:szCs w:val="16"/>
                <w:b w:val="1"/>
                <w:bCs w:val="1"/>
                <w:color w:val="auto"/>
              </w:rPr>
              <w:t>Jurisdiction</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Period</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98"/>
              </w:rPr>
              <w:t>Carryforwards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w w:val="96"/>
              </w:rPr>
              <w:t>Carryforwards</w:t>
            </w:r>
          </w:p>
        </w:tc>
      </w:tr>
      <w:tr>
        <w:trPr>
          <w:trHeight w:val="237"/>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U.S. Federal</w:t>
            </w:r>
          </w:p>
        </w:tc>
        <w:tc>
          <w:tcPr>
            <w:tcW w:w="130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rPr>
              <w:t>2037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16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332</w:t>
            </w:r>
          </w:p>
        </w:tc>
      </w:tr>
      <w:tr>
        <w:trPr>
          <w:trHeight w:val="243"/>
        </w:trPr>
        <w:tc>
          <w:tcPr>
            <w:tcW w:w="5520" w:type="dxa"/>
            <w:vAlign w:val="bottom"/>
          </w:tcPr>
          <w:p>
            <w:pPr>
              <w:spacing w:after="0"/>
              <w:rPr>
                <w:sz w:val="20"/>
                <w:szCs w:val="20"/>
                <w:color w:val="auto"/>
              </w:rPr>
            </w:pPr>
            <w:r>
              <w:rPr>
                <w:rFonts w:ascii="Arial" w:cs="Arial" w:eastAsia="Arial" w:hAnsi="Arial"/>
                <w:sz w:val="19"/>
                <w:szCs w:val="19"/>
                <w:color w:val="auto"/>
              </w:rPr>
              <w:t>U.S. State</w:t>
            </w:r>
          </w:p>
        </w:tc>
        <w:tc>
          <w:tcPr>
            <w:tcW w:w="1300" w:type="dxa"/>
            <w:vAlign w:val="bottom"/>
            <w:gridSpan w:val="2"/>
          </w:tcPr>
          <w:p>
            <w:pPr>
              <w:jc w:val="center"/>
              <w:ind w:left="203"/>
              <w:spacing w:after="0"/>
              <w:rPr>
                <w:sz w:val="20"/>
                <w:szCs w:val="20"/>
                <w:color w:val="auto"/>
              </w:rPr>
            </w:pPr>
            <w:r>
              <w:rPr>
                <w:rFonts w:ascii="Arial" w:cs="Arial" w:eastAsia="Arial" w:hAnsi="Arial"/>
                <w:sz w:val="19"/>
                <w:szCs w:val="19"/>
                <w:color w:val="auto"/>
              </w:rPr>
              <w:t>2037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9"/>
                <w:szCs w:val="19"/>
                <w:color w:val="auto"/>
              </w:rPr>
              <w:t>508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9"/>
                <w:szCs w:val="19"/>
                <w:color w:val="auto"/>
              </w:rPr>
              <w:t>24</w:t>
            </w: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Non-U.S.</w:t>
            </w:r>
          </w:p>
        </w:tc>
        <w:tc>
          <w:tcPr>
            <w:tcW w:w="130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rPr>
              <w:t>2037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607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159</w:t>
            </w:r>
          </w:p>
        </w:tc>
      </w:tr>
      <w:tr>
        <w:trPr>
          <w:trHeight w:val="250"/>
        </w:trPr>
        <w:tc>
          <w:tcPr>
            <w:tcW w:w="5520" w:type="dxa"/>
            <w:vAlign w:val="bottom"/>
          </w:tcPr>
          <w:p>
            <w:pPr>
              <w:spacing w:after="0"/>
              <w:rPr>
                <w:sz w:val="20"/>
                <w:szCs w:val="20"/>
                <w:color w:val="auto"/>
              </w:rPr>
            </w:pPr>
            <w:r>
              <w:rPr>
                <w:rFonts w:ascii="Arial" w:cs="Arial" w:eastAsia="Arial" w:hAnsi="Arial"/>
                <w:sz w:val="19"/>
                <w:szCs w:val="19"/>
                <w:color w:val="auto"/>
              </w:rPr>
              <w:t>Non-U.S.</w:t>
            </w:r>
          </w:p>
        </w:tc>
        <w:tc>
          <w:tcPr>
            <w:tcW w:w="3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Indefinite</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9"/>
                <w:szCs w:val="19"/>
                <w:color w:val="auto"/>
              </w:rPr>
              <w:t>2,211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9"/>
                <w:szCs w:val="19"/>
                <w:color w:val="auto"/>
              </w:rPr>
              <w:t>—</w:t>
            </w:r>
          </w:p>
        </w:tc>
      </w:tr>
      <w:tr>
        <w:trPr>
          <w:trHeight w:val="243"/>
        </w:trPr>
        <w:tc>
          <w:tcPr>
            <w:tcW w:w="55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60" w:type="dxa"/>
            <w:vAlign w:val="bottom"/>
            <w:shd w:val="clear" w:color="auto" w:fill="E5FFFF"/>
          </w:tcPr>
          <w:p>
            <w:pPr>
              <w:jc w:val="right"/>
              <w:ind w:right="30"/>
              <w:spacing w:after="0"/>
              <w:rPr>
                <w:sz w:val="20"/>
                <w:szCs w:val="20"/>
                <w:color w:val="auto"/>
              </w:rPr>
            </w:pPr>
            <w:r>
              <w:rPr>
                <w:rFonts w:ascii="Arial" w:cs="Arial" w:eastAsia="Arial" w:hAnsi="Arial"/>
                <w:sz w:val="19"/>
                <w:szCs w:val="19"/>
                <w:color w:val="auto"/>
              </w:rPr>
              <w:t>3,342</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515</w:t>
            </w:r>
          </w:p>
        </w:tc>
      </w:tr>
      <w:tr>
        <w:trPr>
          <w:trHeight w:val="20"/>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320" w:firstLine="357"/>
        <w:spacing w:after="0" w:line="243" w:lineRule="auto"/>
        <w:rPr>
          <w:sz w:val="20"/>
          <w:szCs w:val="20"/>
          <w:color w:val="auto"/>
        </w:rPr>
      </w:pPr>
      <w:r>
        <w:rPr>
          <w:rFonts w:ascii="Arial" w:cs="Arial" w:eastAsia="Arial" w:hAnsi="Arial"/>
          <w:sz w:val="19"/>
          <w:szCs w:val="19"/>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Arial" w:cs="Arial" w:eastAsia="Arial" w:hAnsi="Arial"/>
                <w:sz w:val="16"/>
                <w:szCs w:val="16"/>
                <w:b w:val="1"/>
                <w:bCs w:val="1"/>
                <w:color w:val="auto"/>
              </w:rPr>
              <w:t>2017</w:t>
            </w:r>
          </w:p>
        </w:tc>
        <w:tc>
          <w:tcPr>
            <w:tcW w:w="86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2016</w:t>
            </w:r>
          </w:p>
        </w:tc>
        <w:tc>
          <w:tcPr>
            <w:tcW w:w="90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2015</w:t>
            </w:r>
          </w:p>
        </w:tc>
      </w:tr>
      <w:tr>
        <w:trPr>
          <w:trHeight w:val="210"/>
        </w:trPr>
        <w:tc>
          <w:tcPr>
            <w:tcW w:w="80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unrecognized tax benefits:</w:t>
            </w:r>
          </w:p>
        </w:tc>
        <w:tc>
          <w:tcPr>
            <w:tcW w:w="5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r>
      <w:tr>
        <w:trPr>
          <w:trHeight w:val="243"/>
        </w:trPr>
        <w:tc>
          <w:tcPr>
            <w:tcW w:w="8080" w:type="dxa"/>
            <w:vAlign w:val="bottom"/>
          </w:tcPr>
          <w:p>
            <w:pPr>
              <w:ind w:left="180"/>
              <w:spacing w:after="0"/>
              <w:rPr>
                <w:sz w:val="20"/>
                <w:szCs w:val="20"/>
                <w:color w:val="auto"/>
              </w:rPr>
            </w:pPr>
            <w:r>
              <w:rPr>
                <w:rFonts w:ascii="Arial" w:cs="Arial" w:eastAsia="Arial" w:hAnsi="Arial"/>
                <w:sz w:val="19"/>
                <w:szCs w:val="19"/>
                <w:color w:val="auto"/>
              </w:rPr>
              <w:t>Balance at beginning of year</w:t>
            </w:r>
          </w:p>
        </w:tc>
        <w:tc>
          <w:tcPr>
            <w:tcW w:w="560" w:type="dxa"/>
            <w:vAlign w:val="bottom"/>
          </w:tcPr>
          <w:p>
            <w:pPr>
              <w:jc w:val="right"/>
              <w:spacing w:after="0"/>
              <w:rPr>
                <w:sz w:val="20"/>
                <w:szCs w:val="20"/>
                <w:color w:val="auto"/>
              </w:rPr>
            </w:pPr>
            <w:r>
              <w:rPr>
                <w:rFonts w:ascii="Arial" w:cs="Arial" w:eastAsia="Arial" w:hAnsi="Arial"/>
                <w:sz w:val="19"/>
                <w:szCs w:val="19"/>
                <w:color w:val="auto"/>
                <w:w w:val="96"/>
              </w:rPr>
              <w:t>$ 877</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$ 765</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$ 659</w:t>
            </w:r>
          </w:p>
        </w:tc>
      </w:tr>
      <w:tr>
        <w:trPr>
          <w:trHeight w:val="243"/>
        </w:trPr>
        <w:tc>
          <w:tcPr>
            <w:tcW w:w="8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increases related to current period tax positions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96</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56</w:t>
            </w:r>
          </w:p>
        </w:tc>
      </w:tr>
      <w:tr>
        <w:trPr>
          <w:trHeight w:val="243"/>
        </w:trPr>
        <w:tc>
          <w:tcPr>
            <w:tcW w:w="8080" w:type="dxa"/>
            <w:vAlign w:val="bottom"/>
          </w:tcPr>
          <w:p>
            <w:pPr>
              <w:ind w:left="180"/>
              <w:spacing w:after="0"/>
              <w:rPr>
                <w:sz w:val="20"/>
                <w:szCs w:val="20"/>
                <w:color w:val="auto"/>
              </w:rPr>
            </w:pPr>
            <w:r>
              <w:rPr>
                <w:rFonts w:ascii="Arial" w:cs="Arial" w:eastAsia="Arial" w:hAnsi="Arial"/>
                <w:sz w:val="19"/>
                <w:szCs w:val="19"/>
                <w:color w:val="auto"/>
              </w:rPr>
              <w:t>Gross increases related to prior periods tax positions</w:t>
            </w:r>
          </w:p>
        </w:tc>
        <w:tc>
          <w:tcPr>
            <w:tcW w:w="560" w:type="dxa"/>
            <w:vAlign w:val="bottom"/>
          </w:tcPr>
          <w:p>
            <w:pPr>
              <w:jc w:val="right"/>
              <w:spacing w:after="0"/>
              <w:rPr>
                <w:sz w:val="20"/>
                <w:szCs w:val="20"/>
                <w:color w:val="auto"/>
              </w:rPr>
            </w:pPr>
            <w:r>
              <w:rPr>
                <w:rFonts w:ascii="Arial" w:cs="Arial" w:eastAsia="Arial" w:hAnsi="Arial"/>
                <w:sz w:val="19"/>
                <w:szCs w:val="19"/>
                <w:color w:val="auto"/>
              </w:rPr>
              <w:t>153</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88</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175</w:t>
            </w:r>
          </w:p>
        </w:tc>
      </w:tr>
      <w:tr>
        <w:trPr>
          <w:trHeight w:val="243"/>
        </w:trPr>
        <w:tc>
          <w:tcPr>
            <w:tcW w:w="8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decreases related to prior periods tax positions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(72)</w:t>
            </w:r>
          </w:p>
        </w:tc>
      </w:tr>
      <w:tr>
        <w:trPr>
          <w:trHeight w:val="243"/>
        </w:trPr>
        <w:tc>
          <w:tcPr>
            <w:tcW w:w="8080" w:type="dxa"/>
            <w:vAlign w:val="bottom"/>
          </w:tcPr>
          <w:p>
            <w:pPr>
              <w:ind w:left="180"/>
              <w:spacing w:after="0"/>
              <w:rPr>
                <w:sz w:val="20"/>
                <w:szCs w:val="20"/>
                <w:color w:val="auto"/>
              </w:rPr>
            </w:pPr>
            <w:r>
              <w:rPr>
                <w:rFonts w:ascii="Arial" w:cs="Arial" w:eastAsia="Arial" w:hAnsi="Arial"/>
                <w:sz w:val="19"/>
                <w:szCs w:val="19"/>
                <w:color w:val="auto"/>
              </w:rPr>
              <w:t>Decrease related to resolutions of audits with tax authorities</w:t>
            </w:r>
          </w:p>
        </w:tc>
        <w:tc>
          <w:tcPr>
            <w:tcW w:w="560" w:type="dxa"/>
            <w:vAlign w:val="bottom"/>
          </w:tcPr>
          <w:p>
            <w:pPr>
              <w:jc w:val="right"/>
              <w:spacing w:after="0"/>
              <w:rPr>
                <w:sz w:val="20"/>
                <w:szCs w:val="20"/>
                <w:color w:val="auto"/>
              </w:rPr>
            </w:pPr>
            <w:r>
              <w:rPr>
                <w:rFonts w:ascii="Arial" w:cs="Arial" w:eastAsia="Arial" w:hAnsi="Arial"/>
                <w:sz w:val="19"/>
                <w:szCs w:val="19"/>
                <w:color w:val="auto"/>
              </w:rPr>
              <w:t>(76)</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(11)</w:t>
            </w:r>
          </w:p>
        </w:tc>
      </w:tr>
      <w:tr>
        <w:trPr>
          <w:trHeight w:val="243"/>
        </w:trPr>
        <w:tc>
          <w:tcPr>
            <w:tcW w:w="80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Expiration of the statute of limitations for the assessment of taxes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w:t>
            </w:r>
          </w:p>
        </w:tc>
      </w:tr>
      <w:tr>
        <w:trPr>
          <w:trHeight w:val="250"/>
        </w:trPr>
        <w:tc>
          <w:tcPr>
            <w:tcW w:w="808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w:t>
            </w:r>
          </w:p>
        </w:tc>
        <w:tc>
          <w:tcPr>
            <w:tcW w:w="3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3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w:t>
            </w:r>
          </w:p>
        </w:tc>
      </w:tr>
      <w:tr>
        <w:trPr>
          <w:trHeight w:val="243"/>
        </w:trPr>
        <w:tc>
          <w:tcPr>
            <w:tcW w:w="8080" w:type="dxa"/>
            <w:vAlign w:val="bottom"/>
            <w:shd w:val="clear" w:color="auto" w:fill="E5FFFF"/>
          </w:tcPr>
          <w:p>
            <w:pPr>
              <w:spacing w:after="0"/>
              <w:rPr>
                <w:sz w:val="20"/>
                <w:szCs w:val="20"/>
                <w:color w:val="auto"/>
              </w:rPr>
            </w:pPr>
            <w:r>
              <w:rPr>
                <w:rFonts w:ascii="Arial" w:cs="Arial" w:eastAsia="Arial" w:hAnsi="Arial"/>
                <w:sz w:val="19"/>
                <w:szCs w:val="19"/>
                <w:color w:val="auto"/>
              </w:rPr>
              <w:t>Balance at end of year</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$ 947</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$ 877</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$ 765</w:t>
            </w:r>
          </w:p>
        </w:tc>
      </w:tr>
      <w:tr>
        <w:trPr>
          <w:trHeight w:val="20"/>
        </w:trPr>
        <w:tc>
          <w:tcPr>
            <w:tcW w:w="8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60" w:firstLine="357"/>
        <w:spacing w:after="0" w:line="253" w:lineRule="auto"/>
        <w:rPr>
          <w:sz w:val="20"/>
          <w:szCs w:val="20"/>
          <w:color w:val="auto"/>
        </w:rPr>
      </w:pPr>
      <w:r>
        <w:rPr>
          <w:rFonts w:ascii="Arial" w:cs="Arial" w:eastAsia="Arial" w:hAnsi="Arial"/>
          <w:sz w:val="19"/>
          <w:szCs w:val="19"/>
          <w:color w:val="auto"/>
        </w:rPr>
        <w:t>As of December 31, 2017, 2016, and 2015 there were $ 947 million, $877 million and $765 million of unrecognized tax benefits that if recognized would be recorded as a component of Tax expense.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tax years that remain subject to examination by major tax jurisdictions as of December 31, 2017:</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Open Tax Years</w:t>
            </w:r>
          </w:p>
        </w:tc>
      </w:tr>
      <w:tr>
        <w:trPr>
          <w:trHeight w:val="190"/>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Based on Originally Filed Returns</w:t>
            </w:r>
          </w:p>
        </w:tc>
      </w:tr>
      <w:tr>
        <w:trPr>
          <w:trHeight w:val="155"/>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Examination in</w:t>
            </w:r>
          </w:p>
        </w:tc>
        <w:tc>
          <w:tcPr>
            <w:tcW w:w="300" w:type="dxa"/>
            <w:vAlign w:val="bottom"/>
          </w:tcPr>
          <w:p>
            <w:pPr>
              <w:spacing w:after="0"/>
              <w:rPr>
                <w:sz w:val="13"/>
                <w:szCs w:val="13"/>
                <w:color w:val="auto"/>
              </w:rPr>
            </w:pPr>
          </w:p>
        </w:tc>
        <w:tc>
          <w:tcPr>
            <w:tcW w:w="20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Examination not yet</w:t>
            </w:r>
          </w:p>
        </w:tc>
      </w:tr>
      <w:tr>
        <w:trPr>
          <w:trHeight w:val="190"/>
        </w:trPr>
        <w:tc>
          <w:tcPr>
            <w:tcW w:w="5520" w:type="dxa"/>
            <w:vAlign w:val="bottom"/>
            <w:tcBorders>
              <w:bottom w:val="single" w:sz="8" w:color="auto"/>
            </w:tcBorders>
          </w:tcPr>
          <w:p>
            <w:pPr>
              <w:ind w:left="2320"/>
              <w:spacing w:after="0"/>
              <w:rPr>
                <w:sz w:val="20"/>
                <w:szCs w:val="20"/>
                <w:color w:val="auto"/>
              </w:rPr>
            </w:pPr>
            <w:r>
              <w:rPr>
                <w:rFonts w:ascii="Arial" w:cs="Arial" w:eastAsia="Arial" w:hAnsi="Arial"/>
                <w:sz w:val="16"/>
                <w:szCs w:val="16"/>
                <w:b w:val="1"/>
                <w:bCs w:val="1"/>
                <w:color w:val="auto"/>
              </w:rPr>
              <w:t>Jurisdiction</w:t>
            </w:r>
          </w:p>
        </w:tc>
        <w:tc>
          <w:tcPr>
            <w:tcW w:w="3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progress</w:t>
            </w:r>
          </w:p>
        </w:tc>
        <w:tc>
          <w:tcPr>
            <w:tcW w:w="3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initiated</w:t>
            </w:r>
          </w:p>
        </w:tc>
      </w:tr>
      <w:tr>
        <w:trPr>
          <w:trHeight w:val="237"/>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U.S. Federal</w:t>
            </w:r>
          </w:p>
        </w:tc>
        <w:tc>
          <w:tcPr>
            <w:tcW w:w="300" w:type="dxa"/>
            <w:vAlign w:val="bottom"/>
            <w:shd w:val="clear" w:color="auto" w:fill="E5FFFF"/>
          </w:tcPr>
          <w:p>
            <w:pPr>
              <w:spacing w:after="0"/>
              <w:rPr>
                <w:sz w:val="20"/>
                <w:szCs w:val="20"/>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2013 – 2016</w:t>
            </w:r>
          </w:p>
        </w:tc>
        <w:tc>
          <w:tcPr>
            <w:tcW w:w="300" w:type="dxa"/>
            <w:vAlign w:val="bottom"/>
            <w:shd w:val="clear" w:color="auto" w:fill="E5FFFF"/>
          </w:tcPr>
          <w:p>
            <w:pPr>
              <w:spacing w:after="0"/>
              <w:rPr>
                <w:sz w:val="20"/>
                <w:szCs w:val="20"/>
                <w:color w:val="auto"/>
              </w:rPr>
            </w:pPr>
          </w:p>
        </w:tc>
        <w:tc>
          <w:tcPr>
            <w:tcW w:w="20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2015 – 2017</w:t>
            </w:r>
          </w:p>
        </w:tc>
      </w:tr>
      <w:tr>
        <w:trPr>
          <w:trHeight w:val="243"/>
        </w:trPr>
        <w:tc>
          <w:tcPr>
            <w:tcW w:w="5520" w:type="dxa"/>
            <w:vAlign w:val="bottom"/>
          </w:tcPr>
          <w:p>
            <w:pPr>
              <w:spacing w:after="0"/>
              <w:rPr>
                <w:sz w:val="20"/>
                <w:szCs w:val="20"/>
                <w:color w:val="auto"/>
              </w:rPr>
            </w:pPr>
            <w:r>
              <w:rPr>
                <w:rFonts w:ascii="Arial" w:cs="Arial" w:eastAsia="Arial" w:hAnsi="Arial"/>
                <w:sz w:val="19"/>
                <w:szCs w:val="19"/>
                <w:color w:val="auto"/>
              </w:rPr>
              <w:t>U.S. State</w:t>
            </w:r>
          </w:p>
        </w:tc>
        <w:tc>
          <w:tcPr>
            <w:tcW w:w="3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2011 – 2016</w:t>
            </w:r>
          </w:p>
        </w:tc>
        <w:tc>
          <w:tcPr>
            <w:tcW w:w="3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rPr>
              <w:t>2012 – 2017</w:t>
            </w: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Australia</w:t>
            </w:r>
          </w:p>
        </w:tc>
        <w:tc>
          <w:tcPr>
            <w:tcW w:w="30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c>
          <w:tcPr>
            <w:tcW w:w="300" w:type="dxa"/>
            <w:vAlign w:val="bottom"/>
            <w:shd w:val="clear" w:color="auto" w:fill="E5FFFF"/>
          </w:tcPr>
          <w:p>
            <w:pPr>
              <w:spacing w:after="0"/>
              <w:rPr>
                <w:sz w:val="21"/>
                <w:szCs w:val="21"/>
                <w:color w:val="auto"/>
              </w:rPr>
            </w:pPr>
          </w:p>
        </w:tc>
        <w:tc>
          <w:tcPr>
            <w:tcW w:w="20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2016 – 2017</w:t>
            </w:r>
          </w:p>
        </w:tc>
      </w:tr>
      <w:tr>
        <w:trPr>
          <w:trHeight w:val="243"/>
        </w:trPr>
        <w:tc>
          <w:tcPr>
            <w:tcW w:w="5520" w:type="dxa"/>
            <w:vAlign w:val="bottom"/>
          </w:tcPr>
          <w:p>
            <w:pPr>
              <w:spacing w:after="0"/>
              <w:rPr>
                <w:sz w:val="20"/>
                <w:szCs w:val="20"/>
                <w:color w:val="auto"/>
              </w:rPr>
            </w:pPr>
            <w:r>
              <w:rPr>
                <w:rFonts w:ascii="Arial" w:cs="Arial" w:eastAsia="Arial" w:hAnsi="Arial"/>
                <w:sz w:val="19"/>
                <w:szCs w:val="19"/>
                <w:color w:val="auto"/>
              </w:rPr>
              <w:t>Canada(1)</w:t>
            </w:r>
          </w:p>
        </w:tc>
        <w:tc>
          <w:tcPr>
            <w:tcW w:w="3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2012 – 2014, 2016</w:t>
            </w:r>
          </w:p>
        </w:tc>
        <w:tc>
          <w:tcPr>
            <w:tcW w:w="3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rPr>
              <w:t>2015 – 2017</w:t>
            </w: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China</w:t>
            </w:r>
          </w:p>
        </w:tc>
        <w:tc>
          <w:tcPr>
            <w:tcW w:w="30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2003 – 2017</w:t>
            </w:r>
          </w:p>
        </w:tc>
        <w:tc>
          <w:tcPr>
            <w:tcW w:w="300" w:type="dxa"/>
            <w:vAlign w:val="bottom"/>
            <w:shd w:val="clear" w:color="auto" w:fill="E5FFFF"/>
          </w:tcPr>
          <w:p>
            <w:pPr>
              <w:spacing w:after="0"/>
              <w:rPr>
                <w:sz w:val="21"/>
                <w:szCs w:val="21"/>
                <w:color w:val="auto"/>
              </w:rPr>
            </w:pPr>
          </w:p>
        </w:tc>
        <w:tc>
          <w:tcPr>
            <w:tcW w:w="20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N/A</w:t>
            </w:r>
          </w:p>
        </w:tc>
      </w:tr>
      <w:tr>
        <w:trPr>
          <w:trHeight w:val="243"/>
        </w:trPr>
        <w:tc>
          <w:tcPr>
            <w:tcW w:w="5520" w:type="dxa"/>
            <w:vAlign w:val="bottom"/>
          </w:tcPr>
          <w:p>
            <w:pPr>
              <w:spacing w:after="0"/>
              <w:rPr>
                <w:sz w:val="20"/>
                <w:szCs w:val="20"/>
                <w:color w:val="auto"/>
              </w:rPr>
            </w:pPr>
            <w:r>
              <w:rPr>
                <w:rFonts w:ascii="Arial" w:cs="Arial" w:eastAsia="Arial" w:hAnsi="Arial"/>
                <w:sz w:val="19"/>
                <w:szCs w:val="19"/>
                <w:color w:val="auto"/>
              </w:rPr>
              <w:t>France</w:t>
            </w:r>
          </w:p>
        </w:tc>
        <w:tc>
          <w:tcPr>
            <w:tcW w:w="3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2012 – 2017</w:t>
            </w:r>
          </w:p>
        </w:tc>
        <w:tc>
          <w:tcPr>
            <w:tcW w:w="3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rPr>
              <w:t>2006 – 2011</w:t>
            </w: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Germany(1)</w:t>
            </w:r>
          </w:p>
        </w:tc>
        <w:tc>
          <w:tcPr>
            <w:tcW w:w="30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2008 – 2015</w:t>
            </w:r>
          </w:p>
        </w:tc>
        <w:tc>
          <w:tcPr>
            <w:tcW w:w="300" w:type="dxa"/>
            <w:vAlign w:val="bottom"/>
            <w:shd w:val="clear" w:color="auto" w:fill="E5FFFF"/>
          </w:tcPr>
          <w:p>
            <w:pPr>
              <w:spacing w:after="0"/>
              <w:rPr>
                <w:sz w:val="21"/>
                <w:szCs w:val="21"/>
                <w:color w:val="auto"/>
              </w:rPr>
            </w:pPr>
          </w:p>
        </w:tc>
        <w:tc>
          <w:tcPr>
            <w:tcW w:w="20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2016 – 2017</w:t>
            </w:r>
          </w:p>
        </w:tc>
      </w:tr>
      <w:tr>
        <w:trPr>
          <w:trHeight w:val="243"/>
        </w:trPr>
        <w:tc>
          <w:tcPr>
            <w:tcW w:w="5520" w:type="dxa"/>
            <w:vAlign w:val="bottom"/>
          </w:tcPr>
          <w:p>
            <w:pPr>
              <w:spacing w:after="0"/>
              <w:rPr>
                <w:sz w:val="20"/>
                <w:szCs w:val="20"/>
                <w:color w:val="auto"/>
              </w:rPr>
            </w:pPr>
            <w:r>
              <w:rPr>
                <w:rFonts w:ascii="Arial" w:cs="Arial" w:eastAsia="Arial" w:hAnsi="Arial"/>
                <w:sz w:val="19"/>
                <w:szCs w:val="19"/>
                <w:color w:val="auto"/>
              </w:rPr>
              <w:t>India</w:t>
            </w:r>
          </w:p>
        </w:tc>
        <w:tc>
          <w:tcPr>
            <w:tcW w:w="30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1999 – 2015</w:t>
            </w:r>
          </w:p>
        </w:tc>
        <w:tc>
          <w:tcPr>
            <w:tcW w:w="30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rPr>
              <w:t>2016 – 2017</w:t>
            </w:r>
          </w:p>
        </w:tc>
      </w:tr>
      <w:tr>
        <w:trPr>
          <w:trHeight w:val="243"/>
        </w:trPr>
        <w:tc>
          <w:tcPr>
            <w:tcW w:w="5520" w:type="dxa"/>
            <w:vAlign w:val="bottom"/>
            <w:shd w:val="clear" w:color="auto" w:fill="E5FFFF"/>
          </w:tcPr>
          <w:p>
            <w:pPr>
              <w:spacing w:after="0"/>
              <w:rPr>
                <w:sz w:val="20"/>
                <w:szCs w:val="20"/>
                <w:color w:val="auto"/>
              </w:rPr>
            </w:pPr>
            <w:r>
              <w:rPr>
                <w:rFonts w:ascii="Arial" w:cs="Arial" w:eastAsia="Arial" w:hAnsi="Arial"/>
                <w:sz w:val="19"/>
                <w:szCs w:val="19"/>
                <w:color w:val="auto"/>
              </w:rPr>
              <w:t>Switzerland(1)</w:t>
            </w:r>
          </w:p>
        </w:tc>
        <w:tc>
          <w:tcPr>
            <w:tcW w:w="30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2012 – 2016</w:t>
            </w:r>
          </w:p>
        </w:tc>
        <w:tc>
          <w:tcPr>
            <w:tcW w:w="238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w w:val="99"/>
              </w:rPr>
              <w:t>2017</w:t>
            </w:r>
          </w:p>
        </w:tc>
      </w:tr>
      <w:tr>
        <w:trPr>
          <w:trHeight w:val="261"/>
        </w:trPr>
        <w:tc>
          <w:tcPr>
            <w:tcW w:w="5520" w:type="dxa"/>
            <w:vAlign w:val="bottom"/>
          </w:tcPr>
          <w:p>
            <w:pPr>
              <w:spacing w:after="0"/>
              <w:rPr>
                <w:sz w:val="20"/>
                <w:szCs w:val="20"/>
                <w:color w:val="auto"/>
              </w:rPr>
            </w:pPr>
            <w:r>
              <w:rPr>
                <w:rFonts w:ascii="Arial" w:cs="Arial" w:eastAsia="Arial" w:hAnsi="Arial"/>
                <w:sz w:val="19"/>
                <w:szCs w:val="19"/>
                <w:color w:val="auto"/>
              </w:rPr>
              <w:t>United Kingdom</w:t>
            </w:r>
          </w:p>
        </w:tc>
        <w:tc>
          <w:tcPr>
            <w:tcW w:w="30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2013 – 2015</w:t>
            </w:r>
          </w:p>
        </w:tc>
        <w:tc>
          <w:tcPr>
            <w:tcW w:w="3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rPr>
              <w:t>2016 –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Includes provincial or similar local jurisdictions, as applicable.</w:t>
      </w:r>
    </w:p>
    <w:p>
      <w:pPr>
        <w:spacing w:after="0" w:line="106"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our financial statements. In addition, the outcome of these examinations may impact the valuation of certain deferred tax assets (such as net operating losses) in future periods.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Unrecognized tax benefits for examinations in progress were $487 million, $398 million and $349 million, as of December 31, 2017, 2016, and 2015. Estimated interest and penalties related to the underpayment of income taxes are classified as a component of Tax expense in the Consolidated Statement of Operations and totaled $28 million, $18 million and $11 million for the years ended December 31, 2017, 2016, and 2015. Accrued interest and penalties were $423 million, $395 million and $336 million, as of December 31, 2017, 2016, and 2015.</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Tax Cuts and Jobs Act</w:t>
      </w:r>
    </w:p>
    <w:p>
      <w:pPr>
        <w:spacing w:after="0" w:line="130"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On December 22, 2017, the U.S. enacted the Tax Cuts and Jobs Act (“Tax Act”) that instituted fundamental changes to the taxation of multinational corporations. The Tax Act includes changes to the taxation of foreign earnings by implementing a dividend exemption system, expansion of the current anti-deferral rules, a minimum tax on low-taxed foreign earnings and new measures to deter base erosion. The Tax Act also includes a permanent reduction in the corporate tax rate to 21%, repeal of the corporate alternative minimum tax, expensing of capital investment, and limitation of the deduction for interest expense. Furthermore, as part of the transition to the new tax system, a one-time transition tax is imposed on a U.S. shareholder’s historical undistributed earnings of foreign affiliates. Although the Tax Act is generally effective January 1, 2018, GAAP requires recognition of the tax effects of new legislation during the reporting period that includes the enactment date, which was December 22, 2017.</w:t>
      </w:r>
    </w:p>
    <w:p>
      <w:pPr>
        <w:spacing w:after="0" w:line="83"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As a result of the impacts of the Tax Act, the SEC provided guidance that allows the Company to record provisional amounts for those impacts, with the requirement that the accounting be completed in a period not to exceed one year from the date of enactment. As of December 31, 2017, the Company has not completed the accounting for the tax effects of the Tax Act. Therefore, we have recorded provisional amounts for the effects of the Tax Act. The primary impacts of the Tax Act relate to the re-measurement of deferred tax assets and liabilities resulting from the change in the corporate tax rate (“Corporate Tax Rate Change”); the one-time mandatory transition tax on undistributed earnings of foreign affiliates (“Mandatory Transition Tax”); and deferred taxes in connection with a change in the Company’s intent to permanently reinvest the historical undistributed earnings of its foreign affiliates (“Undistributed Foreign Earnings”).</w:t>
      </w:r>
    </w:p>
    <w:p>
      <w:pPr>
        <w:spacing w:after="0" w:line="72" w:lineRule="exact"/>
        <w:rPr>
          <w:sz w:val="20"/>
          <w:szCs w:val="20"/>
          <w:color w:val="auto"/>
        </w:rPr>
      </w:pPr>
    </w:p>
    <w:p>
      <w:pPr>
        <w:ind w:right="60" w:firstLine="357"/>
        <w:spacing w:after="0" w:line="280" w:lineRule="auto"/>
        <w:rPr>
          <w:sz w:val="20"/>
          <w:szCs w:val="20"/>
          <w:color w:val="auto"/>
        </w:rPr>
      </w:pPr>
      <w:r>
        <w:rPr>
          <w:rFonts w:ascii="Arial" w:cs="Arial" w:eastAsia="Arial" w:hAnsi="Arial"/>
          <w:sz w:val="19"/>
          <w:szCs w:val="19"/>
          <w:b w:val="1"/>
          <w:bCs w:val="1"/>
          <w:i w:val="1"/>
          <w:iCs w:val="1"/>
          <w:color w:val="auto"/>
        </w:rPr>
        <w:t>Corporate Tax Rate Change</w:t>
      </w:r>
      <w:r>
        <w:rPr>
          <w:rFonts w:ascii="Arial" w:cs="Arial" w:eastAsia="Arial" w:hAnsi="Arial"/>
          <w:sz w:val="19"/>
          <w:szCs w:val="19"/>
          <w:color w:val="auto"/>
        </w:rPr>
        <w:t>—For the year ended December 31, 2017, we recorded a tax benefit of approximately $235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due to the decrease in the corporate tax rate from 35% to 21%.</w:t>
      </w:r>
    </w:p>
    <w:p>
      <w:pPr>
        <w:spacing w:after="0" w:line="54" w:lineRule="exact"/>
        <w:rPr>
          <w:sz w:val="20"/>
          <w:szCs w:val="20"/>
          <w:color w:val="auto"/>
        </w:rPr>
      </w:pPr>
    </w:p>
    <w:p>
      <w:pPr>
        <w:ind w:right="260" w:firstLine="357"/>
        <w:spacing w:after="0" w:line="242" w:lineRule="auto"/>
        <w:rPr>
          <w:sz w:val="20"/>
          <w:szCs w:val="20"/>
          <w:color w:val="auto"/>
        </w:rPr>
      </w:pPr>
      <w:r>
        <w:rPr>
          <w:rFonts w:ascii="Arial" w:cs="Arial" w:eastAsia="Arial" w:hAnsi="Arial"/>
          <w:sz w:val="19"/>
          <w:szCs w:val="19"/>
          <w:color w:val="auto"/>
        </w:rPr>
        <w:t>At the date of enactment, the Company had a deferred tax liability for the excess of its net book value over its tax basis of its U.S. assets and liabilities that will generate future taxable income in excess of book income. Due to the Tax Act, this additional taxable income will be subject to tax at a lower corporate tax rate, consequently reducing the Company’s deferred tax liability as of the date of enactment.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Mandatory Transition Tax</w:t>
      </w:r>
      <w:r>
        <w:rPr>
          <w:rFonts w:ascii="Arial" w:cs="Arial" w:eastAsia="Arial" w:hAnsi="Arial"/>
          <w:sz w:val="19"/>
          <w:szCs w:val="19"/>
          <w:color w:val="auto"/>
        </w:rPr>
        <w:t>—For the year ended December 31, 2017, we recorded a provisional tax charge of approximately</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$1.9 billion due to the imposition of the mandatory transition tax (“MTT”) on the deemed repatriation of undistributed foreign earnings.</w:t>
      </w:r>
    </w:p>
    <w:p>
      <w:pPr>
        <w:spacing w:after="0" w:line="106"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The Tax Act imposes a one-time tax on undistributed and previously untaxed post-1986 foreign earnings and profits (E&amp;P), as determined in accordance with U.S. tax principles, of certain foreign corporations owned by U.S. shareholders. In general, we have estimated $20 billion of E&amp;P related to our foreign affiliates that is subject to the MTT. The MTT is imposed at a rate of 15.5% to the extent of the cash and cash equivalents that are held by the foreign affiliates at certain testing dates; the remaining E&amp;P is taxed at a rate of 8.0%. In accordance with the Tax Act, the Company will elect to pay the MTT liability over a period of eight years, with the first installment of $144 million due in 2018; the remainder of the balance is recorded in Other liabilities (noncurrent). As of December 31, 2017, the Company has recorded a provisional amount because certain information related to the computation of E&amp;P is not readily available, some of the testing dates to determine taxable amounts have not yet occurred, and there is limited information from federal and state taxing authorities regarding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application and interpretation of the recently enacted legislation. The Company will disclose the impact to the provisional amount in the reporting period in which the accounting is completed, which will not exceed one year from the date of enactment of the Tax Act.</w:t>
      </w:r>
    </w:p>
    <w:p>
      <w:pPr>
        <w:spacing w:after="0" w:line="56" w:lineRule="exact"/>
        <w:rPr>
          <w:sz w:val="20"/>
          <w:szCs w:val="20"/>
          <w:color w:val="auto"/>
        </w:rPr>
      </w:pPr>
    </w:p>
    <w:p>
      <w:pPr>
        <w:ind w:right="260" w:firstLine="357"/>
        <w:spacing w:after="0" w:line="258" w:lineRule="auto"/>
        <w:rPr>
          <w:sz w:val="20"/>
          <w:szCs w:val="20"/>
          <w:color w:val="auto"/>
        </w:rPr>
      </w:pPr>
      <w:r>
        <w:rPr>
          <w:rFonts w:ascii="Arial" w:cs="Arial" w:eastAsia="Arial" w:hAnsi="Arial"/>
          <w:sz w:val="19"/>
          <w:szCs w:val="19"/>
          <w:b w:val="1"/>
          <w:bCs w:val="1"/>
          <w:i w:val="1"/>
          <w:iCs w:val="1"/>
          <w:color w:val="auto"/>
        </w:rPr>
        <w:t>Undistributed Foreign Earnings</w:t>
      </w:r>
      <w:r>
        <w:rPr>
          <w:rFonts w:ascii="Arial" w:cs="Arial" w:eastAsia="Arial" w:hAnsi="Arial"/>
          <w:sz w:val="19"/>
          <w:szCs w:val="19"/>
          <w:color w:val="auto"/>
        </w:rPr>
        <w:t>—For the year ended December 31, 2017, we recorded a provisional tax charge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approximately $2.1 billion due to the Company’s intent to no longer permanently reinvest the historical undistributed earnings of its foreign affiliates.</w:t>
      </w:r>
    </w:p>
    <w:p>
      <w:pPr>
        <w:spacing w:after="0" w:line="76" w:lineRule="exact"/>
        <w:rPr>
          <w:sz w:val="20"/>
          <w:szCs w:val="20"/>
          <w:color w:val="auto"/>
        </w:rPr>
      </w:pPr>
    </w:p>
    <w:p>
      <w:pPr>
        <w:ind w:right="40" w:firstLine="357"/>
        <w:spacing w:after="0" w:line="238" w:lineRule="auto"/>
        <w:rPr>
          <w:sz w:val="20"/>
          <w:szCs w:val="20"/>
          <w:color w:val="auto"/>
        </w:rPr>
      </w:pPr>
      <w:r>
        <w:rPr>
          <w:rFonts w:ascii="Arial" w:cs="Arial" w:eastAsia="Arial" w:hAnsi="Arial"/>
          <w:sz w:val="19"/>
          <w:szCs w:val="19"/>
          <w:color w:val="auto"/>
        </w:rPr>
        <w:t>We previously considered substantially all of the earnings in our non-U.S. subsidiaries to be permanently reinvested and, accordingly, recorded no deferred income taxes on such earnings. As a result of the fundamental changes to the taxation of multinational corporations created by the Tax Act, the Company no longer intends to permanently reinvest the historical undistributed earnings of its foreign affiliates, which amounted to approximately $20 billion as of December 31, 2017 (including current year earnings). GAAP requires recognition of a deferred tax liability in the reporting period in which its intent to no longer permanently reinvest its historical undistributed foreign earnings is made. Although no U.S. federal taxes will be imposed on such future distributions of foreign earnings, in many cases the cash transfer will be subject to foreign withholding and other local taxes. Accordingly, at December 31, 2017 the Company has included a provisional deferred tax liability, mostly related to non-U.S. withholding taxes. The Company has recorded a provisional amount because certain information related to the computation of E&amp;P, distributable reserves and foreign exchange gains and losses is not readily available. The Company will disclose the impact to the provisional amount in the reporting period in which the accounting is completed, which will not exceed one year from the date of enactment of the Tax Act. The provisional amount is based on the Company’s current legal ownership structure which may change in the future. Any future tax impacts resulting from changes to the legal ownership structure will not be considered changes to the provisional amount and will be recorded in the reporting period in which a plan to modify the legal structure is adopted, which may exceed one year from the date of enactment of the Tax Act.</w:t>
      </w:r>
    </w:p>
    <w:p>
      <w:pPr>
        <w:spacing w:after="0" w:line="75" w:lineRule="exact"/>
        <w:rPr>
          <w:sz w:val="20"/>
          <w:szCs w:val="20"/>
          <w:color w:val="auto"/>
        </w:rPr>
      </w:pPr>
    </w:p>
    <w:p>
      <w:pPr>
        <w:ind w:right="20" w:firstLine="357"/>
        <w:spacing w:after="0" w:line="245" w:lineRule="auto"/>
        <w:rPr>
          <w:sz w:val="20"/>
          <w:szCs w:val="20"/>
          <w:color w:val="auto"/>
        </w:rPr>
      </w:pPr>
      <w:r>
        <w:rPr>
          <w:rFonts w:ascii="Arial" w:cs="Arial" w:eastAsia="Arial" w:hAnsi="Arial"/>
          <w:sz w:val="19"/>
          <w:szCs w:val="19"/>
          <w:b w:val="1"/>
          <w:bCs w:val="1"/>
          <w:i w:val="1"/>
          <w:iCs w:val="1"/>
          <w:color w:val="auto"/>
        </w:rPr>
        <w:t>Global Intangible Low Taxed Income</w:t>
      </w:r>
      <w:r>
        <w:rPr>
          <w:rFonts w:ascii="Arial" w:cs="Arial" w:eastAsia="Arial" w:hAnsi="Arial"/>
          <w:sz w:val="19"/>
          <w:szCs w:val="19"/>
          <w:color w:val="auto"/>
        </w:rPr>
        <w:t>—In addition to the changes described above, the Tax Act imposes a U.S. tax on global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intangible low taxed income (“GILTI”) that is earned by certain foreign affiliates owned by a U.S. shareholder. The computation of GILTI is still subject to interpretation and additional clarifying guidance is expected, but is generally intended to impose tax on the earnings of a foreign corporation that are deemed to exceed a certain threshold return relative to the underlying business investment. In accordance with guidance issued by FASB, the Company has made a policy election to treat future taxes related to GILTI as a current period expense in the reporting period in which the tax is incurred.</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Earnings Per Share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earnings per share calculations for the years ended December 31, 2017, 2016 and 2015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vMerge w:val="restart"/>
          </w:tcPr>
          <w:p>
            <w:pPr>
              <w:spacing w:after="0"/>
              <w:rPr>
                <w:sz w:val="20"/>
                <w:szCs w:val="20"/>
                <w:color w:val="auto"/>
              </w:rPr>
            </w:pPr>
            <w:r>
              <w:rPr>
                <w:rFonts w:ascii="Arial" w:cs="Arial" w:eastAsia="Arial" w:hAnsi="Arial"/>
                <w:sz w:val="16"/>
                <w:szCs w:val="16"/>
                <w:b w:val="1"/>
                <w:bCs w:val="1"/>
                <w:color w:val="auto"/>
              </w:rPr>
              <w:t>Basic</w:t>
            </w:r>
          </w:p>
        </w:tc>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4440" w:type="dxa"/>
            <w:vAlign w:val="bottom"/>
            <w:tcBorders>
              <w:bottom w:val="single" w:sz="8" w:color="auto"/>
            </w:tcBorders>
            <w:vMerge w:val="continue"/>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0"/>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8"/>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42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4,768</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0"/>
                <w:szCs w:val="20"/>
                <w:color w:val="auto"/>
              </w:rPr>
            </w:pPr>
            <w:r>
              <w:rPr>
                <w:rFonts w:ascii="Arial" w:cs="Arial" w:eastAsia="Arial" w:hAnsi="Arial"/>
                <w:sz w:val="19"/>
                <w:szCs w:val="19"/>
                <w:color w:val="auto"/>
              </w:rPr>
              <w:t>Weighted average shares outstanding</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762.1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764.3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779.8</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Earnings per share of common stock</w:t>
            </w:r>
          </w:p>
        </w:tc>
        <w:tc>
          <w:tcPr>
            <w:tcW w:w="42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2.17</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6.11</w:t>
            </w:r>
          </w:p>
        </w:tc>
        <w:tc>
          <w:tcPr>
            <w:tcW w:w="0" w:type="dxa"/>
            <w:vAlign w:val="bottom"/>
          </w:tcPr>
          <w:p>
            <w:pPr>
              <w:spacing w:after="0"/>
              <w:rPr>
                <w:sz w:val="1"/>
                <w:szCs w:val="1"/>
                <w:color w:val="auto"/>
              </w:rPr>
            </w:pPr>
          </w:p>
        </w:tc>
      </w:tr>
      <w:tr>
        <w:trPr>
          <w:trHeight w:val="342"/>
        </w:trPr>
        <w:tc>
          <w:tcPr>
            <w:tcW w:w="4440" w:type="dxa"/>
            <w:vAlign w:val="bottom"/>
          </w:tcPr>
          <w:p>
            <w:pPr>
              <w:spacing w:after="0"/>
              <w:rPr>
                <w:sz w:val="24"/>
                <w:szCs w:val="24"/>
                <w:color w:val="auto"/>
              </w:rPr>
            </w:pPr>
          </w:p>
        </w:tc>
        <w:tc>
          <w:tcPr>
            <w:tcW w:w="3840" w:type="dxa"/>
            <w:vAlign w:val="bottom"/>
          </w:tcPr>
          <w:p>
            <w:pPr>
              <w:jc w:val="right"/>
              <w:ind w:right="2363"/>
              <w:spacing w:after="0"/>
              <w:rPr>
                <w:sz w:val="20"/>
                <w:szCs w:val="20"/>
                <w:color w:val="auto"/>
              </w:rPr>
            </w:pPr>
            <w:r>
              <w:rPr>
                <w:rFonts w:ascii="Arial" w:cs="Arial" w:eastAsia="Arial" w:hAnsi="Arial"/>
                <w:sz w:val="19"/>
                <w:szCs w:val="19"/>
                <w:color w:val="auto"/>
              </w:rPr>
              <w:t>54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vMerge w:val="restart"/>
          </w:tcPr>
          <w:p>
            <w:pPr>
              <w:spacing w:after="0"/>
              <w:rPr>
                <w:sz w:val="20"/>
                <w:szCs w:val="20"/>
                <w:color w:val="auto"/>
              </w:rPr>
            </w:pPr>
            <w:r>
              <w:rPr>
                <w:rFonts w:ascii="Arial" w:cs="Arial" w:eastAsia="Arial" w:hAnsi="Arial"/>
                <w:sz w:val="16"/>
                <w:szCs w:val="16"/>
                <w:b w:val="1"/>
                <w:bCs w:val="1"/>
                <w:color w:val="auto"/>
              </w:rPr>
              <w:t>Assuming Dilution</w:t>
            </w:r>
          </w:p>
        </w:tc>
        <w:tc>
          <w:tcPr>
            <w:tcW w:w="300" w:type="dxa"/>
            <w:vAlign w:val="bottom"/>
          </w:tcPr>
          <w:p>
            <w:pPr>
              <w:spacing w:after="0"/>
              <w:rPr>
                <w:sz w:val="16"/>
                <w:szCs w:val="16"/>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4,768</w:t>
            </w:r>
          </w:p>
        </w:tc>
      </w:tr>
      <w:tr>
        <w:trPr>
          <w:trHeight w:val="162"/>
        </w:trPr>
        <w:tc>
          <w:tcPr>
            <w:tcW w:w="120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7"/>
              </w:rPr>
              <w:t>Average Shares</w:t>
            </w: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37"/>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Weighted average shares outstanding</w:t>
            </w:r>
          </w:p>
        </w:tc>
        <w:tc>
          <w:tcPr>
            <w:tcW w:w="160" w:type="dxa"/>
            <w:vAlign w:val="bottom"/>
            <w:shd w:val="clear" w:color="auto" w:fill="E5FFFF"/>
          </w:tcPr>
          <w:p>
            <w:pPr>
              <w:spacing w:after="0"/>
              <w:rPr>
                <w:sz w:val="20"/>
                <w:szCs w:val="20"/>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762.1</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764.3</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779.8</w:t>
            </w:r>
          </w:p>
        </w:tc>
      </w:tr>
      <w:tr>
        <w:trPr>
          <w:trHeight w:val="250"/>
        </w:trPr>
        <w:tc>
          <w:tcPr>
            <w:tcW w:w="8580" w:type="dxa"/>
            <w:vAlign w:val="bottom"/>
            <w:gridSpan w:val="2"/>
          </w:tcPr>
          <w:p>
            <w:pPr>
              <w:spacing w:after="0"/>
              <w:rPr>
                <w:sz w:val="20"/>
                <w:szCs w:val="20"/>
                <w:color w:val="auto"/>
              </w:rPr>
            </w:pPr>
            <w:r>
              <w:rPr>
                <w:rFonts w:ascii="Arial" w:cs="Arial" w:eastAsia="Arial" w:hAnsi="Arial"/>
                <w:sz w:val="19"/>
                <w:szCs w:val="19"/>
                <w:color w:val="auto"/>
              </w:rPr>
              <w:t>Dilutive securities issuable—stock plans</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w:t>
            </w:r>
          </w:p>
        </w:tc>
      </w:tr>
      <w:tr>
        <w:trPr>
          <w:trHeight w:val="243"/>
        </w:trPr>
        <w:tc>
          <w:tcPr>
            <w:tcW w:w="85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 weighted average diluted shares outstanding</w:t>
            </w: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772.1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775.3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789.3</w:t>
            </w:r>
          </w:p>
        </w:tc>
      </w:tr>
      <w:tr>
        <w:trPr>
          <w:trHeight w:val="20"/>
        </w:trPr>
        <w:tc>
          <w:tcPr>
            <w:tcW w:w="12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55"/>
        </w:trPr>
        <w:tc>
          <w:tcPr>
            <w:tcW w:w="8580" w:type="dxa"/>
            <w:vAlign w:val="bottom"/>
            <w:gridSpan w:val="2"/>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2.14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6.20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6.04</w:t>
            </w:r>
          </w:p>
        </w:tc>
      </w:tr>
    </w:tbl>
    <w:p>
      <w:pPr>
        <w:spacing w:after="0" w:line="91"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The diluted earnings per share calculations exclude the effect of stock options when the options’ assumed proceeds exceed the average market price of the common shares during the period. In 2017, 2016, and 2015 the weighted number of stock options excluded from the computations were 2.8 million, 7.5 million, and 7.1 million. These stock options were outstanding at the end of each of the respective periods.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Accounts Receivable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480" w:type="dxa"/>
            <w:vAlign w:val="bottom"/>
          </w:tcPr>
          <w:p>
            <w:pPr>
              <w:spacing w:after="0"/>
              <w:rPr>
                <w:sz w:val="14"/>
                <w:szCs w:val="14"/>
                <w:color w:val="auto"/>
              </w:rPr>
            </w:pPr>
          </w:p>
        </w:tc>
        <w:tc>
          <w:tcPr>
            <w:tcW w:w="80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Trade</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$ 9,068</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$ 8,449</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Less—Allowance for doubtful accounts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(202)</w:t>
            </w:r>
          </w:p>
        </w:tc>
        <w:tc>
          <w:tcPr>
            <w:tcW w:w="30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(272)</w:t>
            </w:r>
          </w:p>
        </w:tc>
      </w:tr>
      <w:tr>
        <w:trPr>
          <w:trHeight w:val="243"/>
        </w:trPr>
        <w:tc>
          <w:tcPr>
            <w:tcW w:w="84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8,866</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8,177</w:t>
            </w:r>
          </w:p>
        </w:tc>
      </w:tr>
      <w:tr>
        <w:trPr>
          <w:trHeight w:val="20"/>
        </w:trPr>
        <w:tc>
          <w:tcPr>
            <w:tcW w:w="8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Trade Receivables includes $1,853 million and $1,626 million of unbilled balances under long-term contracts as of December 31, 2017 and December 31, 2016. These amounts are billed in accordance with the terms of customer contracts to which they relate.</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Inventories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92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480" w:type="dxa"/>
            <w:vAlign w:val="bottom"/>
          </w:tcPr>
          <w:p>
            <w:pPr>
              <w:spacing w:after="0"/>
              <w:rPr>
                <w:sz w:val="14"/>
                <w:szCs w:val="14"/>
                <w:color w:val="auto"/>
              </w:rPr>
            </w:pPr>
          </w:p>
        </w:tc>
        <w:tc>
          <w:tcPr>
            <w:tcW w:w="80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Raw materials</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$ 1,193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1,104</w:t>
            </w:r>
          </w:p>
        </w:tc>
      </w:tr>
      <w:tr>
        <w:trPr>
          <w:trHeight w:val="243"/>
        </w:trPr>
        <w:tc>
          <w:tcPr>
            <w:tcW w:w="8480" w:type="dxa"/>
            <w:vAlign w:val="bottom"/>
          </w:tcPr>
          <w:p>
            <w:pPr>
              <w:spacing w:after="0"/>
              <w:rPr>
                <w:sz w:val="20"/>
                <w:szCs w:val="20"/>
                <w:color w:val="auto"/>
              </w:rPr>
            </w:pPr>
            <w:r>
              <w:rPr>
                <w:rFonts w:ascii="Arial" w:cs="Arial" w:eastAsia="Arial" w:hAnsi="Arial"/>
                <w:sz w:val="19"/>
                <w:szCs w:val="19"/>
                <w:color w:val="auto"/>
              </w:rPr>
              <w:t>Work in process</w:t>
            </w:r>
          </w:p>
        </w:tc>
        <w:tc>
          <w:tcPr>
            <w:tcW w:w="800" w:type="dxa"/>
            <w:vAlign w:val="bottom"/>
          </w:tcPr>
          <w:p>
            <w:pPr>
              <w:jc w:val="right"/>
              <w:spacing w:after="0"/>
              <w:rPr>
                <w:sz w:val="20"/>
                <w:szCs w:val="20"/>
                <w:color w:val="auto"/>
              </w:rPr>
            </w:pPr>
            <w:r>
              <w:rPr>
                <w:rFonts w:ascii="Arial" w:cs="Arial" w:eastAsia="Arial" w:hAnsi="Arial"/>
                <w:sz w:val="19"/>
                <w:szCs w:val="19"/>
                <w:color w:val="auto"/>
              </w:rPr>
              <w:t>790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775</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Finished products</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2,669</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2,552</w:t>
            </w:r>
          </w:p>
        </w:tc>
      </w:tr>
      <w:tr>
        <w:trPr>
          <w:trHeight w:val="250"/>
        </w:trPr>
        <w:tc>
          <w:tcPr>
            <w:tcW w:w="8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4,652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4,431</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Reduction to LIFO cost basis</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(65)</w:t>
            </w:r>
          </w:p>
        </w:tc>
      </w:tr>
      <w:tr>
        <w:trPr>
          <w:trHeight w:val="250"/>
        </w:trPr>
        <w:tc>
          <w:tcPr>
            <w:tcW w:w="8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$ 4,613</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4,366</w:t>
            </w:r>
          </w:p>
        </w:tc>
      </w:tr>
      <w:tr>
        <w:trPr>
          <w:trHeight w:val="20"/>
        </w:trPr>
        <w:tc>
          <w:tcPr>
            <w:tcW w:w="8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220" w:firstLine="357"/>
        <w:spacing w:after="0" w:line="245" w:lineRule="auto"/>
        <w:rPr>
          <w:sz w:val="20"/>
          <w:szCs w:val="20"/>
          <w:color w:val="auto"/>
        </w:rPr>
      </w:pPr>
      <w:r>
        <w:rPr>
          <w:rFonts w:ascii="Arial" w:cs="Arial" w:eastAsia="Arial" w:hAnsi="Arial"/>
          <w:sz w:val="19"/>
          <w:szCs w:val="19"/>
          <w:color w:val="auto"/>
        </w:rPr>
        <w:t>Inventories valued at LIFO amounted to $ 324 million and $296 million at December 31, 2017 and 2016. Had such LIFO inventories been valued at current costs, their carrying values would have been approximately $39 million and $65 million higher at December 31, 2017 and 2016.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Property, Plant and Equipment—Net</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Land and improvements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287</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363</w:t>
            </w:r>
          </w:p>
        </w:tc>
      </w:tr>
      <w:tr>
        <w:trPr>
          <w:trHeight w:val="243"/>
        </w:trPr>
        <w:tc>
          <w:tcPr>
            <w:tcW w:w="8240" w:type="dxa"/>
            <w:vAlign w:val="bottom"/>
          </w:tcPr>
          <w:p>
            <w:pPr>
              <w:spacing w:after="0"/>
              <w:rPr>
                <w:sz w:val="20"/>
                <w:szCs w:val="20"/>
                <w:color w:val="auto"/>
              </w:rPr>
            </w:pPr>
            <w:r>
              <w:rPr>
                <w:rFonts w:ascii="Arial" w:cs="Arial" w:eastAsia="Arial" w:hAnsi="Arial"/>
                <w:sz w:val="19"/>
                <w:szCs w:val="19"/>
                <w:color w:val="auto"/>
              </w:rPr>
              <w:t>Machinery and equipment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10,762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
              <w:spacing w:after="0"/>
              <w:rPr>
                <w:sz w:val="20"/>
                <w:szCs w:val="20"/>
                <w:color w:val="auto"/>
              </w:rPr>
            </w:pPr>
            <w:r>
              <w:rPr>
                <w:rFonts w:ascii="Arial" w:cs="Arial" w:eastAsia="Arial" w:hAnsi="Arial"/>
                <w:sz w:val="19"/>
                <w:szCs w:val="19"/>
                <w:color w:val="auto"/>
              </w:rPr>
              <w:t>9,956</w:t>
            </w:r>
          </w:p>
        </w:tc>
      </w:tr>
      <w:tr>
        <w:trPr>
          <w:trHeight w:val="243"/>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Buildings and improvements</w:t>
            </w: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3,463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3,248</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Construction in progress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675</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940</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15,187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14,507</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Less—Accumulated depreciation</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(9,261)</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(8,714)</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5,926</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5,793</w:t>
            </w:r>
          </w:p>
        </w:tc>
      </w:tr>
      <w:tr>
        <w:trPr>
          <w:trHeight w:val="20"/>
        </w:trPr>
        <w:tc>
          <w:tcPr>
            <w:tcW w:w="8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Depreciation expense was $717 million, $726 million and $672 million in 2017, 2016 and 2015.</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Goodwill and Other Intangible Assets—Net</w:t>
      </w:r>
    </w:p>
    <w:p>
      <w:pPr>
        <w:spacing w:after="0" w:line="116" w:lineRule="exact"/>
        <w:rPr>
          <w:sz w:val="20"/>
          <w:szCs w:val="20"/>
          <w:color w:val="auto"/>
        </w:rPr>
      </w:pPr>
    </w:p>
    <w:p>
      <w:pPr>
        <w:ind w:right="40" w:firstLine="357"/>
        <w:spacing w:after="0" w:line="247" w:lineRule="auto"/>
        <w:rPr>
          <w:sz w:val="20"/>
          <w:szCs w:val="20"/>
          <w:color w:val="auto"/>
        </w:rPr>
      </w:pPr>
      <w:r>
        <w:rPr>
          <w:rFonts w:ascii="Arial" w:cs="Arial" w:eastAsia="Arial" w:hAnsi="Arial"/>
          <w:sz w:val="19"/>
          <w:szCs w:val="19"/>
          <w:color w:val="auto"/>
        </w:rPr>
        <w:t>The following table summarizes the change in the carrying amount of goodwill for the years ended December 31, 2017 and 2016 by segment. Certain prior period balances have been recast due to a business realignment; Refer to Note 21 Segment Financial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80"/>
              <w:spacing w:after="0" w:line="176" w:lineRule="exact"/>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5"/>
          </w:tcPr>
          <w:p>
            <w:pPr>
              <w:jc w:val="right"/>
              <w:ind w:right="420"/>
              <w:spacing w:after="0" w:line="176" w:lineRule="exact"/>
              <w:rPr>
                <w:sz w:val="20"/>
                <w:szCs w:val="20"/>
                <w:color w:val="auto"/>
              </w:rPr>
            </w:pPr>
            <w:r>
              <w:rPr>
                <w:rFonts w:ascii="Arial" w:cs="Arial" w:eastAsia="Arial" w:hAnsi="Arial"/>
                <w:sz w:val="16"/>
                <w:szCs w:val="16"/>
                <w:b w:val="1"/>
                <w:bCs w:val="1"/>
                <w:color w:val="auto"/>
              </w:rPr>
              <w:t>Acquisitions/</w:t>
            </w:r>
          </w:p>
        </w:tc>
        <w:tc>
          <w:tcPr>
            <w:tcW w:w="20" w:type="dxa"/>
            <w:vAlign w:val="bottom"/>
          </w:tcPr>
          <w:p>
            <w:pPr>
              <w:spacing w:after="0"/>
              <w:rPr>
                <w:sz w:val="15"/>
                <w:szCs w:val="15"/>
                <w:color w:val="auto"/>
              </w:rPr>
            </w:pPr>
          </w:p>
        </w:tc>
        <w:tc>
          <w:tcPr>
            <w:tcW w:w="100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7"/>
              </w:rPr>
              <w:t>Translation</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right"/>
              <w:ind w:right="66"/>
              <w:spacing w:after="0" w:line="176" w:lineRule="exact"/>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6"/>
                <w:szCs w:val="16"/>
                <w:b w:val="1"/>
                <w:bCs w:val="1"/>
                <w:color w:val="auto"/>
              </w:rPr>
              <w:t>Divestitures</w:t>
            </w: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420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14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2,441</w:t>
            </w:r>
          </w:p>
        </w:tc>
        <w:tc>
          <w:tcPr>
            <w:tcW w:w="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2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360" w:type="dxa"/>
            <w:vAlign w:val="bottom"/>
            <w:shd w:val="clear" w:color="auto" w:fill="E5FFFF"/>
          </w:tcPr>
          <w:p>
            <w:pPr>
              <w:jc w:val="right"/>
              <w:ind w:right="105"/>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w w:val="94"/>
              </w:rPr>
              <w:t>$</w:t>
            </w:r>
          </w:p>
        </w:tc>
        <w:tc>
          <w:tcPr>
            <w:tcW w:w="120" w:type="dxa"/>
            <w:vAlign w:val="bottom"/>
            <w:shd w:val="clear" w:color="auto" w:fill="E5FFFF"/>
          </w:tcPr>
          <w:p>
            <w:pPr>
              <w:spacing w:after="0"/>
              <w:rPr>
                <w:sz w:val="20"/>
                <w:szCs w:val="20"/>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w:t>
            </w:r>
          </w:p>
        </w:tc>
        <w:tc>
          <w:tcPr>
            <w:tcW w:w="50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2,468</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9"/>
                <w:szCs w:val="19"/>
                <w:color w:val="auto"/>
              </w:rPr>
              <w:t>Home and Building Technologies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9"/>
                <w:szCs w:val="19"/>
                <w:color w:val="auto"/>
              </w:rPr>
              <w:t>5,807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3"/>
          </w:tcPr>
          <w:p>
            <w:pPr>
              <w:jc w:val="right"/>
              <w:ind w:right="25"/>
              <w:spacing w:after="0"/>
              <w:rPr>
                <w:sz w:val="20"/>
                <w:szCs w:val="20"/>
                <w:color w:val="auto"/>
              </w:rPr>
            </w:pPr>
            <w:r>
              <w:rPr>
                <w:rFonts w:ascii="Arial" w:cs="Arial" w:eastAsia="Arial" w:hAnsi="Arial"/>
                <w:sz w:val="19"/>
                <w:szCs w:val="19"/>
                <w:color w:val="auto"/>
              </w:rPr>
              <w:t>(32)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185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6"/>
              <w:spacing w:after="0"/>
              <w:rPr>
                <w:sz w:val="20"/>
                <w:szCs w:val="20"/>
                <w:color w:val="auto"/>
              </w:rPr>
            </w:pPr>
            <w:r>
              <w:rPr>
                <w:rFonts w:ascii="Arial" w:cs="Arial" w:eastAsia="Arial" w:hAnsi="Arial"/>
                <w:sz w:val="19"/>
                <w:szCs w:val="19"/>
                <w:color w:val="auto"/>
              </w:rPr>
              <w:t>5,960</w:t>
            </w: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4,924</w:t>
            </w: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105"/>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284</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5,242</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9"/>
                <w:szCs w:val="19"/>
                <w:color w:val="auto"/>
              </w:rPr>
              <w:t>Safety and Productivity Solutions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4,535</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w w:val="94"/>
              </w:rPr>
              <w:t>(8)</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w:t>
            </w:r>
          </w:p>
        </w:tc>
        <w:tc>
          <w:tcPr>
            <w:tcW w:w="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4,607</w:t>
            </w: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0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17,707</w:t>
            </w: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w w:val="94"/>
              </w:rPr>
              <w:t>(4)</w:t>
            </w:r>
          </w:p>
        </w:tc>
        <w:tc>
          <w:tcPr>
            <w:tcW w:w="30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w w:val="94"/>
              </w:rPr>
              <w:t>$</w:t>
            </w: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574</w:t>
            </w:r>
          </w:p>
        </w:tc>
        <w:tc>
          <w:tcPr>
            <w:tcW w:w="50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18,277</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360"/>
              <w:spacing w:after="0"/>
              <w:rPr>
                <w:sz w:val="20"/>
                <w:szCs w:val="20"/>
                <w:color w:val="auto"/>
              </w:rPr>
            </w:pPr>
            <w:r>
              <w:rPr>
                <w:rFonts w:ascii="Arial" w:cs="Arial" w:eastAsia="Arial" w:hAnsi="Arial"/>
                <w:sz w:val="19"/>
                <w:szCs w:val="19"/>
                <w:color w:val="auto"/>
              </w:rPr>
              <w:t>Other intangible assets are comprised of:</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gridSpan w:val="5"/>
            <w:vMerge w:val="restart"/>
          </w:tcPr>
          <w:p>
            <w:pPr>
              <w:jc w:val="center"/>
              <w:spacing w:after="0"/>
              <w:rPr>
                <w:sz w:val="20"/>
                <w:szCs w:val="20"/>
                <w:color w:val="auto"/>
              </w:rPr>
            </w:pPr>
            <w:r>
              <w:rPr>
                <w:rFonts w:ascii="Arial" w:cs="Arial" w:eastAsia="Arial" w:hAnsi="Arial"/>
                <w:sz w:val="16"/>
                <w:szCs w:val="16"/>
                <w:b w:val="1"/>
                <w:bCs w:val="1"/>
                <w:color w:val="auto"/>
                <w:w w:val="98"/>
              </w:rPr>
              <w:t>December 31, 2017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9"/>
            <w:vMerge w:val="restart"/>
          </w:tcPr>
          <w:p>
            <w:pPr>
              <w:jc w:val="center"/>
              <w:ind w:right="1"/>
              <w:spacing w:after="0"/>
              <w:rPr>
                <w:sz w:val="20"/>
                <w:szCs w:val="20"/>
                <w:color w:val="auto"/>
              </w:rPr>
            </w:pPr>
            <w:r>
              <w:rPr>
                <w:rFonts w:ascii="Arial" w:cs="Arial" w:eastAsia="Arial" w:hAnsi="Arial"/>
                <w:sz w:val="16"/>
                <w:szCs w:val="16"/>
                <w:b w:val="1"/>
                <w:bCs w:val="1"/>
                <w:color w:val="auto"/>
                <w:w w:val="98"/>
              </w:rPr>
              <w:t>December 31, 2016</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9"/>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65"/>
              <w:spacing w:after="0" w:line="155"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center"/>
              <w:ind w:right="121"/>
              <w:spacing w:after="0" w:line="155" w:lineRule="exact"/>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6"/>
              <w:spacing w:after="0" w:line="155" w:lineRule="exact"/>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1540" w:type="dxa"/>
            <w:vAlign w:val="bottom"/>
            <w:gridSpan w:val="4"/>
          </w:tcPr>
          <w:p>
            <w:pPr>
              <w:jc w:val="center"/>
              <w:ind w:right="30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40" w:type="dxa"/>
            <w:vAlign w:val="bottom"/>
          </w:tcPr>
          <w:p>
            <w:pPr>
              <w:spacing w:after="0"/>
              <w:rPr>
                <w:sz w:val="15"/>
                <w:szCs w:val="15"/>
                <w:color w:val="auto"/>
              </w:rPr>
            </w:pPr>
          </w:p>
        </w:tc>
        <w:tc>
          <w:tcPr>
            <w:tcW w:w="7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80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8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8"/>
              </w:rPr>
              <w:t>Amortization</w:t>
            </w:r>
          </w:p>
        </w:tc>
        <w:tc>
          <w:tcPr>
            <w:tcW w:w="40" w:type="dxa"/>
            <w:vAlign w:val="bottom"/>
          </w:tcPr>
          <w:p>
            <w:pPr>
              <w:spacing w:after="0"/>
              <w:rPr>
                <w:sz w:val="16"/>
                <w:szCs w:val="16"/>
                <w:color w:val="auto"/>
              </w:rPr>
            </w:pPr>
          </w:p>
        </w:tc>
        <w:tc>
          <w:tcPr>
            <w:tcW w:w="7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8"/>
              </w:rPr>
              <w:t>Amortization</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26"/>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42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Determinable life intangibles:</w:t>
            </w: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Patents and technology</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1,990</w:t>
            </w:r>
          </w:p>
        </w:tc>
        <w:tc>
          <w:tcPr>
            <w:tcW w:w="580" w:type="dxa"/>
            <w:vAlign w:val="bottom"/>
            <w:gridSpan w:val="2"/>
          </w:tcPr>
          <w:p>
            <w:pPr>
              <w:jc w:val="right"/>
              <w:ind w:right="81"/>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(1,272)</w:t>
            </w:r>
          </w:p>
        </w:tc>
        <w:tc>
          <w:tcPr>
            <w:tcW w:w="3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gridSpan w:val="2"/>
          </w:tcPr>
          <w:p>
            <w:pPr>
              <w:jc w:val="right"/>
              <w:spacing w:after="0"/>
              <w:rPr>
                <w:sz w:val="20"/>
                <w:szCs w:val="20"/>
                <w:color w:val="auto"/>
              </w:rPr>
            </w:pPr>
            <w:r>
              <w:rPr>
                <w:rFonts w:ascii="Arial" w:cs="Arial" w:eastAsia="Arial" w:hAnsi="Arial"/>
                <w:sz w:val="19"/>
                <w:szCs w:val="19"/>
                <w:color w:val="auto"/>
              </w:rPr>
              <w:t>718</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9"/>
                <w:szCs w:val="19"/>
                <w:color w:val="auto"/>
              </w:rPr>
              <w:t>1,841</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4"/>
          </w:tcPr>
          <w:p>
            <w:pPr>
              <w:jc w:val="right"/>
              <w:spacing w:after="0"/>
              <w:rPr>
                <w:sz w:val="20"/>
                <w:szCs w:val="20"/>
                <w:color w:val="auto"/>
              </w:rPr>
            </w:pPr>
            <w:r>
              <w:rPr>
                <w:rFonts w:ascii="Arial" w:cs="Arial" w:eastAsia="Arial" w:hAnsi="Arial"/>
                <w:sz w:val="19"/>
                <w:szCs w:val="19"/>
                <w:color w:val="auto"/>
              </w:rPr>
              <w:t>(1,141)</w:t>
            </w:r>
          </w:p>
        </w:tc>
        <w:tc>
          <w:tcPr>
            <w:tcW w:w="480" w:type="dxa"/>
            <w:vAlign w:val="bottom"/>
            <w:gridSpan w:val="3"/>
          </w:tcPr>
          <w:p>
            <w:pPr>
              <w:ind w:left="380"/>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700</w:t>
            </w: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Customer relationships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3,911</w:t>
            </w:r>
          </w:p>
        </w:tc>
        <w:tc>
          <w:tcPr>
            <w:tcW w:w="2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(1,366)</w:t>
            </w: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2,545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3,816</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(1,098)</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2,718</w:t>
            </w:r>
          </w:p>
        </w:tc>
        <w:tc>
          <w:tcPr>
            <w:tcW w:w="0" w:type="dxa"/>
            <w:vAlign w:val="bottom"/>
          </w:tcPr>
          <w:p>
            <w:pPr>
              <w:spacing w:after="0"/>
              <w:rPr>
                <w:sz w:val="1"/>
                <w:szCs w:val="1"/>
                <w:color w:val="auto"/>
              </w:rPr>
            </w:pP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328</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(189)</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9"/>
                <w:szCs w:val="19"/>
                <w:color w:val="auto"/>
              </w:rPr>
              <w:t>139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9"/>
                <w:szCs w:val="19"/>
                <w:color w:val="auto"/>
              </w:rPr>
              <w:t>284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9"/>
                <w:szCs w:val="19"/>
                <w:color w:val="auto"/>
              </w:rPr>
              <w:t>(156)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280" w:type="dxa"/>
            <w:vAlign w:val="bottom"/>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(304)</w:t>
            </w:r>
          </w:p>
        </w:tc>
        <w:tc>
          <w:tcPr>
            <w:tcW w:w="30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359</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(284)</w:t>
            </w:r>
          </w:p>
        </w:tc>
        <w:tc>
          <w:tcPr>
            <w:tcW w:w="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6,582</w:t>
            </w:r>
          </w:p>
        </w:tc>
        <w:tc>
          <w:tcPr>
            <w:tcW w:w="2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(3,131)</w:t>
            </w:r>
          </w:p>
        </w:tc>
        <w:tc>
          <w:tcPr>
            <w:tcW w:w="3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3,451</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6,300</w:t>
            </w:r>
          </w:p>
        </w:tc>
        <w:tc>
          <w:tcPr>
            <w:tcW w:w="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(2,679)</w:t>
            </w:r>
          </w:p>
        </w:tc>
        <w:tc>
          <w:tcPr>
            <w:tcW w:w="6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3,621</w:t>
            </w:r>
          </w:p>
        </w:tc>
        <w:tc>
          <w:tcPr>
            <w:tcW w:w="0" w:type="dxa"/>
            <w:vAlign w:val="bottom"/>
          </w:tcPr>
          <w:p>
            <w:pPr>
              <w:spacing w:after="0"/>
              <w:rPr>
                <w:sz w:val="1"/>
                <w:szCs w:val="1"/>
                <w:color w:val="auto"/>
              </w:rPr>
            </w:pPr>
          </w:p>
        </w:tc>
      </w:tr>
      <w:tr>
        <w:trPr>
          <w:trHeight w:val="216"/>
        </w:trPr>
        <w:tc>
          <w:tcPr>
            <w:tcW w:w="42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Indefinite life intangibles:</w:t>
            </w: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1,045</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1,045</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rPr>
              <w:t>1,013</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1,013</w:t>
            </w:r>
          </w:p>
        </w:tc>
        <w:tc>
          <w:tcPr>
            <w:tcW w:w="0" w:type="dxa"/>
            <w:vAlign w:val="bottom"/>
          </w:tcPr>
          <w:p>
            <w:pPr>
              <w:spacing w:after="0"/>
              <w:rPr>
                <w:sz w:val="1"/>
                <w:szCs w:val="1"/>
                <w:color w:val="auto"/>
              </w:rPr>
            </w:pPr>
          </w:p>
        </w:tc>
      </w:tr>
      <w:tr>
        <w:trPr>
          <w:trHeight w:val="243"/>
        </w:trPr>
        <w:tc>
          <w:tcPr>
            <w:tcW w:w="42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7,627</w:t>
            </w:r>
          </w:p>
        </w:tc>
        <w:tc>
          <w:tcPr>
            <w:tcW w:w="58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(3,131)</w:t>
            </w:r>
          </w:p>
        </w:tc>
        <w:tc>
          <w:tcPr>
            <w:tcW w:w="300" w:type="dxa"/>
            <w:vAlign w:val="bottom"/>
            <w:shd w:val="clear" w:color="auto" w:fill="E5FFFF"/>
          </w:tcPr>
          <w:p>
            <w:pPr>
              <w:spacing w:after="0"/>
              <w:rPr>
                <w:sz w:val="21"/>
                <w:szCs w:val="21"/>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4,496</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7,313</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(2,679)</w:t>
            </w:r>
          </w:p>
        </w:tc>
        <w:tc>
          <w:tcPr>
            <w:tcW w:w="480" w:type="dxa"/>
            <w:vAlign w:val="bottom"/>
            <w:gridSpan w:val="3"/>
            <w:shd w:val="clear" w:color="auto" w:fill="E5FFFF"/>
          </w:tcPr>
          <w:p>
            <w:pPr>
              <w:ind w:left="380"/>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4,634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200" w:firstLine="357"/>
        <w:spacing w:after="0" w:line="245" w:lineRule="auto"/>
        <w:rPr>
          <w:sz w:val="20"/>
          <w:szCs w:val="20"/>
          <w:color w:val="auto"/>
        </w:rPr>
      </w:pPr>
      <w:r>
        <w:rPr>
          <w:rFonts w:ascii="Arial" w:cs="Arial" w:eastAsia="Arial" w:hAnsi="Arial"/>
          <w:sz w:val="19"/>
          <w:szCs w:val="19"/>
          <w:color w:val="auto"/>
        </w:rPr>
        <w:t>Intangible assets amortization expense was $398 million, $304 million, and $211 million in 2017, 2016, 2015. Estimated intangible asset amortization expense for each of the next five years approximates $403 million in 2018, $399 million in 2019, $359 million in 2020, $319 million in 2021, and $293 million in 2022.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Accrued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4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Customer advances and deferred income</w:t>
            </w:r>
          </w:p>
        </w:tc>
        <w:tc>
          <w:tcPr>
            <w:tcW w:w="200" w:type="dxa"/>
            <w:vAlign w:val="bottom"/>
            <w:shd w:val="clear" w:color="auto" w:fill="E5FFFF"/>
          </w:tcPr>
          <w:p>
            <w:pPr>
              <w:spacing w:after="0"/>
              <w:rPr>
                <w:sz w:val="20"/>
                <w:szCs w:val="20"/>
                <w:color w:val="auto"/>
              </w:rPr>
            </w:pPr>
          </w:p>
        </w:tc>
        <w:tc>
          <w:tcPr>
            <w:tcW w:w="280" w:type="dxa"/>
            <w:vAlign w:val="bottom"/>
            <w:gridSpan w:val="2"/>
            <w:shd w:val="clear" w:color="auto" w:fill="E5FFFF"/>
          </w:tcPr>
          <w:p>
            <w:pPr>
              <w:ind w:left="12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2,198</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2,151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Compensation, benefit and other employee related</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1,420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1,489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350</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Repositioning</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508</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322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Product warranties and performance guarantees</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307</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Environmental costs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226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252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Income taxes</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134</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Accrued interest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94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Other taxes</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277</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Insurance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199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Other (primarily operating expenses)</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1,255</w:t>
            </w: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9"/>
                <w:szCs w:val="19"/>
                <w:color w:val="auto"/>
              </w:rPr>
              <w:t>6,968</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7,048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jc w:val="right"/>
              <w:ind w:right="4503"/>
              <w:spacing w:after="0"/>
              <w:rPr>
                <w:sz w:val="20"/>
                <w:szCs w:val="20"/>
                <w:color w:val="auto"/>
              </w:rPr>
            </w:pPr>
            <w:r>
              <w:rPr>
                <w:rFonts w:ascii="Arial" w:cs="Arial" w:eastAsia="Arial" w:hAnsi="Arial"/>
                <w:sz w:val="19"/>
                <w:szCs w:val="19"/>
                <w:b w:val="1"/>
                <w:bCs w:val="1"/>
                <w:color w:val="auto"/>
              </w:rPr>
              <w:t>Note 12. Long-term Debt and Credit Agreements</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9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6"/>
            <w:vMerge w:val="restart"/>
          </w:tcPr>
          <w:p>
            <w:pPr>
              <w:jc w:val="right"/>
              <w:ind w:right="50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00"/>
              <w:spacing w:after="0" w:line="169" w:lineRule="exact"/>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4"/>
              <w:spacing w:after="0" w:line="169" w:lineRule="exact"/>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Two year floating rate Euro notes due 2018</w:t>
            </w: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1,199</w:t>
            </w:r>
          </w:p>
        </w:tc>
        <w:tc>
          <w:tcPr>
            <w:tcW w:w="14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1.40% notes due 2019</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1,250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1,250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Three year floating rate notes due 2019</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Two year floating rate notes due 2019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450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1.80% notes due 2019</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0.65% Euro notes due 2020</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1,199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1,054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4.25% notes due 2021</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800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1.85% notes due 2021</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1,500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1,500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1.30% Euro notes due 2023</w:t>
            </w:r>
          </w:p>
        </w:tc>
        <w:tc>
          <w:tcPr>
            <w:tcW w:w="20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1,499</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1,317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3.35% notes due 2023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300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300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2.50% notes due 2026</w:t>
            </w:r>
          </w:p>
        </w:tc>
        <w:tc>
          <w:tcPr>
            <w:tcW w:w="20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1,500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2.25% Euro notes due 2028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900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790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5.70% notes due 2036</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441</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5.70% notes due 2037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462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5.375% notes due 2041</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417</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3.812% notes due 2047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445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Industrial development bond obligations, floating rate maturing at various dates through 2037</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6.625% debentures due 2028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201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4"/>
              <w:spacing w:after="0"/>
              <w:rPr>
                <w:sz w:val="20"/>
                <w:szCs w:val="20"/>
                <w:color w:val="auto"/>
              </w:rPr>
            </w:pPr>
            <w:r>
              <w:rPr>
                <w:rFonts w:ascii="Arial" w:cs="Arial" w:eastAsia="Arial" w:hAnsi="Arial"/>
                <w:sz w:val="19"/>
                <w:szCs w:val="19"/>
                <w:color w:val="auto"/>
              </w:rPr>
              <w:t>216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0"/>
                <w:szCs w:val="20"/>
                <w:color w:val="auto"/>
              </w:rPr>
            </w:pPr>
            <w:r>
              <w:rPr>
                <w:rFonts w:ascii="Arial" w:cs="Arial" w:eastAsia="Arial" w:hAnsi="Arial"/>
                <w:sz w:val="19"/>
                <w:szCs w:val="19"/>
                <w:color w:val="auto"/>
              </w:rPr>
              <w:t>9.065% debentures due 2033</w:t>
            </w: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540" w:type="dxa"/>
            <w:vAlign w:val="bottom"/>
          </w:tcPr>
          <w:p>
            <w:pPr>
              <w:spacing w:after="0" w:line="216" w:lineRule="exact"/>
              <w:rPr>
                <w:sz w:val="20"/>
                <w:szCs w:val="20"/>
                <w:color w:val="auto"/>
              </w:rPr>
            </w:pPr>
            <w:r>
              <w:rPr>
                <w:rFonts w:ascii="Arial" w:cs="Arial" w:eastAsia="Arial" w:hAnsi="Arial"/>
                <w:sz w:val="19"/>
                <w:szCs w:val="19"/>
                <w:color w:val="auto"/>
              </w:rPr>
              <w:t>Other (including capitalized leases and debt issuance costs), 0.4% weighted average maturing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540" w:type="dxa"/>
            <w:vAlign w:val="bottom"/>
          </w:tcPr>
          <w:p>
            <w:pPr>
              <w:ind w:left="180"/>
              <w:spacing w:after="0" w:line="216" w:lineRule="exact"/>
              <w:rPr>
                <w:sz w:val="20"/>
                <w:szCs w:val="20"/>
                <w:color w:val="auto"/>
              </w:rPr>
            </w:pPr>
            <w:r>
              <w:rPr>
                <w:rFonts w:ascii="Arial" w:cs="Arial" w:eastAsia="Arial" w:hAnsi="Arial"/>
                <w:sz w:val="19"/>
                <w:szCs w:val="19"/>
                <w:color w:val="auto"/>
              </w:rPr>
              <w:t>at various dates through 2023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288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
              <w:spacing w:after="0" w:line="216" w:lineRule="exact"/>
              <w:rPr>
                <w:sz w:val="20"/>
                <w:szCs w:val="20"/>
                <w:color w:val="auto"/>
              </w:rPr>
            </w:pPr>
            <w:r>
              <w:rPr>
                <w:rFonts w:ascii="Arial" w:cs="Arial" w:eastAsia="Arial" w:hAnsi="Arial"/>
                <w:sz w:val="19"/>
                <w:szCs w:val="19"/>
                <w:color w:val="auto"/>
              </w:rPr>
              <w:t>547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13,924</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12,409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540" w:type="dxa"/>
            <w:vAlign w:val="bottom"/>
          </w:tcPr>
          <w:p>
            <w:pPr>
              <w:spacing w:after="0"/>
              <w:rPr>
                <w:sz w:val="20"/>
                <w:szCs w:val="20"/>
                <w:color w:val="auto"/>
              </w:rPr>
            </w:pPr>
            <w:r>
              <w:rPr>
                <w:rFonts w:ascii="Arial" w:cs="Arial" w:eastAsia="Arial" w:hAnsi="Arial"/>
                <w:sz w:val="19"/>
                <w:szCs w:val="19"/>
                <w:color w:val="auto"/>
              </w:rPr>
              <w:t>Less: current portion</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(1,351)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5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12,573</w:t>
            </w:r>
          </w:p>
        </w:tc>
        <w:tc>
          <w:tcPr>
            <w:tcW w:w="14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w w:val="99"/>
              </w:rPr>
              <w:t>12,182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jc w:val="right"/>
              <w:ind w:right="3123"/>
              <w:spacing w:after="0"/>
              <w:rPr>
                <w:sz w:val="20"/>
                <w:szCs w:val="20"/>
                <w:color w:val="auto"/>
              </w:rPr>
            </w:pPr>
            <w:r>
              <w:rPr>
                <w:rFonts w:ascii="Arial" w:cs="Arial" w:eastAsia="Arial" w:hAnsi="Arial"/>
                <w:sz w:val="19"/>
                <w:szCs w:val="19"/>
                <w:color w:val="auto"/>
              </w:rPr>
              <w:t>57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8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0" w:name="page61"/>
    <w:bookmarkEnd w:id="60"/>
    <w:tbl>
      <w:tblPr>
        <w:tblLayout w:type="fixed"/>
        <w:tblInd w:w="360" w:type="dxa"/>
        <w:tblCellMar>
          <w:top w:w="0" w:type="dxa"/>
          <w:left w:w="0" w:type="dxa"/>
          <w:bottom w:w="0" w:type="dxa"/>
          <w:right w:w="0" w:type="dxa"/>
        </w:tblCellMar>
      </w:tblPr>
      <w:tr>
        <w:trPr>
          <w:trHeight w:val="279"/>
        </w:trPr>
        <w:tc>
          <w:tcPr>
            <w:tcW w:w="140" w:type="dxa"/>
            <w:vAlign w:val="bottom"/>
          </w:tcPr>
          <w:p>
            <w:pPr>
              <w:spacing w:after="0"/>
              <w:rPr>
                <w:sz w:val="24"/>
                <w:szCs w:val="24"/>
                <w:color w:val="auto"/>
              </w:rPr>
            </w:pPr>
          </w:p>
        </w:tc>
        <w:tc>
          <w:tcPr>
            <w:tcW w:w="9120" w:type="dxa"/>
            <w:vAlign w:val="bottom"/>
          </w:tcPr>
          <w:p>
            <w:pPr>
              <w:jc w:val="center"/>
              <w:ind w:left="1203"/>
              <w:spacing w:after="0"/>
              <w:rPr>
                <w:sz w:val="20"/>
                <w:szCs w:val="20"/>
                <w:color w:val="auto"/>
              </w:rPr>
            </w:pPr>
            <w:r>
              <w:rPr>
                <w:rFonts w:ascii="Arial" w:cs="Arial" w:eastAsia="Arial" w:hAnsi="Arial"/>
                <w:sz w:val="23"/>
                <w:szCs w:val="23"/>
                <w:b w:val="1"/>
                <w:bCs w:val="1"/>
                <w:color w:val="auto"/>
                <w:w w:val="99"/>
              </w:rPr>
              <w:t>HONEYWELL INTERNATIONAL INC.</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19"/>
                <w:szCs w:val="19"/>
                <w:color w:val="auto"/>
              </w:rPr>
            </w:pPr>
          </w:p>
        </w:tc>
        <w:tc>
          <w:tcPr>
            <w:tcW w:w="9120" w:type="dxa"/>
            <w:vAlign w:val="bottom"/>
          </w:tcPr>
          <w:p>
            <w:pPr>
              <w:jc w:val="center"/>
              <w:ind w:left="1203"/>
              <w:spacing w:after="0"/>
              <w:rPr>
                <w:sz w:val="20"/>
                <w:szCs w:val="20"/>
                <w:color w:val="auto"/>
              </w:rPr>
            </w:pPr>
            <w:r>
              <w:rPr>
                <w:rFonts w:ascii="Arial" w:cs="Arial" w:eastAsia="Arial" w:hAnsi="Arial"/>
                <w:sz w:val="19"/>
                <w:szCs w:val="19"/>
                <w:b w:val="1"/>
                <w:bCs w:val="1"/>
                <w:color w:val="auto"/>
              </w:rPr>
              <w:t>NOTES TO CONSOLIDATED FINANCIAL STATEMENTS—(Continued)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9120" w:type="dxa"/>
            <w:vAlign w:val="bottom"/>
          </w:tcPr>
          <w:p>
            <w:pPr>
              <w:jc w:val="center"/>
              <w:ind w:left="1223"/>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60" w:type="dxa"/>
            <w:vAlign w:val="bottom"/>
            <w:gridSpan w:val="2"/>
          </w:tcPr>
          <w:p>
            <w:pPr>
              <w:spacing w:after="0"/>
              <w:rPr>
                <w:sz w:val="20"/>
                <w:szCs w:val="20"/>
                <w:color w:val="auto"/>
              </w:rPr>
            </w:pPr>
            <w:r>
              <w:rPr>
                <w:rFonts w:ascii="Arial" w:cs="Arial" w:eastAsia="Arial" w:hAnsi="Arial"/>
                <w:sz w:val="19"/>
                <w:szCs w:val="19"/>
                <w:color w:val="auto"/>
              </w:rPr>
              <w:t>The schedule of principal payments on long-term debt is as follows:</w:t>
            </w:r>
          </w:p>
        </w:tc>
        <w:tc>
          <w:tcPr>
            <w:tcW w:w="120" w:type="dxa"/>
            <w:vAlign w:val="bottom"/>
          </w:tcPr>
          <w:p>
            <w:pPr>
              <w:spacing w:after="0"/>
              <w:rPr>
                <w:sz w:val="24"/>
                <w:szCs w:val="24"/>
                <w:color w:val="auto"/>
              </w:rPr>
            </w:pPr>
          </w:p>
        </w:tc>
        <w:tc>
          <w:tcPr>
            <w:tcW w:w="1160" w:type="dxa"/>
            <w:vAlign w:val="bottom"/>
            <w:vMerge w:val="restart"/>
          </w:tcPr>
          <w:p>
            <w:pPr>
              <w:jc w:val="right"/>
              <w:ind w:right="26"/>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9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9120" w:type="dxa"/>
            <w:vAlign w:val="bottom"/>
            <w:shd w:val="clear" w:color="auto" w:fill="E5FFFF"/>
          </w:tcPr>
          <w:p>
            <w:pPr>
              <w:spacing w:after="0"/>
              <w:rPr>
                <w:sz w:val="20"/>
                <w:szCs w:val="20"/>
                <w:color w:val="auto"/>
              </w:rPr>
            </w:pPr>
            <w:r>
              <w:rPr>
                <w:rFonts w:ascii="Arial" w:cs="Arial" w:eastAsia="Arial" w:hAnsi="Arial"/>
                <w:sz w:val="19"/>
                <w:szCs w:val="19"/>
                <w:color w:val="auto"/>
              </w:rPr>
              <w:t>2018</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1,351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140"/>
              <w:spacing w:after="0"/>
              <w:rPr>
                <w:sz w:val="20"/>
                <w:szCs w:val="20"/>
                <w:color w:val="auto"/>
              </w:rPr>
            </w:pPr>
            <w:r>
              <w:rPr>
                <w:rFonts w:ascii="Arial" w:cs="Arial" w:eastAsia="Arial" w:hAnsi="Arial"/>
                <w:sz w:val="19"/>
                <w:szCs w:val="19"/>
                <w:color w:val="auto"/>
              </w:rPr>
              <w:t>2019</w:t>
            </w:r>
          </w:p>
        </w:tc>
        <w:tc>
          <w:tcPr>
            <w:tcW w:w="12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2,835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120" w:type="dxa"/>
            <w:vAlign w:val="bottom"/>
            <w:shd w:val="clear" w:color="auto" w:fill="E5FFFF"/>
          </w:tcPr>
          <w:p>
            <w:pPr>
              <w:spacing w:after="0"/>
              <w:rPr>
                <w:sz w:val="20"/>
                <w:szCs w:val="20"/>
                <w:color w:val="auto"/>
              </w:rPr>
            </w:pPr>
            <w:r>
              <w:rPr>
                <w:rFonts w:ascii="Arial" w:cs="Arial" w:eastAsia="Arial" w:hAnsi="Arial"/>
                <w:sz w:val="19"/>
                <w:szCs w:val="19"/>
                <w:color w:val="auto"/>
              </w:rPr>
              <w:t>2020</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1,390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140"/>
              <w:spacing w:after="0"/>
              <w:rPr>
                <w:sz w:val="20"/>
                <w:szCs w:val="20"/>
                <w:color w:val="auto"/>
              </w:rPr>
            </w:pPr>
            <w:r>
              <w:rPr>
                <w:rFonts w:ascii="Arial" w:cs="Arial" w:eastAsia="Arial" w:hAnsi="Arial"/>
                <w:sz w:val="19"/>
                <w:szCs w:val="19"/>
                <w:color w:val="auto"/>
              </w:rPr>
              <w:t>2021</w:t>
            </w:r>
          </w:p>
        </w:tc>
        <w:tc>
          <w:tcPr>
            <w:tcW w:w="120" w:type="dxa"/>
            <w:vAlign w:val="bottom"/>
          </w:tcPr>
          <w:p>
            <w:pPr>
              <w:spacing w:after="0"/>
              <w:rPr>
                <w:sz w:val="21"/>
                <w:szCs w:val="21"/>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2,306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120" w:type="dxa"/>
            <w:vAlign w:val="bottom"/>
            <w:shd w:val="clear" w:color="auto" w:fill="E5FFFF"/>
          </w:tcPr>
          <w:p>
            <w:pPr>
              <w:spacing w:after="0"/>
              <w:rPr>
                <w:sz w:val="20"/>
                <w:szCs w:val="20"/>
                <w:color w:val="auto"/>
              </w:rPr>
            </w:pPr>
            <w:r>
              <w:rPr>
                <w:rFonts w:ascii="Arial" w:cs="Arial" w:eastAsia="Arial" w:hAnsi="Arial"/>
                <w:sz w:val="19"/>
                <w:szCs w:val="19"/>
                <w:color w:val="auto"/>
              </w:rPr>
              <w:t>2022</w:t>
            </w: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9120" w:type="dxa"/>
            <w:vAlign w:val="bottom"/>
          </w:tcPr>
          <w:p>
            <w:pPr>
              <w:spacing w:after="0"/>
              <w:rPr>
                <w:sz w:val="20"/>
                <w:szCs w:val="20"/>
                <w:color w:val="auto"/>
              </w:rPr>
            </w:pPr>
            <w:r>
              <w:rPr>
                <w:rFonts w:ascii="Arial" w:cs="Arial" w:eastAsia="Arial" w:hAnsi="Arial"/>
                <w:sz w:val="19"/>
                <w:szCs w:val="19"/>
                <w:color w:val="auto"/>
              </w:rPr>
              <w:t>Thereafter</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6,038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1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6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13,924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9120" w:type="dxa"/>
            <w:vAlign w:val="bottom"/>
          </w:tcPr>
          <w:p>
            <w:pPr>
              <w:spacing w:after="0"/>
              <w:rPr>
                <w:sz w:val="20"/>
                <w:szCs w:val="20"/>
                <w:color w:val="auto"/>
              </w:rPr>
            </w:pPr>
            <w:r>
              <w:rPr>
                <w:rFonts w:ascii="Arial" w:cs="Arial" w:eastAsia="Arial" w:hAnsi="Arial"/>
                <w:sz w:val="19"/>
                <w:szCs w:val="19"/>
                <w:color w:val="auto"/>
              </w:rPr>
              <w:t>Less-current portion</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(1,351)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1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16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12,573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In November of 2017, the Company issued $445 million 3.812% Senior Notes due 2047 (the “Exchange Notes”). The Exchange Notes are senior unsecured and unsubordinated obligations of Honeywell and rank equally with all of Honeywell’s existing and future senior unsecured debt and senior to all of Honeywell’s subordinated debt. The Exchange Notes were issued in partial exchange for the 6.625% Debentures due 2028, the 5.70% Notes due 2036, the 5.70% Notes due 2037 and the 5.375% Notes due 2041. The Company paid $133 million to bondholders in connection with the partial exchange.</w:t>
      </w:r>
    </w:p>
    <w:p>
      <w:pPr>
        <w:spacing w:after="0" w:line="91"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In the October of 2017, the Company issued $450 million Floating Rate Senior Notes due 2019 and $750 million 1.80% Senior Notes due 2019 (collectively, the “2017 Notes”). The 2017 Notes are senior unsecured and unsubordinated obligations of Honeywell and rank equally with all of Honeywell’s existing and future senior unsecured debt and senior to all of Honeywell’s subordinated debt. The offering resulted in gross proceeds of $1,200 million, offset by $5 million in discount and closing costs related to the offering.</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 the fourth quarter of 2016, the Company repurchased the entire outstanding principal amount of its $400 million 5.30 % Senior Notes due 2017, $900 million 5.30% Senior Notes due 2018 and $900 million 5.00% Senior Notes due 2019. The cost related to the early redemption, including the “make whole premium”, was $126 million which was recorded in Other (income) expense.</w:t>
      </w:r>
    </w:p>
    <w:p>
      <w:pPr>
        <w:spacing w:after="0" w:line="87" w:lineRule="exact"/>
        <w:rPr>
          <w:sz w:val="20"/>
          <w:szCs w:val="20"/>
          <w:color w:val="auto"/>
        </w:rPr>
      </w:pPr>
    </w:p>
    <w:p>
      <w:pPr>
        <w:ind w:right="120" w:firstLine="357"/>
        <w:spacing w:after="0" w:line="241" w:lineRule="auto"/>
        <w:rPr>
          <w:sz w:val="20"/>
          <w:szCs w:val="20"/>
          <w:color w:val="auto"/>
        </w:rPr>
      </w:pPr>
      <w:r>
        <w:rPr>
          <w:rFonts w:ascii="Arial" w:cs="Arial" w:eastAsia="Arial" w:hAnsi="Arial"/>
          <w:sz w:val="19"/>
          <w:szCs w:val="19"/>
          <w:color w:val="auto"/>
        </w:rPr>
        <w:t>In October 2016, the Company issued $1,250 million 1.40% Senior Notes due 2019, $250 million Floating Rate Senior Notes due 2019, $1,500 million 1.85% Senior Notes due 2021 and $1,500 million 2.50% Senior Notes due 2026 (collectively, the “Notes”). The Notes are senior unsecured and unsubordinated obligations of Honeywell and rank equally with all of Honeywell’s existing and future senior unsecured debt and senior to all of Honeywell’s subordinated debt. The offering resulted in gross proceeds of $4,500 million, offset by $27 million in discount and closing costs related to the offering.</w:t>
      </w:r>
    </w:p>
    <w:p>
      <w:pPr>
        <w:spacing w:after="0" w:line="65" w:lineRule="exact"/>
        <w:rPr>
          <w:sz w:val="20"/>
          <w:szCs w:val="20"/>
          <w:color w:val="auto"/>
        </w:rPr>
      </w:pPr>
    </w:p>
    <w:p>
      <w:pPr>
        <w:ind w:right="20" w:firstLine="357"/>
        <w:spacing w:after="0" w:line="252" w:lineRule="auto"/>
        <w:rPr>
          <w:sz w:val="20"/>
          <w:szCs w:val="20"/>
          <w:color w:val="auto"/>
        </w:rPr>
      </w:pPr>
      <w:r>
        <w:rPr>
          <w:rFonts w:ascii="Arial" w:cs="Arial" w:eastAsia="Arial" w:hAnsi="Arial"/>
          <w:sz w:val="19"/>
          <w:szCs w:val="19"/>
          <w:color w:val="auto"/>
        </w:rPr>
        <w:t>In February 2016, the Company issued €1,000 million Floating Rate Senior Notes due 2018, €1,000 million 0.65% Senior Notes due 2020, €1,250 million 1.30% Senior Notes due 2023 and €750 million 2.25% Senior Notes due 2028 (collectively, the “Euro Notes”). The Euro Notes are senior unsecured and unsubordinated obligations of Honeywell and rank equally with all of Honeywell’s existing and future senior unsecured debt and senior to all of Honeywell’s subordinated debt. The offering resulted in gross proceeds of $4,438 million, offset by $23 million in discount and closing costs related to the offering.</w:t>
      </w:r>
    </w:p>
    <w:p>
      <w:pPr>
        <w:spacing w:after="0" w:line="82" w:lineRule="exact"/>
        <w:rPr>
          <w:sz w:val="20"/>
          <w:szCs w:val="20"/>
          <w:color w:val="auto"/>
        </w:rPr>
      </w:pPr>
    </w:p>
    <w:p>
      <w:pPr>
        <w:ind w:right="420" w:firstLine="357"/>
        <w:spacing w:after="0" w:line="253" w:lineRule="auto"/>
        <w:rPr>
          <w:sz w:val="20"/>
          <w:szCs w:val="20"/>
          <w:color w:val="auto"/>
        </w:rPr>
      </w:pPr>
      <w:r>
        <w:rPr>
          <w:rFonts w:ascii="Arial" w:cs="Arial" w:eastAsia="Arial" w:hAnsi="Arial"/>
          <w:sz w:val="19"/>
          <w:szCs w:val="19"/>
          <w:color w:val="auto"/>
        </w:rPr>
        <w:t>For the issuances described above, unless otherwise noted, all debt issuance costs are deferred and recognized as a direct deduction to the related debt liability and are amortized to interest expense over the debt term.</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On April 28, 2017, the Company entered into Amendment No. 3 (Amendment) to the Amended and Restated $4 billion Credit Agreement dated as of July 10, 2015, as amended by Amendment No. 1 dated as of September 30, 2015 and Amendment No. 2 dated as of April 29, 2016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2021 to April 28, 2022.</w:t>
      </w:r>
    </w:p>
    <w:p>
      <w:pPr>
        <w:spacing w:after="0" w:line="94" w:lineRule="exact"/>
        <w:rPr>
          <w:sz w:val="20"/>
          <w:szCs w:val="20"/>
          <w:color w:val="auto"/>
        </w:rPr>
      </w:pPr>
    </w:p>
    <w:p>
      <w:pPr>
        <w:ind w:right="640" w:firstLine="357"/>
        <w:spacing w:after="0" w:line="253" w:lineRule="auto"/>
        <w:rPr>
          <w:sz w:val="20"/>
          <w:szCs w:val="20"/>
          <w:color w:val="auto"/>
        </w:rPr>
      </w:pPr>
      <w:r>
        <w:rPr>
          <w:rFonts w:ascii="Arial" w:cs="Arial" w:eastAsia="Arial" w:hAnsi="Arial"/>
          <w:sz w:val="19"/>
          <w:szCs w:val="19"/>
          <w:color w:val="auto"/>
        </w:rPr>
        <w:t>On April 28, 2017, the Company entered into a $1.5 billion 364-Day Credit Agreement (364-Day Credit Agreement) with a syndicate of banks. The 364-Day Credit Agreement is maintained for general corporate purposes.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There have been no borrowings under any of the credit agreements previously described.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Lease Commitments</w:t>
      </w:r>
    </w:p>
    <w:p>
      <w:pPr>
        <w:spacing w:after="0" w:line="130" w:lineRule="exact"/>
        <w:rPr>
          <w:sz w:val="20"/>
          <w:szCs w:val="20"/>
          <w:color w:val="auto"/>
        </w:rPr>
      </w:pPr>
    </w:p>
    <w:p>
      <w:pPr>
        <w:jc w:val="both"/>
        <w:ind w:right="80" w:firstLine="357"/>
        <w:spacing w:after="0" w:line="246" w:lineRule="auto"/>
        <w:rPr>
          <w:sz w:val="20"/>
          <w:szCs w:val="20"/>
          <w:color w:val="auto"/>
        </w:rPr>
      </w:pPr>
      <w:r>
        <w:rPr>
          <w:rFonts w:ascii="Arial" w:cs="Arial" w:eastAsia="Arial" w:hAnsi="Arial"/>
          <w:sz w:val="19"/>
          <w:szCs w:val="19"/>
          <w:color w:val="auto"/>
        </w:rPr>
        <w:t>Future minimum lease payments under operating leases having initial or remaining noncancellable lease terms in excess of one year are as follows:</w:t>
      </w:r>
    </w:p>
    <w:tbl>
      <w:tblPr>
        <w:tblLayout w:type="fixed"/>
        <w:tblInd w:w="500" w:type="dxa"/>
        <w:tblCellMar>
          <w:top w:w="0" w:type="dxa"/>
          <w:left w:w="0" w:type="dxa"/>
          <w:bottom w:w="0" w:type="dxa"/>
          <w:right w:w="0" w:type="dxa"/>
        </w:tblCellMar>
      </w:tblPr>
      <w:tr>
        <w:trPr>
          <w:trHeight w:val="172"/>
        </w:trPr>
        <w:tc>
          <w:tcPr>
            <w:tcW w:w="8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67"/>
              <w:spacing w:after="0" w:line="172" w:lineRule="exact"/>
              <w:rPr>
                <w:sz w:val="20"/>
                <w:szCs w:val="20"/>
                <w:color w:val="auto"/>
              </w:rPr>
            </w:pPr>
            <w:r>
              <w:rPr>
                <w:rFonts w:ascii="Arial" w:cs="Arial" w:eastAsia="Arial" w:hAnsi="Arial"/>
                <w:sz w:val="16"/>
                <w:szCs w:val="16"/>
                <w:b w:val="1"/>
                <w:bCs w:val="1"/>
                <w:color w:val="auto"/>
              </w:rPr>
              <w:t>At December 31,</w:t>
            </w:r>
          </w:p>
        </w:tc>
      </w:tr>
      <w:tr>
        <w:trPr>
          <w:trHeight w:val="190"/>
        </w:trPr>
        <w:tc>
          <w:tcPr>
            <w:tcW w:w="8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2017</w:t>
            </w:r>
          </w:p>
        </w:tc>
      </w:tr>
      <w:tr>
        <w:trPr>
          <w:trHeight w:val="237"/>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2018</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295</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2019</w:t>
            </w:r>
          </w:p>
        </w:tc>
        <w:tc>
          <w:tcPr>
            <w:tcW w:w="140" w:type="dxa"/>
            <w:vAlign w:val="bottom"/>
          </w:tcPr>
          <w:p>
            <w:pPr>
              <w:spacing w:after="0"/>
              <w:rPr>
                <w:sz w:val="21"/>
                <w:szCs w:val="21"/>
                <w:color w:val="auto"/>
              </w:rPr>
            </w:pP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226</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2020</w:t>
            </w:r>
          </w:p>
        </w:tc>
        <w:tc>
          <w:tcPr>
            <w:tcW w:w="14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161</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2021</w:t>
            </w:r>
          </w:p>
        </w:tc>
        <w:tc>
          <w:tcPr>
            <w:tcW w:w="140" w:type="dxa"/>
            <w:vAlign w:val="bottom"/>
          </w:tcPr>
          <w:p>
            <w:pPr>
              <w:spacing w:after="0"/>
              <w:rPr>
                <w:sz w:val="21"/>
                <w:szCs w:val="21"/>
                <w:color w:val="auto"/>
              </w:rPr>
            </w:pP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121</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2022</w:t>
            </w:r>
          </w:p>
        </w:tc>
        <w:tc>
          <w:tcPr>
            <w:tcW w:w="14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97</w:t>
            </w:r>
          </w:p>
        </w:tc>
      </w:tr>
      <w:tr>
        <w:trPr>
          <w:trHeight w:val="250"/>
        </w:trPr>
        <w:tc>
          <w:tcPr>
            <w:tcW w:w="8820" w:type="dxa"/>
            <w:vAlign w:val="bottom"/>
          </w:tcPr>
          <w:p>
            <w:pPr>
              <w:spacing w:after="0"/>
              <w:rPr>
                <w:sz w:val="20"/>
                <w:szCs w:val="20"/>
                <w:color w:val="auto"/>
              </w:rPr>
            </w:pPr>
            <w:r>
              <w:rPr>
                <w:rFonts w:ascii="Arial" w:cs="Arial" w:eastAsia="Arial" w:hAnsi="Arial"/>
                <w:sz w:val="19"/>
                <w:szCs w:val="19"/>
                <w:color w:val="auto"/>
              </w:rPr>
              <w:t>Thereafter</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226</w:t>
            </w:r>
          </w:p>
        </w:tc>
      </w:tr>
      <w:tr>
        <w:trPr>
          <w:trHeight w:val="243"/>
        </w:trPr>
        <w:tc>
          <w:tcPr>
            <w:tcW w:w="88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4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rPr>
              <w:t>1,126</w:t>
            </w: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Rent expense was $385 million, $387 million and $390 million in 2017, 2016 and 2015.</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Financial Instruments and Fair Value Measures</w:t>
      </w:r>
    </w:p>
    <w:p>
      <w:pPr>
        <w:spacing w:after="0" w:line="106" w:lineRule="exact"/>
        <w:rPr>
          <w:sz w:val="20"/>
          <w:szCs w:val="20"/>
          <w:color w:val="auto"/>
        </w:rPr>
      </w:pPr>
    </w:p>
    <w:p>
      <w:pPr>
        <w:jc w:val="both"/>
        <w:ind w:right="80" w:firstLine="357"/>
        <w:spacing w:after="0" w:line="246" w:lineRule="auto"/>
        <w:rPr>
          <w:sz w:val="20"/>
          <w:szCs w:val="20"/>
          <w:color w:val="auto"/>
        </w:rPr>
      </w:pPr>
      <w:r>
        <w:rPr>
          <w:rFonts w:ascii="Arial" w:cs="Arial" w:eastAsia="Arial" w:hAnsi="Arial"/>
          <w:sz w:val="19"/>
          <w:szCs w:val="19"/>
          <w:b w:val="1"/>
          <w:bCs w:val="1"/>
          <w:i w:val="1"/>
          <w:iCs w:val="1"/>
          <w:color w:val="auto"/>
        </w:rPr>
        <w:t>Credit and Market Risk</w:t>
      </w:r>
      <w:r>
        <w:rPr>
          <w:rFonts w:ascii="Arial" w:cs="Arial" w:eastAsia="Arial" w:hAnsi="Arial"/>
          <w:sz w:val="19"/>
          <w:szCs w:val="19"/>
          <w:color w:val="auto"/>
        </w:rPr>
        <w:t>—Financial instruments, including derivatives, expose us to counterparty credit risk for nonperformance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to market risk related to changes in interest and currency exchange rates. We manage our exposure to counterparty credit risk through specific minimum credit standards, diversification of counterparties, and procedures to monitor concentrations of credit risk.</w:t>
      </w:r>
    </w:p>
    <w:p>
      <w:pPr>
        <w:spacing w:after="0" w:line="242" w:lineRule="auto"/>
        <w:rPr>
          <w:sz w:val="20"/>
          <w:szCs w:val="20"/>
          <w:color w:val="auto"/>
        </w:rPr>
      </w:pPr>
      <w:r>
        <w:rPr>
          <w:rFonts w:ascii="Arial" w:cs="Arial" w:eastAsia="Arial" w:hAnsi="Arial"/>
          <w:sz w:val="19"/>
          <w:szCs w:val="19"/>
          <w:color w:val="auto"/>
        </w:rPr>
        <w:t>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and currency exchange rates and restrict the use of derivative financial instruments to hedging activities.</w:t>
      </w:r>
    </w:p>
    <w:p>
      <w:pPr>
        <w:spacing w:after="0" w:line="91" w:lineRule="exact"/>
        <w:rPr>
          <w:sz w:val="20"/>
          <w:szCs w:val="20"/>
          <w:color w:val="auto"/>
        </w:rPr>
      </w:pPr>
    </w:p>
    <w:p>
      <w:pPr>
        <w:ind w:right="280" w:firstLine="357"/>
        <w:spacing w:after="0" w:line="245" w:lineRule="auto"/>
        <w:rPr>
          <w:sz w:val="20"/>
          <w:szCs w:val="20"/>
          <w:color w:val="auto"/>
        </w:rPr>
      </w:pPr>
      <w:r>
        <w:rPr>
          <w:rFonts w:ascii="Arial" w:cs="Arial" w:eastAsia="Arial" w:hAnsi="Arial"/>
          <w:sz w:val="19"/>
          <w:szCs w:val="19"/>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63"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Foreign Currency Risk Management</w:t>
      </w:r>
      <w:r>
        <w:rPr>
          <w:rFonts w:ascii="Arial" w:cs="Arial" w:eastAsia="Arial" w:hAnsi="Arial"/>
          <w:sz w:val="19"/>
          <w:szCs w:val="19"/>
          <w:color w:val="auto"/>
        </w:rPr>
        <w:t>—We conduct our business on a multinational basis in a wide variety of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currencies. Our 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attempt to hedge currency exposures with natural offsets to the fullest extent possible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640"/>
        <w:spacing w:after="0" w:line="253" w:lineRule="auto"/>
        <w:rPr>
          <w:sz w:val="20"/>
          <w:szCs w:val="20"/>
          <w:color w:val="auto"/>
        </w:rPr>
      </w:pPr>
      <w:r>
        <w:rPr>
          <w:rFonts w:ascii="Arial" w:cs="Arial" w:eastAsia="Arial" w:hAnsi="Arial"/>
          <w:sz w:val="19"/>
          <w:szCs w:val="19"/>
          <w:color w:val="auto"/>
        </w:rPr>
        <w:t>and, once these opportunities have been exhausted, through foreign currency exchange forward and option contracts (foreign currency exchange contracts) with third parties.</w:t>
      </w:r>
    </w:p>
    <w:p>
      <w:pPr>
        <w:spacing w:after="0" w:line="80" w:lineRule="exact"/>
        <w:rPr>
          <w:sz w:val="20"/>
          <w:szCs w:val="20"/>
          <w:color w:val="auto"/>
        </w:rPr>
      </w:pPr>
    </w:p>
    <w:p>
      <w:pPr>
        <w:ind w:right="40" w:firstLine="357"/>
        <w:spacing w:after="0" w:line="239" w:lineRule="auto"/>
        <w:rPr>
          <w:sz w:val="20"/>
          <w:szCs w:val="20"/>
          <w:color w:val="auto"/>
        </w:rPr>
      </w:pPr>
      <w:r>
        <w:rPr>
          <w:rFonts w:ascii="Arial" w:cs="Arial" w:eastAsia="Arial" w:hAnsi="Arial"/>
          <w:sz w:val="19"/>
          <w:szCs w:val="19"/>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occur in the next twelve months and are denominated in non -functional currencies, with foreign currency exchange contracts. Changes in the forecasted non-functional currency cash flows due to movements in exchange rates are substantially offset by changes in the fair value of the foreign currency exchange contracts designated as hedges. Market value gains and losses on these contracts are recognized in earnings when the hedged transaction is recognized. Open foreign currency exchange contracts mature in the next twelve months. At December 31, 2017 and 2016, we had contracts with notional amounts of $ 9,273 million and $9,554 million to exchange foreign currencies, principally the U.S. Dollar, Euro, British Pound, Canadian Dollar, Chinese Renminbi, Indian Rupee, Mexican Peso, and Singapore Dollar.</w:t>
      </w:r>
    </w:p>
    <w:p>
      <w:pPr>
        <w:spacing w:after="0" w:line="93" w:lineRule="exact"/>
        <w:rPr>
          <w:sz w:val="20"/>
          <w:szCs w:val="20"/>
          <w:color w:val="auto"/>
        </w:rPr>
      </w:pPr>
    </w:p>
    <w:p>
      <w:pPr>
        <w:jc w:val="both"/>
        <w:ind w:right="40" w:firstLine="357"/>
        <w:spacing w:after="0" w:line="242" w:lineRule="auto"/>
        <w:rPr>
          <w:sz w:val="20"/>
          <w:szCs w:val="20"/>
          <w:color w:val="auto"/>
        </w:rPr>
      </w:pPr>
      <w:r>
        <w:rPr>
          <w:rFonts w:ascii="Arial" w:cs="Arial" w:eastAsia="Arial" w:hAnsi="Arial"/>
          <w:sz w:val="19"/>
          <w:szCs w:val="19"/>
          <w:color w:val="auto"/>
        </w:rPr>
        <w:t>We have also designated foreign currency debt and certain derivative contracts as hedges against portions of our net investment in foreign operations during the year ended December 31, 2017. Gains or losses on the effective portion of the foreign currency debt designated as a net investment hedge are recorded in the same manner as foreign currency translation adjustments. The Company did not have ineffectiveness related to net investment hedges during the year ended December 31, 2017.</w:t>
      </w:r>
    </w:p>
    <w:p>
      <w:pPr>
        <w:spacing w:after="0" w:line="67" w:lineRule="exact"/>
        <w:rPr>
          <w:sz w:val="20"/>
          <w:szCs w:val="20"/>
          <w:color w:val="auto"/>
        </w:rPr>
      </w:pPr>
    </w:p>
    <w:p>
      <w:pPr>
        <w:ind w:right="60" w:firstLine="357"/>
        <w:spacing w:after="0" w:line="248" w:lineRule="auto"/>
        <w:rPr>
          <w:sz w:val="20"/>
          <w:szCs w:val="20"/>
          <w:color w:val="auto"/>
        </w:rPr>
      </w:pPr>
      <w:r>
        <w:rPr>
          <w:rFonts w:ascii="Arial" w:cs="Arial" w:eastAsia="Arial" w:hAnsi="Arial"/>
          <w:sz w:val="19"/>
          <w:szCs w:val="19"/>
          <w:b w:val="1"/>
          <w:bCs w:val="1"/>
          <w:i w:val="1"/>
          <w:iCs w:val="1"/>
          <w:color w:val="auto"/>
        </w:rPr>
        <w:t>Interest Rate Risk Management</w:t>
      </w:r>
      <w:r>
        <w:rPr>
          <w:rFonts w:ascii="Arial" w:cs="Arial" w:eastAsia="Arial" w:hAnsi="Arial"/>
          <w:sz w:val="19"/>
          <w:szCs w:val="19"/>
          <w:color w:val="auto"/>
        </w:rPr>
        <w:t>—We use a combination of financial instruments, including long-term, medium-term and short-term financing, variable-rate commercial paper, and interest rate swaps to manage the interest rate mix of our total debt portfolio and related overall cost of borrowing. At December 31, 2017 and 2016, interest rate swap agreements designated as fair value hedges effectively changed $2,600 million and $1,850 million of fixed rate debt at rates of 2.93% and 3.39% to LIBOR based floating rate debt. Our interest rate swaps mature at various dates through 2026.</w:t>
      </w:r>
    </w:p>
    <w:p>
      <w:pPr>
        <w:spacing w:after="0" w:line="60" w:lineRule="exact"/>
        <w:rPr>
          <w:sz w:val="20"/>
          <w:szCs w:val="20"/>
          <w:color w:val="auto"/>
        </w:rPr>
      </w:pPr>
    </w:p>
    <w:p>
      <w:pPr>
        <w:ind w:firstLine="357"/>
        <w:spacing w:after="0" w:line="280" w:lineRule="auto"/>
        <w:rPr>
          <w:sz w:val="20"/>
          <w:szCs w:val="20"/>
          <w:color w:val="auto"/>
        </w:rPr>
      </w:pP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color w:val="auto"/>
        </w:rPr>
        <w:t>—The FASB’s accounting guidance defines fair value as the price that would be received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(exit price).</w:t>
      </w:r>
    </w:p>
    <w:p>
      <w:pPr>
        <w:spacing w:after="0" w:line="41" w:lineRule="exact"/>
        <w:rPr>
          <w:sz w:val="20"/>
          <w:szCs w:val="20"/>
          <w:color w:val="auto"/>
        </w:rPr>
      </w:pPr>
    </w:p>
    <w:p>
      <w:pPr>
        <w:jc w:val="both"/>
        <w:ind w:right="80" w:firstLine="357"/>
        <w:spacing w:after="0" w:line="243" w:lineRule="auto"/>
        <w:rPr>
          <w:sz w:val="20"/>
          <w:szCs w:val="20"/>
          <w:color w:val="auto"/>
        </w:rPr>
      </w:pPr>
      <w:r>
        <w:rPr>
          <w:rFonts w:ascii="Arial" w:cs="Arial" w:eastAsia="Arial" w:hAnsi="Arial"/>
          <w:sz w:val="19"/>
          <w:szCs w:val="19"/>
          <w:color w:val="auto"/>
        </w:rPr>
        <w:t>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2017 and 2016:</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858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17</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152</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Available for sale investments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3,916</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1,670</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Interest rate swap agreements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44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16"/>
        </w:trPr>
        <w:tc>
          <w:tcPr>
            <w:tcW w:w="85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Foreign currency exchange contracts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70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Interest rate swap agreements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w:t>
            </w:r>
          </w:p>
        </w:tc>
      </w:tr>
    </w:tbl>
    <w:p>
      <w:pPr>
        <w:spacing w:after="0" w:line="108" w:lineRule="exact"/>
        <w:rPr>
          <w:sz w:val="20"/>
          <w:szCs w:val="20"/>
          <w:color w:val="auto"/>
        </w:rPr>
      </w:pPr>
    </w:p>
    <w:p>
      <w:pPr>
        <w:ind w:right="60" w:firstLine="357"/>
        <w:spacing w:after="0" w:line="241" w:lineRule="auto"/>
        <w:rPr>
          <w:sz w:val="20"/>
          <w:szCs w:val="20"/>
          <w:color w:val="auto"/>
        </w:rPr>
      </w:pPr>
      <w:r>
        <w:rPr>
          <w:rFonts w:ascii="Arial" w:cs="Arial" w:eastAsia="Arial" w:hAnsi="Arial"/>
          <w:sz w:val="19"/>
          <w:szCs w:val="19"/>
          <w:color w:val="auto"/>
        </w:rPr>
        <w:t>The foreign currency exchange contracts and interest rate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500"/>
        <w:spacing w:after="0" w:line="253" w:lineRule="auto"/>
        <w:rPr>
          <w:sz w:val="20"/>
          <w:szCs w:val="20"/>
          <w:color w:val="auto"/>
        </w:rPr>
      </w:pPr>
      <w:r>
        <w:rPr>
          <w:rFonts w:ascii="Arial" w:cs="Arial" w:eastAsia="Arial" w:hAnsi="Arial"/>
          <w:sz w:val="19"/>
          <w:szCs w:val="19"/>
          <w:color w:val="auto"/>
        </w:rPr>
        <w:t>government and corporate debt securities valued utilizing published prices based on quoted market pricing, which are classified within level 1.</w:t>
      </w:r>
    </w:p>
    <w:p>
      <w:pPr>
        <w:spacing w:after="0" w:line="80" w:lineRule="exact"/>
        <w:rPr>
          <w:sz w:val="20"/>
          <w:szCs w:val="20"/>
          <w:color w:val="auto"/>
        </w:rPr>
      </w:pPr>
    </w:p>
    <w:p>
      <w:pPr>
        <w:jc w:val="both"/>
        <w:ind w:right="120" w:firstLine="357"/>
        <w:spacing w:after="0" w:line="243" w:lineRule="auto"/>
        <w:rPr>
          <w:sz w:val="20"/>
          <w:szCs w:val="20"/>
          <w:color w:val="auto"/>
        </w:rPr>
      </w:pPr>
      <w:r>
        <w:rPr>
          <w:rFonts w:ascii="Arial" w:cs="Arial" w:eastAsia="Arial" w:hAnsi="Arial"/>
          <w:sz w:val="19"/>
          <w:szCs w:val="19"/>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December 31, 2017</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December 31, 2016</w:t>
            </w:r>
          </w:p>
        </w:tc>
      </w:tr>
      <w:tr>
        <w:trPr>
          <w:trHeight w:val="155"/>
        </w:trPr>
        <w:tc>
          <w:tcPr>
            <w:tcW w:w="6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4"/>
              <w:spacing w:after="0" w:line="155" w:lineRule="exact"/>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2"/>
              <w:spacing w:after="0" w:line="155"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54"/>
              <w:spacing w:after="0" w:line="155" w:lineRule="exact"/>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32"/>
              <w:spacing w:after="0" w:line="155" w:lineRule="exact"/>
              <w:rPr>
                <w:sz w:val="20"/>
                <w:szCs w:val="20"/>
                <w:color w:val="auto"/>
              </w:rPr>
            </w:pPr>
            <w:r>
              <w:rPr>
                <w:rFonts w:ascii="Arial" w:cs="Arial" w:eastAsia="Arial" w:hAnsi="Arial"/>
                <w:sz w:val="16"/>
                <w:szCs w:val="16"/>
                <w:b w:val="1"/>
                <w:bCs w:val="1"/>
                <w:color w:val="auto"/>
              </w:rPr>
              <w:t>Fair</w:t>
            </w:r>
          </w:p>
        </w:tc>
      </w:tr>
      <w:tr>
        <w:trPr>
          <w:trHeight w:val="190"/>
        </w:trPr>
        <w:tc>
          <w:tcPr>
            <w:tcW w:w="6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Value</w:t>
            </w:r>
          </w:p>
        </w:tc>
      </w:tr>
      <w:tr>
        <w:trPr>
          <w:trHeight w:val="210"/>
        </w:trPr>
        <w:tc>
          <w:tcPr>
            <w:tcW w:w="69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r>
      <w:tr>
        <w:trPr>
          <w:trHeight w:val="243"/>
        </w:trPr>
        <w:tc>
          <w:tcPr>
            <w:tcW w:w="6900" w:type="dxa"/>
            <w:vAlign w:val="bottom"/>
          </w:tcPr>
          <w:p>
            <w:pPr>
              <w:ind w:left="360"/>
              <w:spacing w:after="0"/>
              <w:rPr>
                <w:sz w:val="20"/>
                <w:szCs w:val="20"/>
                <w:color w:val="auto"/>
              </w:rPr>
            </w:pPr>
            <w:r>
              <w:rPr>
                <w:rFonts w:ascii="Arial" w:cs="Arial" w:eastAsia="Arial" w:hAnsi="Arial"/>
                <w:sz w:val="19"/>
                <w:szCs w:val="19"/>
                <w:color w:val="auto"/>
              </w:rPr>
              <w:t>Long-term receivables</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296</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289</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280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273</w:t>
            </w:r>
          </w:p>
        </w:tc>
      </w:tr>
      <w:tr>
        <w:trPr>
          <w:trHeight w:val="216"/>
        </w:trPr>
        <w:tc>
          <w:tcPr>
            <w:tcW w:w="69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r>
      <w:tr>
        <w:trPr>
          <w:trHeight w:val="261"/>
        </w:trPr>
        <w:tc>
          <w:tcPr>
            <w:tcW w:w="6900" w:type="dxa"/>
            <w:vAlign w:val="bottom"/>
          </w:tcPr>
          <w:p>
            <w:pPr>
              <w:ind w:left="360"/>
              <w:spacing w:after="0"/>
              <w:rPr>
                <w:sz w:val="20"/>
                <w:szCs w:val="20"/>
                <w:color w:val="auto"/>
              </w:rPr>
            </w:pPr>
            <w:r>
              <w:rPr>
                <w:rFonts w:ascii="Arial" w:cs="Arial" w:eastAsia="Arial" w:hAnsi="Arial"/>
                <w:sz w:val="19"/>
                <w:szCs w:val="19"/>
                <w:color w:val="auto"/>
              </w:rPr>
              <w:t>Long-term debt and related current maturities</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13,924</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14,695</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12,409</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40" w:type="dxa"/>
            <w:vAlign w:val="bottom"/>
          </w:tcPr>
          <w:p>
            <w:pPr>
              <w:jc w:val="right"/>
              <w:spacing w:after="0"/>
              <w:rPr>
                <w:sz w:val="20"/>
                <w:szCs w:val="20"/>
                <w:color w:val="auto"/>
              </w:rPr>
            </w:pPr>
            <w:r>
              <w:rPr>
                <w:rFonts w:ascii="Arial" w:cs="Arial" w:eastAsia="Arial" w:hAnsi="Arial"/>
                <w:sz w:val="19"/>
                <w:szCs w:val="19"/>
                <w:color w:val="auto"/>
              </w:rPr>
              <w:t>13,008</w:t>
            </w:r>
          </w:p>
        </w:tc>
      </w:tr>
    </w:tbl>
    <w:p>
      <w:pPr>
        <w:spacing w:after="0" w:line="91" w:lineRule="exact"/>
        <w:rPr>
          <w:sz w:val="20"/>
          <w:szCs w:val="20"/>
          <w:color w:val="auto"/>
        </w:rPr>
      </w:pPr>
    </w:p>
    <w:p>
      <w:pPr>
        <w:ind w:firstLine="357"/>
        <w:spacing w:after="0" w:line="242" w:lineRule="auto"/>
        <w:rPr>
          <w:sz w:val="20"/>
          <w:szCs w:val="20"/>
          <w:color w:val="auto"/>
        </w:rPr>
      </w:pPr>
      <w:r>
        <w:rPr>
          <w:rFonts w:ascii="Arial" w:cs="Arial" w:eastAsia="Arial" w:hAnsi="Arial"/>
          <w:sz w:val="19"/>
          <w:szCs w:val="19"/>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91" w:lineRule="exact"/>
        <w:rPr>
          <w:sz w:val="20"/>
          <w:szCs w:val="20"/>
          <w:color w:val="auto"/>
        </w:rPr>
      </w:pPr>
    </w:p>
    <w:p>
      <w:pPr>
        <w:ind w:right="220" w:firstLine="357"/>
        <w:spacing w:after="0" w:line="241" w:lineRule="auto"/>
        <w:rPr>
          <w:sz w:val="20"/>
          <w:szCs w:val="20"/>
          <w:color w:val="auto"/>
        </w:rPr>
      </w:pPr>
      <w:r>
        <w:rPr>
          <w:rFonts w:ascii="Arial" w:cs="Arial" w:eastAsia="Arial" w:hAnsi="Arial"/>
          <w:sz w:val="19"/>
          <w:szCs w:val="19"/>
          <w:color w:val="auto"/>
        </w:rPr>
        <w:t>Interest rate swap agreements are designated as hedge relationships with gains or losses on the derivative recognized in interest and other financial charges offsetting the gains and losses on the underlying debt being hedged. Losses on interest rate swap agreements recognized in earnings were $29 million and $71 million in the years ended December 31, 2017 and 2016 and were $2 million in the year ended December 31, 2015. Gains and losses are fully offset by losses and gains on the underlying debt being hedged.</w:t>
      </w:r>
    </w:p>
    <w:p>
      <w:pPr>
        <w:spacing w:after="0" w:line="9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$207 million of expense and $232 million of income in Other (income) expense in the years ended December 31, 2017 and 2016. We recognized $86 million of expense in Other (income) expense in the year ended December 31, 2015. See Note 4 Other (Income) Expense for further details of the net impact of these economic foreign currency hedges.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Other Liabilities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20" w:type="dxa"/>
            <w:vAlign w:val="bottom"/>
            <w:gridSpan w:val="4"/>
          </w:tcPr>
          <w:p>
            <w:pPr>
              <w:jc w:val="right"/>
              <w:ind w:right="325"/>
              <w:spacing w:after="0"/>
              <w:rPr>
                <w:sz w:val="20"/>
                <w:szCs w:val="20"/>
                <w:color w:val="auto"/>
              </w:rPr>
            </w:pPr>
            <w:r>
              <w:rPr>
                <w:rFonts w:ascii="Arial" w:cs="Arial" w:eastAsia="Arial" w:hAnsi="Arial"/>
                <w:sz w:val="16"/>
                <w:szCs w:val="16"/>
                <w:b w:val="1"/>
                <w:bCs w:val="1"/>
                <w:color w:val="auto"/>
              </w:rPr>
              <w:t>Years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Borders>
              <w:bottom w:val="single" w:sz="8" w:color="auto"/>
            </w:tcBorders>
          </w:tcPr>
          <w:p>
            <w:pPr>
              <w:jc w:val="right"/>
              <w:ind w:right="9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Pension and other employee related</w:t>
            </w:r>
          </w:p>
        </w:tc>
        <w:tc>
          <w:tcPr>
            <w:tcW w:w="4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$ 1,986</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2,084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9"/>
                <w:szCs w:val="19"/>
                <w:color w:val="auto"/>
              </w:rPr>
              <w:t>Income taxes</w:t>
            </w:r>
          </w:p>
        </w:tc>
        <w:tc>
          <w:tcPr>
            <w:tcW w:w="4680" w:type="dxa"/>
            <w:vAlign w:val="bottom"/>
            <w:gridSpan w:val="2"/>
          </w:tcPr>
          <w:p>
            <w:pPr>
              <w:jc w:val="right"/>
              <w:spacing w:after="0"/>
              <w:rPr>
                <w:sz w:val="20"/>
                <w:szCs w:val="20"/>
                <w:color w:val="auto"/>
              </w:rPr>
            </w:pPr>
            <w:r>
              <w:rPr>
                <w:rFonts w:ascii="Arial" w:cs="Arial" w:eastAsia="Arial" w:hAnsi="Arial"/>
                <w:sz w:val="19"/>
                <w:szCs w:val="19"/>
                <w:color w:val="auto"/>
              </w:rPr>
              <w:t>2,898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1,041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Environmental</w:t>
            </w:r>
          </w:p>
        </w:tc>
        <w:tc>
          <w:tcPr>
            <w:tcW w:w="4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369</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9"/>
                <w:szCs w:val="19"/>
                <w:color w:val="auto"/>
              </w:rPr>
              <w:t>Insurance</w:t>
            </w:r>
          </w:p>
        </w:tc>
        <w:tc>
          <w:tcPr>
            <w:tcW w:w="4680" w:type="dxa"/>
            <w:vAlign w:val="bottom"/>
            <w:gridSpan w:val="2"/>
          </w:tcPr>
          <w:p>
            <w:pPr>
              <w:jc w:val="right"/>
              <w:spacing w:after="0"/>
              <w:rPr>
                <w:sz w:val="20"/>
                <w:szCs w:val="20"/>
                <w:color w:val="auto"/>
              </w:rPr>
            </w:pPr>
            <w:r>
              <w:rPr>
                <w:rFonts w:ascii="Arial" w:cs="Arial" w:eastAsia="Arial" w:hAnsi="Arial"/>
                <w:sz w:val="19"/>
                <w:szCs w:val="19"/>
                <w:color w:val="auto"/>
              </w:rPr>
              <w:t>233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253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Product warranties and performance guarantees</w:t>
            </w:r>
          </w:p>
        </w:tc>
        <w:tc>
          <w:tcPr>
            <w:tcW w:w="4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9"/>
                <w:szCs w:val="19"/>
                <w:color w:val="auto"/>
              </w:rPr>
              <w:t>Asset retirement obligations</w:t>
            </w:r>
          </w:p>
        </w:tc>
        <w:tc>
          <w:tcPr>
            <w:tcW w:w="4680" w:type="dxa"/>
            <w:vAlign w:val="bottom"/>
            <w:gridSpan w:val="2"/>
          </w:tcPr>
          <w:p>
            <w:pPr>
              <w:jc w:val="right"/>
              <w:spacing w:after="0"/>
              <w:rPr>
                <w:sz w:val="20"/>
                <w:szCs w:val="20"/>
                <w:color w:val="auto"/>
              </w:rPr>
            </w:pPr>
            <w:r>
              <w:rPr>
                <w:rFonts w:ascii="Arial" w:cs="Arial" w:eastAsia="Arial" w:hAnsi="Arial"/>
                <w:sz w:val="19"/>
                <w:szCs w:val="19"/>
                <w:color w:val="auto"/>
              </w:rPr>
              <w:t>82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9"/>
                <w:szCs w:val="19"/>
                <w:color w:val="auto"/>
              </w:rPr>
              <w:t>Deferred income</w:t>
            </w:r>
          </w:p>
        </w:tc>
        <w:tc>
          <w:tcPr>
            <w:tcW w:w="4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640" w:type="dxa"/>
            <w:vAlign w:val="bottom"/>
          </w:tcPr>
          <w:p>
            <w:pPr>
              <w:spacing w:after="0"/>
              <w:rPr>
                <w:sz w:val="20"/>
                <w:szCs w:val="20"/>
                <w:color w:val="auto"/>
              </w:rPr>
            </w:pPr>
            <w:r>
              <w:rPr>
                <w:rFonts w:ascii="Arial" w:cs="Arial" w:eastAsia="Arial" w:hAnsi="Arial"/>
                <w:sz w:val="19"/>
                <w:szCs w:val="19"/>
                <w:color w:val="auto"/>
              </w:rPr>
              <w:t>Other</w:t>
            </w:r>
          </w:p>
        </w:tc>
        <w:tc>
          <w:tcPr>
            <w:tcW w:w="394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185</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640" w:type="dxa"/>
            <w:vAlign w:val="bottom"/>
            <w:shd w:val="clear" w:color="auto" w:fill="E5FFFF"/>
          </w:tcPr>
          <w:p>
            <w:pPr>
              <w:spacing w:after="0"/>
              <w:rPr>
                <w:sz w:val="21"/>
                <w:szCs w:val="21"/>
                <w:color w:val="auto"/>
              </w:rPr>
            </w:pPr>
          </w:p>
        </w:tc>
        <w:tc>
          <w:tcPr>
            <w:tcW w:w="4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$ 5,930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4,110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940" w:type="dxa"/>
            <w:vAlign w:val="bottom"/>
            <w:vMerge w:val="restart"/>
          </w:tcPr>
          <w:p>
            <w:pPr>
              <w:jc w:val="right"/>
              <w:ind w:right="3163"/>
              <w:spacing w:after="0"/>
              <w:rPr>
                <w:sz w:val="20"/>
                <w:szCs w:val="20"/>
                <w:color w:val="auto"/>
              </w:rPr>
            </w:pPr>
            <w:r>
              <w:rPr>
                <w:rFonts w:ascii="Arial" w:cs="Arial" w:eastAsia="Arial" w:hAnsi="Arial"/>
                <w:sz w:val="19"/>
                <w:szCs w:val="19"/>
                <w:color w:val="auto"/>
              </w:rPr>
              <w:t>61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 Capital Stock</w:t>
      </w:r>
    </w:p>
    <w:p>
      <w:pPr>
        <w:spacing w:after="0" w:line="130"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We are authorized to issue up to 2,000,000,000 shares of common stock, with a par value of $1. Common shareowners are entitled to receive such dividends as may be declared by the Board of Directors,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94"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In December 2017, the Board of Directors authorized the repurchase of up to $8 billion of Honeywell common stock, which replaces the previously approved share repurchase program. Approximately $7.7 billion remained available as of December 31, 2017. This authorization included amounts remaining under and replaced the previously approved share repurchase program. Under that previous share repurchase plan announced in April 2016 the Board of Directors authorized the repurchase of up to $5 billion of Honeywell common stock and $4.1 billion remained available as of December 31, 2016.</w:t>
      </w:r>
    </w:p>
    <w:p>
      <w:pPr>
        <w:spacing w:after="0" w:line="91" w:lineRule="exact"/>
        <w:rPr>
          <w:sz w:val="20"/>
          <w:szCs w:val="20"/>
          <w:color w:val="auto"/>
        </w:rPr>
      </w:pPr>
    </w:p>
    <w:p>
      <w:pPr>
        <w:ind w:right="460" w:firstLine="357"/>
        <w:spacing w:after="0" w:line="253" w:lineRule="auto"/>
        <w:rPr>
          <w:sz w:val="20"/>
          <w:szCs w:val="20"/>
          <w:color w:val="auto"/>
        </w:rPr>
      </w:pPr>
      <w:r>
        <w:rPr>
          <w:rFonts w:ascii="Arial" w:cs="Arial" w:eastAsia="Arial" w:hAnsi="Arial"/>
          <w:sz w:val="19"/>
          <w:szCs w:val="19"/>
          <w:color w:val="auto"/>
        </w:rPr>
        <w:t>For the year ended December 31, 2017, we repurchased approximately 20.5 million shares of our common stock for $2,889 million.</w:t>
      </w:r>
    </w:p>
    <w:p>
      <w:pPr>
        <w:spacing w:after="0" w:line="66" w:lineRule="exact"/>
        <w:rPr>
          <w:sz w:val="20"/>
          <w:szCs w:val="20"/>
          <w:color w:val="auto"/>
        </w:rPr>
      </w:pPr>
    </w:p>
    <w:p>
      <w:pPr>
        <w:ind w:right="460" w:firstLine="357"/>
        <w:spacing w:after="0" w:line="253" w:lineRule="auto"/>
        <w:rPr>
          <w:sz w:val="20"/>
          <w:szCs w:val="20"/>
          <w:color w:val="auto"/>
        </w:rPr>
      </w:pPr>
      <w:r>
        <w:rPr>
          <w:rFonts w:ascii="Arial" w:cs="Arial" w:eastAsia="Arial" w:hAnsi="Arial"/>
          <w:sz w:val="19"/>
          <w:szCs w:val="19"/>
          <w:color w:val="auto"/>
        </w:rPr>
        <w:t>For the year ended December 31, 2016, we repurchased approximately 19.3 million shares of our common stock for $2,079 million.</w:t>
      </w:r>
    </w:p>
    <w:p>
      <w:pPr>
        <w:spacing w:after="0" w:line="80" w:lineRule="exact"/>
        <w:rPr>
          <w:sz w:val="20"/>
          <w:szCs w:val="20"/>
          <w:color w:val="auto"/>
        </w:rPr>
      </w:pPr>
    </w:p>
    <w:p>
      <w:pPr>
        <w:jc w:val="both"/>
        <w:ind w:right="500" w:firstLine="357"/>
        <w:spacing w:after="0" w:line="245" w:lineRule="auto"/>
        <w:rPr>
          <w:sz w:val="20"/>
          <w:szCs w:val="20"/>
          <w:color w:val="auto"/>
        </w:rPr>
      </w:pPr>
      <w:r>
        <w:rPr>
          <w:rFonts w:ascii="Arial" w:cs="Arial" w:eastAsia="Arial" w:hAnsi="Arial"/>
          <w:sz w:val="19"/>
          <w:szCs w:val="19"/>
          <w:color w:val="auto"/>
        </w:rPr>
        <w:t>We are authorized to issue up to 40,000,000 shares of preferred stock, without par value, and can determine the number of shares of each series, and the rights, preferences and limitations of each series. At December 31, 2017, there was no preferred stock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Accumulated Other Comprehensive Income (Loss)</w:t>
      </w:r>
    </w:p>
    <w:p>
      <w:pPr>
        <w:spacing w:after="0" w:line="130" w:lineRule="exact"/>
        <w:rPr>
          <w:sz w:val="20"/>
          <w:szCs w:val="20"/>
          <w:color w:val="auto"/>
        </w:rPr>
      </w:pPr>
    </w:p>
    <w:p>
      <w:pPr>
        <w:ind w:right="20" w:firstLine="357"/>
        <w:spacing w:after="0" w:line="246" w:lineRule="auto"/>
        <w:rPr>
          <w:sz w:val="20"/>
          <w:szCs w:val="20"/>
          <w:color w:val="auto"/>
        </w:rPr>
      </w:pPr>
      <w:r>
        <w:rPr>
          <w:rFonts w:ascii="Arial" w:cs="Arial" w:eastAsia="Arial" w:hAnsi="Arial"/>
          <w:sz w:val="19"/>
          <w:szCs w:val="19"/>
          <w:color w:val="auto"/>
        </w:rPr>
        <w:t>The changes in Accumulated other comprehensive income (loss) are provided in the tables below. Comprehensive income (loss) attributable to noncontrolling interest consists predominantly of net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95"/>
              </w:rPr>
              <w:t>Pre-tax</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Tax</w:t>
            </w:r>
          </w:p>
        </w:tc>
        <w:tc>
          <w:tcPr>
            <w:tcW w:w="30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6"/>
                <w:szCs w:val="16"/>
                <w:b w:val="1"/>
                <w:bCs w:val="1"/>
                <w:color w:val="auto"/>
              </w:rPr>
              <w:t>After-Tax</w:t>
            </w:r>
          </w:p>
        </w:tc>
        <w:tc>
          <w:tcPr>
            <w:tcW w:w="0" w:type="dxa"/>
            <w:vAlign w:val="bottom"/>
          </w:tcPr>
          <w:p>
            <w:pPr>
              <w:spacing w:after="0"/>
              <w:rPr>
                <w:sz w:val="1"/>
                <w:szCs w:val="1"/>
                <w:color w:val="auto"/>
              </w:rPr>
            </w:pPr>
          </w:p>
        </w:tc>
      </w:tr>
      <w:tr>
        <w:trPr>
          <w:trHeight w:val="210"/>
        </w:trPr>
        <w:tc>
          <w:tcPr>
            <w:tcW w:w="51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2017</w:t>
            </w:r>
          </w:p>
        </w:tc>
        <w:tc>
          <w:tcPr>
            <w:tcW w:w="3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34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(37)</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847</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(170)</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677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(194)</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(161)</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1"/>
                <w:szCs w:val="21"/>
                <w:color w:val="auto"/>
              </w:rPr>
            </w:pPr>
          </w:p>
        </w:tc>
        <w:tc>
          <w:tcPr>
            <w:tcW w:w="34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616</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5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479</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9"/>
                <w:szCs w:val="19"/>
                <w:b w:val="1"/>
                <w:bCs w:val="1"/>
                <w:color w:val="auto"/>
              </w:rPr>
              <w:t>Year Ended December 31, 2016</w:t>
            </w:r>
          </w:p>
        </w:tc>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Foreign exchange translation adjustment</w:t>
            </w:r>
          </w:p>
        </w:tc>
        <w:tc>
          <w:tcPr>
            <w:tcW w:w="34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(336)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101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(235)</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134</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4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(254)</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75</w:t>
            </w:r>
          </w:p>
        </w:tc>
        <w:tc>
          <w:tcPr>
            <w:tcW w:w="50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2015</w:t>
            </w:r>
          </w:p>
        </w:tc>
        <w:tc>
          <w:tcPr>
            <w:tcW w:w="3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34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(1,152)</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(1,152)</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129</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r>
        <w:trPr>
          <w:trHeight w:val="216"/>
        </w:trPr>
        <w:tc>
          <w:tcPr>
            <w:tcW w:w="5160" w:type="dxa"/>
            <w:vAlign w:val="bottom"/>
            <w:shd w:val="clear" w:color="auto" w:fill="E5FFFF"/>
          </w:tcPr>
          <w:p>
            <w:pPr>
              <w:spacing w:after="0"/>
              <w:rPr>
                <w:sz w:val="18"/>
                <w:szCs w:val="18"/>
                <w:color w:val="auto"/>
              </w:rPr>
            </w:pPr>
          </w:p>
        </w:tc>
        <w:tc>
          <w:tcPr>
            <w:tcW w:w="3400" w:type="dxa"/>
            <w:vAlign w:val="bottom"/>
            <w:gridSpan w:val="2"/>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(1,034)</w:t>
            </w:r>
          </w:p>
        </w:tc>
        <w:tc>
          <w:tcPr>
            <w:tcW w:w="460" w:type="dxa"/>
            <w:vAlign w:val="bottom"/>
            <w:gridSpan w:val="2"/>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(42)</w:t>
            </w:r>
          </w:p>
        </w:tc>
        <w:tc>
          <w:tcPr>
            <w:tcW w:w="500" w:type="dxa"/>
            <w:vAlign w:val="bottom"/>
            <w:gridSpan w:val="2"/>
            <w:shd w:val="clear" w:color="auto" w:fill="E5FFFF"/>
          </w:tcPr>
          <w:p>
            <w:pPr>
              <w:jc w:val="right"/>
              <w:ind w:right="1"/>
              <w:spacing w:after="0" w:line="216" w:lineRule="exact"/>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(1,076)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60" w:type="dxa"/>
            <w:vAlign w:val="bottom"/>
            <w:vMerge w:val="restart"/>
          </w:tcPr>
          <w:p>
            <w:pPr>
              <w:jc w:val="right"/>
              <w:ind w:right="2503"/>
              <w:spacing w:after="0"/>
              <w:rPr>
                <w:sz w:val="20"/>
                <w:szCs w:val="20"/>
                <w:color w:val="auto"/>
              </w:rPr>
            </w:pPr>
            <w:r>
              <w:rPr>
                <w:rFonts w:ascii="Arial" w:cs="Arial" w:eastAsia="Arial" w:hAnsi="Arial"/>
                <w:sz w:val="19"/>
                <w:szCs w:val="19"/>
                <w:color w:val="auto"/>
              </w:rPr>
              <w:t>62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Accumulated Other Comprehensive Income (Loss)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2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3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9420" w:type="dxa"/>
            <w:vAlign w:val="bottom"/>
          </w:tcPr>
          <w:p>
            <w:pPr>
              <w:spacing w:after="0"/>
              <w:rPr>
                <w:sz w:val="14"/>
                <w:szCs w:val="14"/>
                <w:color w:val="auto"/>
              </w:rPr>
            </w:pPr>
          </w:p>
        </w:tc>
        <w:tc>
          <w:tcPr>
            <w:tcW w:w="82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2016</w:t>
            </w:r>
          </w:p>
        </w:tc>
      </w:tr>
      <w:tr>
        <w:trPr>
          <w:trHeight w:val="210"/>
        </w:trPr>
        <w:tc>
          <w:tcPr>
            <w:tcW w:w="94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Cumulative foreign exchange translation adjustment</w:t>
            </w:r>
          </w:p>
        </w:tc>
        <w:tc>
          <w:tcPr>
            <w:tcW w:w="8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 (1,981)</w:t>
            </w:r>
          </w:p>
        </w:tc>
        <w:tc>
          <w:tcPr>
            <w:tcW w:w="480" w:type="dxa"/>
            <w:vAlign w:val="bottom"/>
            <w:gridSpan w:val="2"/>
            <w:shd w:val="clear" w:color="auto" w:fill="E5FFFF"/>
          </w:tcPr>
          <w:p>
            <w:pPr>
              <w:jc w:val="right"/>
              <w:ind w:right="40"/>
              <w:spacing w:after="0" w:line="210" w:lineRule="exact"/>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(1,944)</w:t>
            </w:r>
          </w:p>
        </w:tc>
      </w:tr>
      <w:tr>
        <w:trPr>
          <w:trHeight w:val="243"/>
        </w:trPr>
        <w:tc>
          <w:tcPr>
            <w:tcW w:w="9420" w:type="dxa"/>
            <w:vAlign w:val="bottom"/>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820" w:type="dxa"/>
            <w:vAlign w:val="bottom"/>
          </w:tcPr>
          <w:p>
            <w:pPr>
              <w:jc w:val="right"/>
              <w:spacing w:after="0"/>
              <w:rPr>
                <w:sz w:val="20"/>
                <w:szCs w:val="20"/>
                <w:color w:val="auto"/>
              </w:rPr>
            </w:pPr>
            <w:r>
              <w:rPr>
                <w:rFonts w:ascii="Arial" w:cs="Arial" w:eastAsia="Arial" w:hAnsi="Arial"/>
                <w:sz w:val="19"/>
                <w:szCs w:val="19"/>
                <w:color w:val="auto"/>
              </w:rPr>
              <w:t>(202)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(879)</w:t>
            </w:r>
          </w:p>
        </w:tc>
      </w:tr>
      <w:tr>
        <w:trPr>
          <w:trHeight w:val="243"/>
        </w:trPr>
        <w:tc>
          <w:tcPr>
            <w:tcW w:w="9420" w:type="dxa"/>
            <w:vAlign w:val="bottom"/>
            <w:shd w:val="clear" w:color="auto" w:fill="E5FFFF"/>
          </w:tcPr>
          <w:p>
            <w:pPr>
              <w:spacing w:after="0"/>
              <w:rPr>
                <w:sz w:val="20"/>
                <w:szCs w:val="20"/>
                <w:color w:val="auto"/>
              </w:rPr>
            </w:pPr>
            <w:r>
              <w:rPr>
                <w:rFonts w:ascii="Arial" w:cs="Arial" w:eastAsia="Arial" w:hAnsi="Arial"/>
                <w:sz w:val="19"/>
                <w:szCs w:val="19"/>
                <w:color w:val="auto"/>
              </w:rPr>
              <w:t>Fair value of available for sale investments</w:t>
            </w:r>
          </w:p>
        </w:tc>
        <w:tc>
          <w:tcPr>
            <w:tcW w:w="8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w:t>
            </w:r>
          </w:p>
        </w:tc>
      </w:tr>
      <w:tr>
        <w:trPr>
          <w:trHeight w:val="250"/>
        </w:trPr>
        <w:tc>
          <w:tcPr>
            <w:tcW w:w="9420" w:type="dxa"/>
            <w:vAlign w:val="bottom"/>
          </w:tcPr>
          <w:p>
            <w:pPr>
              <w:spacing w:after="0"/>
              <w:rPr>
                <w:sz w:val="20"/>
                <w:szCs w:val="20"/>
                <w:color w:val="auto"/>
              </w:rPr>
            </w:pPr>
            <w:r>
              <w:rPr>
                <w:rFonts w:ascii="Arial" w:cs="Arial" w:eastAsia="Arial" w:hAnsi="Arial"/>
                <w:sz w:val="19"/>
                <w:szCs w:val="19"/>
                <w:color w:val="auto"/>
              </w:rPr>
              <w:t>Fair value of effective cash flow hedges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109</w:t>
            </w:r>
          </w:p>
        </w:tc>
      </w:tr>
      <w:tr>
        <w:trPr>
          <w:trHeight w:val="216"/>
        </w:trPr>
        <w:tc>
          <w:tcPr>
            <w:tcW w:w="94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 (2,235)</w:t>
            </w:r>
          </w:p>
        </w:tc>
        <w:tc>
          <w:tcPr>
            <w:tcW w:w="480" w:type="dxa"/>
            <w:vAlign w:val="bottom"/>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(2,714)</w:t>
            </w:r>
          </w:p>
        </w:tc>
      </w:tr>
      <w:tr>
        <w:trPr>
          <w:trHeight w:val="20"/>
        </w:trPr>
        <w:tc>
          <w:tcPr>
            <w:tcW w:w="9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Accumulated Other Comprehensive Income (Loss) by Component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9"/>
              </w:rPr>
              <w:t>Changes in</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3"/>
          </w:tcPr>
          <w:p>
            <w:pPr>
              <w:jc w:val="center"/>
              <w:ind w:right="260"/>
              <w:spacing w:after="0" w:line="176" w:lineRule="exact"/>
              <w:rPr>
                <w:sz w:val="20"/>
                <w:szCs w:val="20"/>
                <w:color w:val="auto"/>
              </w:rPr>
            </w:pPr>
            <w:r>
              <w:rPr>
                <w:rFonts w:ascii="Arial" w:cs="Arial" w:eastAsia="Arial" w:hAnsi="Arial"/>
                <w:sz w:val="16"/>
                <w:szCs w:val="16"/>
                <w:b w:val="1"/>
                <w:bCs w:val="1"/>
                <w:color w:val="auto"/>
                <w:w w:val="98"/>
              </w:rPr>
              <w:t>Foreign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center"/>
              <w:ind w:left="16"/>
              <w:spacing w:after="0" w:line="176" w:lineRule="exact"/>
              <w:rPr>
                <w:sz w:val="20"/>
                <w:szCs w:val="20"/>
                <w:color w:val="auto"/>
              </w:rPr>
            </w:pPr>
            <w:r>
              <w:rPr>
                <w:rFonts w:ascii="Arial" w:cs="Arial" w:eastAsia="Arial" w:hAnsi="Arial"/>
                <w:sz w:val="16"/>
                <w:szCs w:val="16"/>
                <w:b w:val="1"/>
                <w:bCs w:val="1"/>
                <w:color w:val="auto"/>
                <w:w w:val="99"/>
              </w:rPr>
              <w:t>Pension</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1"/>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14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7"/>
              </w:rPr>
              <w:t>Exchange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center"/>
              <w:ind w:left="16"/>
              <w:spacing w:after="0" w:line="176" w:lineRule="exact"/>
              <w:rPr>
                <w:sz w:val="20"/>
                <w:szCs w:val="20"/>
                <w:color w:val="auto"/>
              </w:rPr>
            </w:pPr>
            <w:r>
              <w:rPr>
                <w:rFonts w:ascii="Arial" w:cs="Arial" w:eastAsia="Arial" w:hAnsi="Arial"/>
                <w:sz w:val="16"/>
                <w:szCs w:val="16"/>
                <w:b w:val="1"/>
                <w:bCs w:val="1"/>
                <w:color w:val="auto"/>
                <w:w w:val="97"/>
              </w:rPr>
              <w:t>and Other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1"/>
              <w:spacing w:after="0" w:line="176" w:lineRule="exact"/>
              <w:rPr>
                <w:sz w:val="20"/>
                <w:szCs w:val="20"/>
                <w:color w:val="auto"/>
              </w:rPr>
            </w:pPr>
            <w:r>
              <w:rPr>
                <w:rFonts w:ascii="Arial" w:cs="Arial" w:eastAsia="Arial" w:hAnsi="Arial"/>
                <w:sz w:val="16"/>
                <w:szCs w:val="16"/>
                <w:b w:val="1"/>
                <w:bCs w:val="1"/>
                <w:color w:val="auto"/>
                <w:w w:val="98"/>
              </w:rPr>
              <w:t>Effective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114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7"/>
              </w:rPr>
              <w:t>Translation</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1"/>
              <w:spacing w:after="0" w:line="176" w:lineRule="exact"/>
              <w:rPr>
                <w:sz w:val="20"/>
                <w:szCs w:val="20"/>
                <w:color w:val="auto"/>
              </w:rPr>
            </w:pPr>
            <w:r>
              <w:rPr>
                <w:rFonts w:ascii="Arial" w:cs="Arial" w:eastAsia="Arial" w:hAnsi="Arial"/>
                <w:sz w:val="16"/>
                <w:szCs w:val="16"/>
                <w:b w:val="1"/>
                <w:bCs w:val="1"/>
                <w:color w:val="auto"/>
                <w:w w:val="97"/>
              </w:rPr>
              <w:t>Cash Flow</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7"/>
              </w:rPr>
              <w:t>Adjustment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Adjustments</w:t>
            </w:r>
          </w:p>
        </w:tc>
        <w:tc>
          <w:tcPr>
            <w:tcW w:w="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1"/>
              <w:spacing w:after="0"/>
              <w:rPr>
                <w:sz w:val="20"/>
                <w:szCs w:val="20"/>
                <w:color w:val="auto"/>
              </w:rPr>
            </w:pPr>
            <w:r>
              <w:rPr>
                <w:rFonts w:ascii="Arial" w:cs="Arial" w:eastAsia="Arial" w:hAnsi="Arial"/>
                <w:sz w:val="16"/>
                <w:szCs w:val="16"/>
                <w:b w:val="1"/>
                <w:bCs w:val="1"/>
                <w:color w:val="auto"/>
              </w:rPr>
              <w:t>Hedges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w w:val="94"/>
              </w:rPr>
              <w:t>Total</w:t>
            </w:r>
          </w:p>
        </w:tc>
        <w:tc>
          <w:tcPr>
            <w:tcW w:w="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2015</w:t>
            </w:r>
          </w:p>
        </w:tc>
        <w:tc>
          <w:tcPr>
            <w:tcW w:w="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0"/>
                <w:szCs w:val="20"/>
                <w:color w:val="auto"/>
              </w:rPr>
            </w:pP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(1,892)</w:t>
            </w:r>
          </w:p>
        </w:tc>
        <w:tc>
          <w:tcPr>
            <w:tcW w:w="1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gridSpan w:val="2"/>
            <w:shd w:val="clear" w:color="auto" w:fill="E5FFFF"/>
          </w:tcPr>
          <w:p>
            <w:pPr>
              <w:jc w:val="right"/>
              <w:ind w:right="436"/>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(644)</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w:t>
            </w:r>
          </w:p>
        </w:tc>
        <w:tc>
          <w:tcPr>
            <w:tcW w:w="11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(2,535)</w:t>
            </w:r>
          </w:p>
        </w:tc>
        <w:tc>
          <w:tcPr>
            <w:tcW w:w="38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line="216" w:lineRule="exact"/>
              <w:rPr>
                <w:sz w:val="20"/>
                <w:szCs w:val="20"/>
                <w:color w:val="auto"/>
              </w:rPr>
            </w:pPr>
            <w:r>
              <w:rPr>
                <w:rFonts w:ascii="Arial" w:cs="Arial" w:eastAsia="Arial" w:hAnsi="Arial"/>
                <w:sz w:val="19"/>
                <w:szCs w:val="19"/>
                <w:color w:val="auto"/>
              </w:rPr>
              <w:t>Other comprehensive income (loss) before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81"/>
              <w:spacing w:after="0" w:line="216" w:lineRule="exact"/>
              <w:rPr>
                <w:sz w:val="20"/>
                <w:szCs w:val="20"/>
                <w:color w:val="auto"/>
              </w:rPr>
            </w:pPr>
            <w:r>
              <w:rPr>
                <w:rFonts w:ascii="Arial" w:cs="Arial" w:eastAsia="Arial" w:hAnsi="Arial"/>
                <w:sz w:val="19"/>
                <w:szCs w:val="19"/>
                <w:color w:val="auto"/>
              </w:rPr>
              <w:t>103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(337)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 (loss)</w:t>
            </w:r>
          </w:p>
        </w:tc>
        <w:tc>
          <w:tcPr>
            <w:tcW w:w="26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2"/>
            <w:shd w:val="clear" w:color="auto" w:fill="E5FFFF"/>
          </w:tcPr>
          <w:p>
            <w:pPr>
              <w:jc w:val="right"/>
              <w:ind w:right="120"/>
              <w:spacing w:after="0" w:line="216" w:lineRule="exact"/>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153</w:t>
            </w:r>
          </w:p>
        </w:tc>
        <w:tc>
          <w:tcPr>
            <w:tcW w:w="100" w:type="dxa"/>
            <w:vAlign w:val="bottom"/>
            <w:tcBorders>
              <w:bottom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gridSpan w:val="2"/>
            <w:shd w:val="clear" w:color="auto" w:fill="E5FFFF"/>
          </w:tcPr>
          <w:p>
            <w:pPr>
              <w:jc w:val="right"/>
              <w:ind w:right="81"/>
              <w:spacing w:after="0" w:line="216" w:lineRule="exact"/>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540" w:type="dxa"/>
            <w:vAlign w:val="bottom"/>
            <w:tcBorders>
              <w:bottom w:val="single" w:sz="8" w:color="auto"/>
            </w:tcBorders>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158</w:t>
            </w:r>
          </w:p>
        </w:tc>
        <w:tc>
          <w:tcPr>
            <w:tcW w:w="60" w:type="dxa"/>
            <w:vAlign w:val="bottom"/>
            <w:tcBorders>
              <w:bottom w:val="single" w:sz="8" w:color="auto"/>
            </w:tcBorders>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360"/>
              <w:spacing w:after="0"/>
              <w:rPr>
                <w:sz w:val="20"/>
                <w:szCs w:val="20"/>
                <w:color w:val="auto"/>
              </w:rPr>
            </w:pPr>
            <w:r>
              <w:rPr>
                <w:rFonts w:ascii="Arial" w:cs="Arial" w:eastAsia="Arial" w:hAnsi="Arial"/>
                <w:sz w:val="19"/>
                <w:szCs w:val="19"/>
                <w:color w:val="auto"/>
              </w:rPr>
              <w:t>Net current period other comprehensive income (loss)</w:t>
            </w: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(52)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(235)</w:t>
            </w:r>
          </w:p>
        </w:tc>
        <w:tc>
          <w:tcPr>
            <w:tcW w:w="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9"/>
                <w:szCs w:val="19"/>
                <w:color w:val="auto"/>
              </w:rPr>
              <w:t>108</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(179)</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2016</w:t>
            </w:r>
          </w:p>
        </w:tc>
        <w:tc>
          <w:tcPr>
            <w:tcW w:w="260" w:type="dxa"/>
            <w:vAlign w:val="bottom"/>
            <w:shd w:val="clear" w:color="auto" w:fill="E5FFFF"/>
          </w:tcPr>
          <w:p>
            <w:pPr>
              <w:ind w:left="20"/>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(1,944)</w:t>
            </w: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ind w:right="436"/>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(879)</w:t>
            </w:r>
          </w:p>
        </w:tc>
        <w:tc>
          <w:tcPr>
            <w:tcW w:w="5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8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109</w:t>
            </w:r>
          </w:p>
        </w:tc>
        <w:tc>
          <w:tcPr>
            <w:tcW w:w="11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(2,714)</w:t>
            </w:r>
          </w:p>
        </w:tc>
        <w:tc>
          <w:tcPr>
            <w:tcW w:w="3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80"/>
              <w:spacing w:after="0"/>
              <w:rPr>
                <w:sz w:val="20"/>
                <w:szCs w:val="20"/>
                <w:color w:val="auto"/>
              </w:rPr>
            </w:pPr>
            <w:r>
              <w:rPr>
                <w:rFonts w:ascii="Arial" w:cs="Arial" w:eastAsia="Arial" w:hAnsi="Arial"/>
                <w:sz w:val="19"/>
                <w:szCs w:val="19"/>
                <w:color w:val="auto"/>
              </w:rPr>
              <w:t>Other comprehensive income (loss) before</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(101)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507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w:t>
            </w:r>
          </w:p>
        </w:tc>
        <w:tc>
          <w:tcPr>
            <w:tcW w:w="26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2"/>
            <w:shd w:val="clear" w:color="auto" w:fill="E5FFFF"/>
          </w:tcPr>
          <w:p>
            <w:pPr>
              <w:jc w:val="right"/>
              <w:ind w:right="120"/>
              <w:spacing w:after="0" w:line="216" w:lineRule="exact"/>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32</w:t>
            </w:r>
          </w:p>
        </w:tc>
        <w:tc>
          <w:tcPr>
            <w:tcW w:w="100" w:type="dxa"/>
            <w:vAlign w:val="bottom"/>
            <w:tcBorders>
              <w:bottom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8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(60)</w:t>
            </w:r>
          </w:p>
        </w:tc>
        <w:tc>
          <w:tcPr>
            <w:tcW w:w="3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600" w:type="dxa"/>
            <w:vAlign w:val="bottom"/>
            <w:tcBorders>
              <w:bottom w:val="single" w:sz="8" w:color="auto"/>
            </w:tcBorders>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(28)</w:t>
            </w: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60" w:type="dxa"/>
            <w:vAlign w:val="bottom"/>
          </w:tcPr>
          <w:p>
            <w:pPr>
              <w:ind w:left="360"/>
              <w:spacing w:after="0"/>
              <w:rPr>
                <w:sz w:val="20"/>
                <w:szCs w:val="20"/>
                <w:color w:val="auto"/>
              </w:rPr>
            </w:pPr>
            <w:r>
              <w:rPr>
                <w:rFonts w:ascii="Arial" w:cs="Arial" w:eastAsia="Arial" w:hAnsi="Arial"/>
                <w:sz w:val="19"/>
                <w:szCs w:val="19"/>
                <w:color w:val="auto"/>
              </w:rPr>
              <w:t>Net current period other comprehensive income (loss)</w:t>
            </w: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(37)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9"/>
                <w:szCs w:val="19"/>
                <w:color w:val="auto"/>
              </w:rPr>
              <w:t>677</w:t>
            </w:r>
          </w:p>
        </w:tc>
        <w:tc>
          <w:tcPr>
            <w:tcW w:w="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9"/>
                <w:szCs w:val="19"/>
                <w:color w:val="auto"/>
              </w:rPr>
              <w:t>(161)</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479</w:t>
            </w:r>
          </w:p>
        </w:tc>
        <w:tc>
          <w:tcPr>
            <w:tcW w:w="6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Balance at December 31, 2017</w:t>
            </w:r>
          </w:p>
        </w:tc>
        <w:tc>
          <w:tcPr>
            <w:tcW w:w="260" w:type="dxa"/>
            <w:vAlign w:val="bottom"/>
            <w:tcBorders>
              <w:bottom w:val="single" w:sz="8" w:color="auto"/>
            </w:tcBorders>
            <w:shd w:val="clear" w:color="auto" w:fill="E5FFFF"/>
          </w:tcPr>
          <w:p>
            <w:pPr>
              <w:ind w:left="20"/>
              <w:spacing w:after="0" w:line="216" w:lineRule="exact"/>
              <w:rPr>
                <w:sz w:val="20"/>
                <w:szCs w:val="20"/>
                <w:color w:val="auto"/>
              </w:rPr>
            </w:pPr>
            <w:r>
              <w:rPr>
                <w:rFonts w:ascii="Arial" w:cs="Arial" w:eastAsia="Arial" w:hAnsi="Arial"/>
                <w:sz w:val="19"/>
                <w:szCs w:val="19"/>
                <w:color w:val="auto"/>
              </w:rPr>
              <w:t>$</w:t>
            </w:r>
          </w:p>
        </w:tc>
        <w:tc>
          <w:tcPr>
            <w:tcW w:w="14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(1,981)</w:t>
            </w: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ind w:right="436"/>
              <w:spacing w:after="0" w:line="216" w:lineRule="exact"/>
              <w:rPr>
                <w:sz w:val="20"/>
                <w:szCs w:val="20"/>
                <w:color w:val="auto"/>
              </w:rPr>
            </w:pPr>
            <w:r>
              <w:rPr>
                <w:rFonts w:ascii="Arial" w:cs="Arial" w:eastAsia="Arial" w:hAnsi="Arial"/>
                <w:sz w:val="19"/>
                <w:szCs w:val="19"/>
                <w:color w:val="auto"/>
              </w:rPr>
              <w:t>$</w:t>
            </w:r>
          </w:p>
        </w:tc>
        <w:tc>
          <w:tcPr>
            <w:tcW w:w="660" w:type="dxa"/>
            <w:vAlign w:val="bottom"/>
            <w:tcBorders>
              <w:bottom w:val="single" w:sz="8" w:color="auto"/>
            </w:tcBorders>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(202)</w:t>
            </w:r>
          </w:p>
        </w:tc>
        <w:tc>
          <w:tcPr>
            <w:tcW w:w="100" w:type="dxa"/>
            <w:vAlign w:val="bottom"/>
            <w:tcBorders>
              <w:bottom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tcBorders>
              <w:bottom w:val="single" w:sz="8" w:color="auto"/>
            </w:tcBorders>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1080" w:type="dxa"/>
            <w:vAlign w:val="bottom"/>
            <w:tcBorders>
              <w:bottom w:val="single" w:sz="8" w:color="auto"/>
            </w:tcBorders>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18"/>
                <w:szCs w:val="18"/>
                <w:color w:val="auto"/>
              </w:rPr>
            </w:pPr>
          </w:p>
        </w:tc>
        <w:tc>
          <w:tcPr>
            <w:tcW w:w="800" w:type="dxa"/>
            <w:vAlign w:val="bottom"/>
            <w:tcBorders>
              <w:bottom w:val="single" w:sz="8" w:color="auto"/>
            </w:tcBorders>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w w:val="99"/>
              </w:rPr>
              <w:t>$ (2,235)</w:t>
            </w:r>
          </w:p>
        </w:tc>
        <w:tc>
          <w:tcPr>
            <w:tcW w:w="3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980" w:type="dxa"/>
            <w:vAlign w:val="bottom"/>
            <w:gridSpan w:val="7"/>
          </w:tcPr>
          <w:p>
            <w:pPr>
              <w:spacing w:after="0"/>
              <w:rPr>
                <w:sz w:val="20"/>
                <w:szCs w:val="20"/>
                <w:color w:val="auto"/>
              </w:rPr>
            </w:pPr>
            <w:r>
              <w:rPr>
                <w:rFonts w:ascii="Arial" w:cs="Arial" w:eastAsia="Arial" w:hAnsi="Arial"/>
                <w:sz w:val="19"/>
                <w:szCs w:val="19"/>
                <w:b w:val="1"/>
                <w:bCs w:val="1"/>
                <w:color w:val="auto"/>
              </w:rPr>
              <w:t>Reclassifications Out of Accumulated Other Comprehensive Income (Loss)</w:t>
            </w:r>
          </w:p>
        </w:tc>
        <w:tc>
          <w:tcPr>
            <w:tcW w:w="40" w:type="dxa"/>
            <w:vAlign w:val="bottom"/>
          </w:tcPr>
          <w:p>
            <w:pPr>
              <w:spacing w:after="0"/>
              <w:rPr>
                <w:sz w:val="24"/>
                <w:szCs w:val="24"/>
                <w:color w:val="auto"/>
              </w:rPr>
            </w:pPr>
          </w:p>
        </w:tc>
        <w:tc>
          <w:tcPr>
            <w:tcW w:w="2920" w:type="dxa"/>
            <w:vAlign w:val="bottom"/>
            <w:gridSpan w:val="9"/>
            <w:vMerge w:val="restart"/>
          </w:tcPr>
          <w:p>
            <w:pPr>
              <w:jc w:val="right"/>
              <w:ind w:right="81"/>
              <w:spacing w:after="0"/>
              <w:rPr>
                <w:sz w:val="20"/>
                <w:szCs w:val="20"/>
                <w:color w:val="auto"/>
              </w:rPr>
            </w:pPr>
            <w:r>
              <w:rPr>
                <w:rFonts w:ascii="Arial" w:cs="Arial" w:eastAsia="Arial" w:hAnsi="Arial"/>
                <w:sz w:val="16"/>
                <w:szCs w:val="16"/>
                <w:b w:val="1"/>
                <w:bCs w:val="1"/>
                <w:color w:val="auto"/>
              </w:rPr>
              <w:t>Year Ended December 31, 2017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9"/>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18"/>
          </w:tcPr>
          <w:p>
            <w:pPr>
              <w:jc w:val="right"/>
              <w:ind w:right="81"/>
              <w:spacing w:after="0"/>
              <w:rPr>
                <w:sz w:val="20"/>
                <w:szCs w:val="20"/>
                <w:color w:val="auto"/>
              </w:rPr>
            </w:pPr>
            <w:r>
              <w:rPr>
                <w:rFonts w:ascii="Arial" w:cs="Arial" w:eastAsia="Arial" w:hAnsi="Arial"/>
                <w:sz w:val="16"/>
                <w:szCs w:val="16"/>
                <w:b w:val="1"/>
                <w:bCs w:val="1"/>
                <w:color w:val="auto"/>
              </w:rPr>
              <w:t>Affected Line in the Consolidated Statement of Operations</w:t>
            </w: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spacing w:after="0" w:line="155" w:lineRule="exact"/>
              <w:rPr>
                <w:sz w:val="20"/>
                <w:szCs w:val="20"/>
                <w:color w:val="auto"/>
              </w:rPr>
            </w:pPr>
            <w:r>
              <w:rPr>
                <w:rFonts w:ascii="Arial" w:cs="Arial" w:eastAsia="Arial" w:hAnsi="Arial"/>
                <w:sz w:val="16"/>
                <w:szCs w:val="16"/>
                <w:b w:val="1"/>
                <w:bCs w:val="1"/>
                <w:color w:val="auto"/>
                <w:w w:val="98"/>
              </w:rPr>
              <w:t>Selling,</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36"/>
              <w:spacing w:after="0" w:line="176" w:lineRule="exact"/>
              <w:rPr>
                <w:sz w:val="20"/>
                <w:szCs w:val="20"/>
                <w:color w:val="auto"/>
              </w:rPr>
            </w:pPr>
            <w:r>
              <w:rPr>
                <w:rFonts w:ascii="Arial" w:cs="Arial" w:eastAsia="Arial" w:hAnsi="Arial"/>
                <w:sz w:val="16"/>
                <w:szCs w:val="16"/>
                <w:b w:val="1"/>
                <w:bCs w:val="1"/>
                <w:color w:val="auto"/>
                <w:w w:val="97"/>
              </w:rPr>
              <w:t>Cost of</w:t>
            </w:r>
          </w:p>
        </w:tc>
        <w:tc>
          <w:tcPr>
            <w:tcW w:w="300" w:type="dxa"/>
            <w:vAlign w:val="bottom"/>
          </w:tcPr>
          <w:p>
            <w:pPr>
              <w:spacing w:after="0"/>
              <w:rPr>
                <w:sz w:val="15"/>
                <w:szCs w:val="15"/>
                <w:color w:val="auto"/>
              </w:rPr>
            </w:pPr>
          </w:p>
        </w:tc>
        <w:tc>
          <w:tcPr>
            <w:tcW w:w="880" w:type="dxa"/>
            <w:vAlign w:val="bottom"/>
            <w:gridSpan w:val="5"/>
          </w:tcPr>
          <w:p>
            <w:pPr>
              <w:jc w:val="center"/>
              <w:ind w:right="100"/>
              <w:spacing w:after="0" w:line="176" w:lineRule="exact"/>
              <w:rPr>
                <w:sz w:val="20"/>
                <w:szCs w:val="20"/>
                <w:color w:val="auto"/>
              </w:rPr>
            </w:pPr>
            <w:r>
              <w:rPr>
                <w:rFonts w:ascii="Arial" w:cs="Arial" w:eastAsia="Arial" w:hAnsi="Arial"/>
                <w:sz w:val="16"/>
                <w:szCs w:val="16"/>
                <w:b w:val="1"/>
                <w:bCs w:val="1"/>
                <w:color w:val="auto"/>
                <w:w w:val="97"/>
              </w:rPr>
              <w:t>Cost of</w:t>
            </w:r>
          </w:p>
        </w:tc>
        <w:tc>
          <w:tcPr>
            <w:tcW w:w="220" w:type="dxa"/>
            <w:vAlign w:val="bottom"/>
          </w:tcPr>
          <w:p>
            <w:pPr>
              <w:spacing w:after="0"/>
              <w:rPr>
                <w:sz w:val="15"/>
                <w:szCs w:val="15"/>
                <w:color w:val="auto"/>
              </w:rPr>
            </w:pPr>
          </w:p>
        </w:tc>
        <w:tc>
          <w:tcPr>
            <w:tcW w:w="13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7"/>
              </w:rPr>
              <w:t>General and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3"/>
          </w:tcPr>
          <w:p>
            <w:pPr>
              <w:jc w:val="right"/>
              <w:ind w:right="200"/>
              <w:spacing w:after="0" w:line="176" w:lineRule="exact"/>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5"/>
                <w:szCs w:val="15"/>
                <w:color w:val="auto"/>
              </w:rPr>
            </w:pPr>
          </w:p>
        </w:tc>
        <w:tc>
          <w:tcPr>
            <w:tcW w:w="82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300" w:type="dxa"/>
            <w:vAlign w:val="bottom"/>
          </w:tcPr>
          <w:p>
            <w:pPr>
              <w:spacing w:after="0"/>
              <w:rPr>
                <w:sz w:val="15"/>
                <w:szCs w:val="15"/>
                <w:color w:val="auto"/>
              </w:rPr>
            </w:pPr>
          </w:p>
        </w:tc>
        <w:tc>
          <w:tcPr>
            <w:tcW w:w="880" w:type="dxa"/>
            <w:vAlign w:val="bottom"/>
            <w:gridSpan w:val="5"/>
          </w:tcPr>
          <w:p>
            <w:pPr>
              <w:jc w:val="center"/>
              <w:ind w:right="100"/>
              <w:spacing w:after="0" w:line="176" w:lineRule="exact"/>
              <w:rPr>
                <w:sz w:val="20"/>
                <w:szCs w:val="20"/>
                <w:color w:val="auto"/>
              </w:rPr>
            </w:pPr>
            <w:r>
              <w:rPr>
                <w:rFonts w:ascii="Arial" w:cs="Arial" w:eastAsia="Arial" w:hAnsi="Arial"/>
                <w:sz w:val="16"/>
                <w:szCs w:val="16"/>
                <w:b w:val="1"/>
                <w:bCs w:val="1"/>
                <w:color w:val="auto"/>
              </w:rPr>
              <w:t>Services</w:t>
            </w:r>
          </w:p>
        </w:tc>
        <w:tc>
          <w:tcPr>
            <w:tcW w:w="220" w:type="dxa"/>
            <w:vAlign w:val="bottom"/>
          </w:tcPr>
          <w:p>
            <w:pPr>
              <w:spacing w:after="0"/>
              <w:rPr>
                <w:sz w:val="15"/>
                <w:szCs w:val="15"/>
                <w:color w:val="auto"/>
              </w:rPr>
            </w:pPr>
          </w:p>
        </w:tc>
        <w:tc>
          <w:tcPr>
            <w:tcW w:w="136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98"/>
              </w:rPr>
              <w:t>Administrative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Sales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center"/>
              <w:ind w:right="76"/>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8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7"/>
              </w:rPr>
              <w:t>Sold</w:t>
            </w:r>
          </w:p>
        </w:tc>
        <w:tc>
          <w:tcPr>
            <w:tcW w:w="22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Expenses</w:t>
            </w:r>
          </w:p>
        </w:tc>
        <w:tc>
          <w:tcPr>
            <w:tcW w:w="300" w:type="dxa"/>
            <w:vAlign w:val="bottom"/>
          </w:tcPr>
          <w:p>
            <w:pPr>
              <w:spacing w:after="0"/>
              <w:rPr>
                <w:sz w:val="16"/>
                <w:szCs w:val="16"/>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5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Amortization of Pension and Other Postretirement Items:</w:t>
            </w:r>
          </w:p>
        </w:tc>
        <w:tc>
          <w:tcPr>
            <w:tcW w:w="26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6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400" w:type="dxa"/>
            <w:vAlign w:val="bottom"/>
            <w:gridSpan w:val="2"/>
          </w:tcPr>
          <w:p>
            <w:pPr>
              <w:ind w:left="280"/>
              <w:spacing w:after="0"/>
              <w:rPr>
                <w:sz w:val="20"/>
                <w:szCs w:val="20"/>
                <w:color w:val="auto"/>
              </w:rPr>
            </w:pPr>
            <w:r>
              <w:rPr>
                <w:rFonts w:ascii="Arial" w:cs="Arial" w:eastAsia="Arial" w:hAnsi="Arial"/>
                <w:sz w:val="19"/>
                <w:szCs w:val="19"/>
                <w:color w:val="auto"/>
                <w:w w:val="94"/>
              </w:rPr>
              <w:t>$</w:t>
            </w:r>
          </w:p>
        </w:tc>
        <w:tc>
          <w:tcPr>
            <w:tcW w:w="74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tcPr>
          <w:p>
            <w:pPr>
              <w:jc w:val="right"/>
              <w:ind w:right="56"/>
              <w:spacing w:after="0"/>
              <w:rPr>
                <w:sz w:val="20"/>
                <w:szCs w:val="20"/>
                <w:color w:val="auto"/>
              </w:rPr>
            </w:pPr>
            <w:r>
              <w:rPr>
                <w:rFonts w:ascii="Arial" w:cs="Arial" w:eastAsia="Arial" w:hAnsi="Arial"/>
                <w:sz w:val="19"/>
                <w:szCs w:val="19"/>
                <w:color w:val="auto"/>
              </w:rPr>
              <w:t>79</w:t>
            </w:r>
          </w:p>
        </w:tc>
        <w:tc>
          <w:tcPr>
            <w:tcW w:w="660" w:type="dxa"/>
            <w:vAlign w:val="bottom"/>
            <w:gridSpan w:val="2"/>
          </w:tcPr>
          <w:p>
            <w:pPr>
              <w:jc w:val="right"/>
              <w:ind w:right="161"/>
              <w:spacing w:after="0"/>
              <w:rPr>
                <w:sz w:val="20"/>
                <w:szCs w:val="20"/>
                <w:color w:val="auto"/>
              </w:rPr>
            </w:pPr>
            <w:r>
              <w:rPr>
                <w:rFonts w:ascii="Arial" w:cs="Arial" w:eastAsia="Arial" w:hAnsi="Arial"/>
                <w:sz w:val="19"/>
                <w:szCs w:val="19"/>
                <w:color w:val="auto"/>
              </w:rPr>
              <w:t>$</w:t>
            </w:r>
          </w:p>
        </w:tc>
        <w:tc>
          <w:tcPr>
            <w:tcW w:w="400" w:type="dxa"/>
            <w:vAlign w:val="bottom"/>
            <w:gridSpan w:val="2"/>
          </w:tcPr>
          <w:p>
            <w:pPr>
              <w:jc w:val="right"/>
              <w:ind w:right="3"/>
              <w:spacing w:after="0"/>
              <w:rPr>
                <w:sz w:val="20"/>
                <w:szCs w:val="20"/>
                <w:color w:val="auto"/>
              </w:rPr>
            </w:pPr>
            <w:r>
              <w:rPr>
                <w:rFonts w:ascii="Arial" w:cs="Arial" w:eastAsia="Arial" w:hAnsi="Arial"/>
                <w:sz w:val="19"/>
                <w:szCs w:val="19"/>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661"/>
              <w:spacing w:after="0"/>
              <w:rPr>
                <w:sz w:val="20"/>
                <w:szCs w:val="20"/>
                <w:color w:val="auto"/>
              </w:rPr>
            </w:pPr>
            <w:r>
              <w:rPr>
                <w:rFonts w:ascii="Arial" w:cs="Arial" w:eastAsia="Arial" w:hAnsi="Arial"/>
                <w:sz w:val="19"/>
                <w:szCs w:val="19"/>
                <w:color w:val="auto"/>
              </w:rPr>
              <w:t>$</w:t>
            </w:r>
          </w:p>
        </w:tc>
        <w:tc>
          <w:tcPr>
            <w:tcW w:w="300" w:type="dxa"/>
            <w:vAlign w:val="bottom"/>
          </w:tcPr>
          <w:p>
            <w:pPr>
              <w:jc w:val="right"/>
              <w:spacing w:after="0"/>
              <w:rPr>
                <w:sz w:val="20"/>
                <w:szCs w:val="20"/>
                <w:color w:val="auto"/>
              </w:rPr>
            </w:pPr>
            <w:r>
              <w:rPr>
                <w:rFonts w:ascii="Arial" w:cs="Arial" w:eastAsia="Arial" w:hAnsi="Arial"/>
                <w:sz w:val="19"/>
                <w:szCs w:val="19"/>
                <w:color w:val="auto"/>
              </w:rPr>
              <w:t>16</w:t>
            </w:r>
          </w:p>
        </w:tc>
        <w:tc>
          <w:tcPr>
            <w:tcW w:w="200" w:type="dxa"/>
            <w:vAlign w:val="bottom"/>
          </w:tcPr>
          <w:p>
            <w:pPr>
              <w:spacing w:after="0"/>
              <w:rPr>
                <w:sz w:val="21"/>
                <w:szCs w:val="21"/>
                <w:color w:val="auto"/>
              </w:rPr>
            </w:pPr>
          </w:p>
        </w:tc>
        <w:tc>
          <w:tcPr>
            <w:tcW w:w="54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9"/>
                <w:szCs w:val="19"/>
                <w:color w:val="auto"/>
              </w:rPr>
              <w:t>110</w:t>
            </w: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 recognized</w:t>
            </w:r>
          </w:p>
        </w:tc>
        <w:tc>
          <w:tcPr>
            <w:tcW w:w="2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260"/>
              <w:spacing w:after="0"/>
              <w:rPr>
                <w:sz w:val="20"/>
                <w:szCs w:val="20"/>
                <w:color w:val="auto"/>
              </w:rPr>
            </w:pPr>
            <w:r>
              <w:rPr>
                <w:rFonts w:ascii="Arial" w:cs="Arial" w:eastAsia="Arial" w:hAnsi="Arial"/>
                <w:sz w:val="19"/>
                <w:szCs w:val="19"/>
                <w:color w:val="auto"/>
              </w:rPr>
              <w:t>—</w:t>
            </w: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(74)</w:t>
            </w:r>
          </w:p>
        </w:tc>
        <w:tc>
          <w:tcPr>
            <w:tcW w:w="30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w:t>
            </w:r>
          </w:p>
        </w:tc>
        <w:tc>
          <w:tcPr>
            <w:tcW w:w="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shd w:val="clear" w:color="auto" w:fill="E5FFFF"/>
          </w:tcPr>
          <w:p>
            <w:pPr>
              <w:spacing w:after="0"/>
              <w:rPr>
                <w:sz w:val="21"/>
                <w:szCs w:val="21"/>
                <w:color w:val="auto"/>
              </w:rPr>
            </w:pPr>
          </w:p>
        </w:tc>
        <w:tc>
          <w:tcPr>
            <w:tcW w:w="50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w w:val="94"/>
              </w:rPr>
              <w:t>(15)</w:t>
            </w:r>
          </w:p>
        </w:tc>
        <w:tc>
          <w:tcPr>
            <w:tcW w:w="98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56"/>
              <w:spacing w:after="0"/>
              <w:rPr>
                <w:sz w:val="20"/>
                <w:szCs w:val="20"/>
                <w:color w:val="auto"/>
              </w:rPr>
            </w:pPr>
            <w:r>
              <w:rPr>
                <w:rFonts w:ascii="Arial" w:cs="Arial" w:eastAsia="Arial" w:hAnsi="Arial"/>
                <w:sz w:val="19"/>
                <w:szCs w:val="19"/>
                <w:color w:val="auto"/>
              </w:rPr>
              <w:t>17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2"/>
          </w:tcPr>
          <w:p>
            <w:pPr>
              <w:jc w:val="right"/>
              <w:ind w:right="3"/>
              <w:spacing w:after="0"/>
              <w:rPr>
                <w:sz w:val="20"/>
                <w:szCs w:val="20"/>
                <w:color w:val="auto"/>
              </w:rPr>
            </w:pPr>
            <w:r>
              <w:rPr>
                <w:rFonts w:ascii="Arial" w:cs="Arial" w:eastAsia="Arial" w:hAnsi="Arial"/>
                <w:sz w:val="19"/>
                <w:szCs w:val="19"/>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9"/>
                <w:szCs w:val="19"/>
                <w:color w:val="auto"/>
              </w:rPr>
              <w:t>24</w:t>
            </w: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Arial" w:cs="Arial" w:eastAsia="Arial" w:hAnsi="Arial"/>
                <w:sz w:val="19"/>
                <w:szCs w:val="19"/>
                <w:color w:val="auto"/>
              </w:rPr>
              <w:t>Losses (gains) on cash flow hedges</w:t>
            </w:r>
          </w:p>
        </w:tc>
        <w:tc>
          <w:tcPr>
            <w:tcW w:w="2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300" w:type="dxa"/>
            <w:vAlign w:val="bottom"/>
            <w:shd w:val="clear" w:color="auto" w:fill="E5FFFF"/>
          </w:tcPr>
          <w:p>
            <w:pPr>
              <w:spacing w:after="0"/>
              <w:rPr>
                <w:sz w:val="21"/>
                <w:szCs w:val="21"/>
                <w:color w:val="auto"/>
              </w:rPr>
            </w:pPr>
          </w:p>
        </w:tc>
        <w:tc>
          <w:tcPr>
            <w:tcW w:w="360" w:type="dxa"/>
            <w:vAlign w:val="bottom"/>
            <w:tcBorders>
              <w:bottom w:val="single" w:sz="8" w:color="auto"/>
            </w:tcBorders>
            <w:shd w:val="clear" w:color="auto" w:fill="E5FFFF"/>
          </w:tcPr>
          <w:p>
            <w:pPr>
              <w:spacing w:after="0"/>
              <w:rPr>
                <w:sz w:val="21"/>
                <w:szCs w:val="21"/>
                <w:color w:val="auto"/>
              </w:rPr>
            </w:pPr>
          </w:p>
        </w:tc>
        <w:tc>
          <w:tcPr>
            <w:tcW w:w="4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40" w:type="dxa"/>
            <w:vAlign w:val="bottom"/>
            <w:tcBorders>
              <w:bottom w:val="single" w:sz="8" w:color="auto"/>
            </w:tcBorders>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6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gridSpan w:val="2"/>
            <w:shd w:val="clear" w:color="auto" w:fill="E5FFFF"/>
          </w:tcPr>
          <w:p>
            <w:pPr>
              <w:jc w:val="right"/>
              <w:ind w:right="63"/>
              <w:spacing w:after="0"/>
              <w:rPr>
                <w:sz w:val="20"/>
                <w:szCs w:val="20"/>
                <w:color w:val="auto"/>
              </w:rPr>
            </w:pPr>
            <w:r>
              <w:rPr>
                <w:rFonts w:ascii="Arial" w:cs="Arial" w:eastAsia="Arial" w:hAnsi="Arial"/>
                <w:sz w:val="19"/>
                <w:szCs w:val="19"/>
                <w:color w:val="auto"/>
                <w:w w:val="94"/>
              </w:rPr>
              <w:t>(28)</w:t>
            </w:r>
          </w:p>
        </w:tc>
        <w:tc>
          <w:tcPr>
            <w:tcW w:w="30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44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0"/>
                <w:szCs w:val="20"/>
                <w:color w:val="auto"/>
              </w:rPr>
            </w:pPr>
            <w:r>
              <w:rPr>
                <w:rFonts w:ascii="Arial" w:cs="Arial" w:eastAsia="Arial" w:hAnsi="Arial"/>
                <w:sz w:val="19"/>
                <w:szCs w:val="19"/>
                <w:color w:val="auto"/>
              </w:rPr>
              <w:t>Total before tax</w:t>
            </w:r>
          </w:p>
        </w:tc>
        <w:tc>
          <w:tcPr>
            <w:tcW w:w="400" w:type="dxa"/>
            <w:vAlign w:val="bottom"/>
            <w:gridSpan w:val="2"/>
          </w:tcPr>
          <w:p>
            <w:pPr>
              <w:ind w:left="280"/>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w:t>
            </w:r>
          </w:p>
        </w:tc>
        <w:tc>
          <w:tcPr>
            <w:tcW w:w="14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0" w:type="dxa"/>
            <w:vAlign w:val="bottom"/>
          </w:tcPr>
          <w:p>
            <w:pPr>
              <w:spacing w:after="0"/>
              <w:rPr>
                <w:sz w:val="21"/>
                <w:szCs w:val="21"/>
                <w:color w:val="auto"/>
              </w:rPr>
            </w:pPr>
          </w:p>
        </w:tc>
        <w:tc>
          <w:tcPr>
            <w:tcW w:w="660" w:type="dxa"/>
            <w:vAlign w:val="bottom"/>
          </w:tcPr>
          <w:p>
            <w:pPr>
              <w:jc w:val="right"/>
              <w:ind w:right="56"/>
              <w:spacing w:after="0"/>
              <w:rPr>
                <w:sz w:val="20"/>
                <w:szCs w:val="20"/>
                <w:color w:val="auto"/>
              </w:rPr>
            </w:pPr>
            <w:r>
              <w:rPr>
                <w:rFonts w:ascii="Arial" w:cs="Arial" w:eastAsia="Arial" w:hAnsi="Arial"/>
                <w:sz w:val="19"/>
                <w:szCs w:val="19"/>
                <w:color w:val="auto"/>
              </w:rPr>
              <w:t>—</w:t>
            </w:r>
          </w:p>
        </w:tc>
        <w:tc>
          <w:tcPr>
            <w:tcW w:w="660" w:type="dxa"/>
            <w:vAlign w:val="bottom"/>
            <w:gridSpan w:val="2"/>
          </w:tcPr>
          <w:p>
            <w:pPr>
              <w:jc w:val="right"/>
              <w:ind w:right="161"/>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9"/>
                <w:szCs w:val="19"/>
                <w:color w:val="auto"/>
                <w:w w:val="94"/>
              </w:rPr>
              <w:t>—</w:t>
            </w:r>
          </w:p>
        </w:tc>
        <w:tc>
          <w:tcPr>
            <w:tcW w:w="1080" w:type="dxa"/>
            <w:vAlign w:val="bottom"/>
            <w:gridSpan w:val="2"/>
          </w:tcPr>
          <w:p>
            <w:pPr>
              <w:jc w:val="right"/>
              <w:ind w:right="661"/>
              <w:spacing w:after="0"/>
              <w:rPr>
                <w:sz w:val="20"/>
                <w:szCs w:val="20"/>
                <w:color w:val="auto"/>
              </w:rPr>
            </w:pPr>
            <w:r>
              <w:rPr>
                <w:rFonts w:ascii="Arial" w:cs="Arial" w:eastAsia="Arial" w:hAnsi="Arial"/>
                <w:sz w:val="19"/>
                <w:szCs w:val="19"/>
                <w:color w:val="auto"/>
              </w:rPr>
              <w:t>$</w:t>
            </w:r>
          </w:p>
        </w:tc>
        <w:tc>
          <w:tcPr>
            <w:tcW w:w="500" w:type="dxa"/>
            <w:vAlign w:val="bottom"/>
            <w:gridSpan w:val="2"/>
          </w:tcPr>
          <w:p>
            <w:pPr>
              <w:jc w:val="right"/>
              <w:ind w:right="63"/>
              <w:spacing w:after="0"/>
              <w:rPr>
                <w:sz w:val="20"/>
                <w:szCs w:val="20"/>
                <w:color w:val="auto"/>
              </w:rPr>
            </w:pPr>
            <w:r>
              <w:rPr>
                <w:rFonts w:ascii="Arial" w:cs="Arial" w:eastAsia="Arial" w:hAnsi="Arial"/>
                <w:sz w:val="19"/>
                <w:szCs w:val="19"/>
                <w:color w:val="auto"/>
                <w:w w:val="94"/>
              </w:rPr>
              <w:t>(23)</w:t>
            </w:r>
          </w:p>
        </w:tc>
        <w:tc>
          <w:tcPr>
            <w:tcW w:w="54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E5FFFF"/>
          </w:tcPr>
          <w:p>
            <w:pPr>
              <w:spacing w:after="0"/>
              <w:rPr>
                <w:sz w:val="20"/>
                <w:szCs w:val="20"/>
                <w:color w:val="auto"/>
              </w:rPr>
            </w:pPr>
            <w:r>
              <w:rPr>
                <w:rFonts w:ascii="Arial" w:cs="Arial" w:eastAsia="Arial" w:hAnsi="Arial"/>
                <w:sz w:val="19"/>
                <w:szCs w:val="19"/>
                <w:color w:val="auto"/>
              </w:rPr>
              <w:t>Tax expense (benefit)</w:t>
            </w:r>
          </w:p>
        </w:tc>
        <w:tc>
          <w:tcPr>
            <w:tcW w:w="2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40" w:type="dxa"/>
            <w:vAlign w:val="bottom"/>
            <w:tcBorders>
              <w:bottom w:val="single" w:sz="8" w:color="auto"/>
            </w:tcBorders>
            <w:shd w:val="clear" w:color="auto" w:fill="E5FFFF"/>
          </w:tcPr>
          <w:p>
            <w:pPr>
              <w:spacing w:after="0"/>
              <w:rPr>
                <w:sz w:val="20"/>
                <w:szCs w:val="20"/>
                <w:color w:val="auto"/>
              </w:rPr>
            </w:pPr>
          </w:p>
        </w:tc>
        <w:tc>
          <w:tcPr>
            <w:tcW w:w="4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9"/>
                <w:szCs w:val="19"/>
                <w:color w:val="auto"/>
              </w:rPr>
              <w:t>Total reclassifications for the period, net of tax</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41"/>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vMerge w:val="restart"/>
          </w:tcPr>
          <w:p>
            <w:pPr>
              <w:ind w:left="40"/>
              <w:spacing w:after="0"/>
              <w:rPr>
                <w:sz w:val="20"/>
                <w:szCs w:val="20"/>
                <w:color w:val="auto"/>
              </w:rPr>
            </w:pPr>
            <w:r>
              <w:rPr>
                <w:rFonts w:ascii="Arial" w:cs="Arial" w:eastAsia="Arial" w:hAnsi="Arial"/>
                <w:sz w:val="19"/>
                <w:szCs w:val="19"/>
                <w:color w:val="auto"/>
                <w:w w:val="94"/>
              </w:rPr>
              <w:t>63</w:t>
            </w: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56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7"/>
          </w:tcPr>
          <w:p>
            <w:pPr>
              <w:jc w:val="right"/>
              <w:ind w:right="571"/>
              <w:spacing w:after="0" w:line="175" w:lineRule="exact"/>
              <w:rPr>
                <w:sz w:val="20"/>
                <w:szCs w:val="20"/>
                <w:color w:val="auto"/>
              </w:rPr>
            </w:pPr>
            <w:r>
              <w:rPr>
                <w:rFonts w:ascii="Arial" w:cs="Arial" w:eastAsia="Arial" w:hAnsi="Arial"/>
                <w:sz w:val="16"/>
                <w:szCs w:val="16"/>
                <w:b w:val="1"/>
                <w:bCs w:val="1"/>
                <w:color w:val="auto"/>
              </w:rPr>
              <w:t>Year Ended December 31, 2016</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0"/>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12"/>
          </w:tcPr>
          <w:p>
            <w:pPr>
              <w:jc w:val="right"/>
              <w:ind w:right="60"/>
              <w:spacing w:after="0"/>
              <w:rPr>
                <w:sz w:val="20"/>
                <w:szCs w:val="20"/>
                <w:color w:val="auto"/>
              </w:rPr>
            </w:pPr>
            <w:r>
              <w:rPr>
                <w:rFonts w:ascii="Arial" w:cs="Arial" w:eastAsia="Arial" w:hAnsi="Arial"/>
                <w:sz w:val="16"/>
                <w:szCs w:val="16"/>
                <w:b w:val="1"/>
                <w:bCs w:val="1"/>
                <w:color w:val="auto"/>
              </w:rPr>
              <w:t>Affected Line in the Consolidated Statement of Operations</w:t>
            </w:r>
          </w:p>
        </w:tc>
        <w:tc>
          <w:tcPr>
            <w:tcW w:w="540" w:type="dxa"/>
            <w:vAlign w:val="bottom"/>
            <w:tcBorders>
              <w:bottom w:val="single" w:sz="8" w:color="auto"/>
            </w:tcBorders>
          </w:tcPr>
          <w:p>
            <w:pPr>
              <w:spacing w:after="0"/>
              <w:rPr>
                <w:sz w:val="16"/>
                <w:szCs w:val="16"/>
                <w:color w:val="auto"/>
              </w:rPr>
            </w:pPr>
          </w:p>
        </w:tc>
      </w:tr>
      <w:tr>
        <w:trPr>
          <w:trHeight w:val="155"/>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31"/>
              <w:spacing w:after="0" w:line="155" w:lineRule="exact"/>
              <w:rPr>
                <w:sz w:val="20"/>
                <w:szCs w:val="20"/>
                <w:color w:val="auto"/>
              </w:rPr>
            </w:pPr>
            <w:r>
              <w:rPr>
                <w:rFonts w:ascii="Arial" w:cs="Arial" w:eastAsia="Arial" w:hAnsi="Arial"/>
                <w:sz w:val="16"/>
                <w:szCs w:val="16"/>
                <w:b w:val="1"/>
                <w:bCs w:val="1"/>
                <w:color w:val="auto"/>
                <w:w w:val="98"/>
              </w:rPr>
              <w:t>Selling,</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6"/>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rPr>
              <w:t>Cost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8"/>
              <w:spacing w:after="0" w:line="176" w:lineRule="exact"/>
              <w:rPr>
                <w:sz w:val="20"/>
                <w:szCs w:val="20"/>
                <w:color w:val="auto"/>
              </w:rPr>
            </w:pPr>
            <w:r>
              <w:rPr>
                <w:rFonts w:ascii="Arial" w:cs="Arial" w:eastAsia="Arial" w:hAnsi="Arial"/>
                <w:sz w:val="16"/>
                <w:szCs w:val="16"/>
                <w:b w:val="1"/>
                <w:bCs w:val="1"/>
                <w:color w:val="auto"/>
                <w:w w:val="97"/>
              </w:rPr>
              <w:t>Cost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51"/>
              <w:spacing w:after="0" w:line="176" w:lineRule="exact"/>
              <w:rPr>
                <w:sz w:val="20"/>
                <w:szCs w:val="20"/>
                <w:color w:val="auto"/>
              </w:rPr>
            </w:pPr>
            <w:r>
              <w:rPr>
                <w:rFonts w:ascii="Arial" w:cs="Arial" w:eastAsia="Arial" w:hAnsi="Arial"/>
                <w:sz w:val="16"/>
                <w:szCs w:val="16"/>
                <w:b w:val="1"/>
                <w:bCs w:val="1"/>
                <w:color w:val="auto"/>
                <w:w w:val="97"/>
              </w:rPr>
              <w:t>General and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5"/>
                <w:szCs w:val="15"/>
                <w:color w:val="auto"/>
              </w:rPr>
            </w:pP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3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Services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51"/>
              <w:spacing w:after="0" w:line="176" w:lineRule="exact"/>
              <w:rPr>
                <w:sz w:val="20"/>
                <w:szCs w:val="20"/>
                <w:color w:val="auto"/>
              </w:rPr>
            </w:pPr>
            <w:r>
              <w:rPr>
                <w:rFonts w:ascii="Arial" w:cs="Arial" w:eastAsia="Arial" w:hAnsi="Arial"/>
                <w:sz w:val="16"/>
                <w:szCs w:val="16"/>
                <w:b w:val="1"/>
                <w:bCs w:val="1"/>
                <w:color w:val="auto"/>
                <w:w w:val="98"/>
              </w:rPr>
              <w:t>Administrative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0"/>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6"/>
                <w:szCs w:val="16"/>
                <w:b w:val="1"/>
                <w:bCs w:val="1"/>
                <w:color w:val="auto"/>
                <w:w w:val="97"/>
              </w:rPr>
              <w:t>Sold</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w w:val="98"/>
              </w:rPr>
              <w:t>Expenses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582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Amortization of Pension and Other Postretirement Items:</w:t>
            </w: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r>
      <w:tr>
        <w:trPr>
          <w:trHeight w:val="243"/>
        </w:trPr>
        <w:tc>
          <w:tcPr>
            <w:tcW w:w="582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30"/>
              <w:spacing w:after="0"/>
              <w:rPr>
                <w:sz w:val="20"/>
                <w:szCs w:val="20"/>
                <w:color w:val="auto"/>
              </w:rPr>
            </w:pPr>
            <w:r>
              <w:rPr>
                <w:rFonts w:ascii="Arial" w:cs="Arial" w:eastAsia="Arial" w:hAnsi="Arial"/>
                <w:sz w:val="19"/>
                <w:szCs w:val="19"/>
                <w:color w:val="auto"/>
              </w:rPr>
              <w:t>214</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8"/>
              <w:spacing w:after="0"/>
              <w:rPr>
                <w:sz w:val="20"/>
                <w:szCs w:val="20"/>
                <w:color w:val="auto"/>
              </w:rPr>
            </w:pPr>
            <w:r>
              <w:rPr>
                <w:rFonts w:ascii="Arial" w:cs="Arial" w:eastAsia="Arial" w:hAnsi="Arial"/>
                <w:sz w:val="19"/>
                <w:szCs w:val="19"/>
                <w:color w:val="auto"/>
              </w:rPr>
              <w:t>44</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131"/>
              <w:spacing w:after="0"/>
              <w:rPr>
                <w:sz w:val="20"/>
                <w:szCs w:val="20"/>
                <w:color w:val="auto"/>
              </w:rPr>
            </w:pPr>
            <w:r>
              <w:rPr>
                <w:rFonts w:ascii="Arial" w:cs="Arial" w:eastAsia="Arial" w:hAnsi="Arial"/>
                <w:sz w:val="19"/>
                <w:szCs w:val="19"/>
                <w:color w:val="auto"/>
              </w:rPr>
              <w:t>46</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304</w:t>
            </w:r>
          </w:p>
        </w:tc>
      </w:tr>
      <w:tr>
        <w:trPr>
          <w:trHeight w:val="243"/>
        </w:trPr>
        <w:tc>
          <w:tcPr>
            <w:tcW w:w="58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 recognized</w:t>
            </w:r>
          </w:p>
        </w:tc>
        <w:tc>
          <w:tcPr>
            <w:tcW w:w="140" w:type="dxa"/>
            <w:vAlign w:val="bottom"/>
            <w:shd w:val="clear" w:color="auto" w:fill="E5FFFF"/>
          </w:tcPr>
          <w:p>
            <w:pPr>
              <w:spacing w:after="0"/>
              <w:rPr>
                <w:sz w:val="21"/>
                <w:szCs w:val="21"/>
                <w:color w:val="auto"/>
              </w:rPr>
            </w:pPr>
          </w:p>
        </w:tc>
        <w:tc>
          <w:tcPr>
            <w:tcW w:w="580" w:type="dxa"/>
            <w:vAlign w:val="bottom"/>
            <w:shd w:val="clear" w:color="auto" w:fill="E5FFFF"/>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right"/>
              <w:ind w:right="71"/>
              <w:spacing w:after="0"/>
              <w:rPr>
                <w:sz w:val="20"/>
                <w:szCs w:val="20"/>
                <w:color w:val="auto"/>
              </w:rPr>
            </w:pPr>
            <w:r>
              <w:rPr>
                <w:rFonts w:ascii="Arial" w:cs="Arial" w:eastAsia="Arial" w:hAnsi="Arial"/>
                <w:sz w:val="19"/>
                <w:szCs w:val="19"/>
                <w:color w:val="auto"/>
              </w:rPr>
              <w:t>(18)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(123)</w:t>
            </w:r>
          </w:p>
        </w:tc>
      </w:tr>
      <w:tr>
        <w:trPr>
          <w:trHeight w:val="243"/>
        </w:trPr>
        <w:tc>
          <w:tcPr>
            <w:tcW w:w="582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1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43"/>
        </w:trPr>
        <w:tc>
          <w:tcPr>
            <w:tcW w:w="5820" w:type="dxa"/>
            <w:vAlign w:val="bottom"/>
            <w:shd w:val="clear" w:color="auto" w:fill="E5FFFF"/>
          </w:tcPr>
          <w:p>
            <w:pPr>
              <w:spacing w:after="0"/>
              <w:rPr>
                <w:sz w:val="20"/>
                <w:szCs w:val="20"/>
                <w:color w:val="auto"/>
              </w:rPr>
            </w:pPr>
            <w:r>
              <w:rPr>
                <w:rFonts w:ascii="Arial" w:cs="Arial" w:eastAsia="Arial" w:hAnsi="Arial"/>
                <w:sz w:val="19"/>
                <w:szCs w:val="19"/>
                <w:color w:val="auto"/>
              </w:rPr>
              <w:t>Losses (gains) on cash flow hedges</w:t>
            </w: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ind w:right="8"/>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9"/>
                <w:szCs w:val="19"/>
                <w:color w:val="auto"/>
              </w:rPr>
              <w:t>16</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48"/>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240" w:type="dxa"/>
            <w:vAlign w:val="bottom"/>
            <w:tcBorders>
              <w:bottom w:val="single" w:sz="8" w:color="auto"/>
            </w:tcBorders>
            <w:shd w:val="clear" w:color="auto" w:fill="E5FFFF"/>
          </w:tcPr>
          <w:p>
            <w:pPr>
              <w:jc w:val="right"/>
              <w:ind w:right="71"/>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17</w:t>
            </w:r>
          </w:p>
        </w:tc>
      </w:tr>
      <w:tr>
        <w:trPr>
          <w:trHeight w:val="250"/>
        </w:trPr>
        <w:tc>
          <w:tcPr>
            <w:tcW w:w="5820" w:type="dxa"/>
            <w:vAlign w:val="bottom"/>
          </w:tcPr>
          <w:p>
            <w:pPr>
              <w:spacing w:after="0"/>
              <w:rPr>
                <w:sz w:val="20"/>
                <w:szCs w:val="20"/>
                <w:color w:val="auto"/>
              </w:rPr>
            </w:pPr>
            <w:r>
              <w:rPr>
                <w:rFonts w:ascii="Arial" w:cs="Arial" w:eastAsia="Arial" w:hAnsi="Arial"/>
                <w:sz w:val="19"/>
                <w:szCs w:val="19"/>
                <w:color w:val="auto"/>
              </w:rPr>
              <w:t>Total before tax</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ind w:right="8"/>
              <w:spacing w:after="0"/>
              <w:rPr>
                <w:sz w:val="20"/>
                <w:szCs w:val="20"/>
                <w:color w:val="auto"/>
              </w:rPr>
            </w:pPr>
            <w:r>
              <w:rPr>
                <w:rFonts w:ascii="Arial" w:cs="Arial" w:eastAsia="Arial" w:hAnsi="Arial"/>
                <w:sz w:val="19"/>
                <w:szCs w:val="19"/>
                <w:color w:val="auto"/>
              </w:rPr>
              <w:t>3</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30"/>
              <w:spacing w:after="0"/>
              <w:rPr>
                <w:sz w:val="20"/>
                <w:szCs w:val="20"/>
                <w:color w:val="auto"/>
              </w:rPr>
            </w:pPr>
            <w:r>
              <w:rPr>
                <w:rFonts w:ascii="Arial" w:cs="Arial" w:eastAsia="Arial" w:hAnsi="Arial"/>
                <w:sz w:val="19"/>
                <w:szCs w:val="19"/>
                <w:color w:val="auto"/>
              </w:rPr>
              <w:t>139</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48"/>
              <w:spacing w:after="0"/>
              <w:rPr>
                <w:sz w:val="20"/>
                <w:szCs w:val="20"/>
                <w:color w:val="auto"/>
              </w:rPr>
            </w:pPr>
            <w:r>
              <w:rPr>
                <w:rFonts w:ascii="Arial" w:cs="Arial" w:eastAsia="Arial" w:hAnsi="Arial"/>
                <w:sz w:val="19"/>
                <w:szCs w:val="19"/>
                <w:color w:val="auto"/>
              </w:rPr>
              <w:t>28</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131"/>
              <w:spacing w:after="0"/>
              <w:rPr>
                <w:sz w:val="20"/>
                <w:szCs w:val="20"/>
                <w:color w:val="auto"/>
              </w:rPr>
            </w:pPr>
            <w:r>
              <w:rPr>
                <w:rFonts w:ascii="Arial" w:cs="Arial" w:eastAsia="Arial" w:hAnsi="Arial"/>
                <w:sz w:val="19"/>
                <w:szCs w:val="19"/>
                <w:color w:val="auto"/>
              </w:rPr>
              <w:t>22</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192</w:t>
            </w: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820" w:type="dxa"/>
            <w:vAlign w:val="bottom"/>
            <w:shd w:val="clear" w:color="auto" w:fill="E5FFFF"/>
          </w:tcPr>
          <w:p>
            <w:pPr>
              <w:spacing w:after="0"/>
              <w:rPr>
                <w:sz w:val="20"/>
                <w:szCs w:val="20"/>
                <w:color w:val="auto"/>
              </w:rPr>
            </w:pPr>
            <w:r>
              <w:rPr>
                <w:rFonts w:ascii="Arial" w:cs="Arial" w:eastAsia="Arial" w:hAnsi="Arial"/>
                <w:sz w:val="19"/>
                <w:szCs w:val="19"/>
                <w:color w:val="auto"/>
              </w:rPr>
              <w:t>Tax expense (benefit)</w:t>
            </w:r>
          </w:p>
        </w:tc>
        <w:tc>
          <w:tcPr>
            <w:tcW w:w="140" w:type="dxa"/>
            <w:vAlign w:val="bottom"/>
            <w:shd w:val="clear" w:color="auto" w:fill="E5FFFF"/>
          </w:tcPr>
          <w:p>
            <w:pPr>
              <w:spacing w:after="0"/>
              <w:rPr>
                <w:sz w:val="20"/>
                <w:szCs w:val="20"/>
                <w:color w:val="auto"/>
              </w:rPr>
            </w:pPr>
          </w:p>
        </w:tc>
        <w:tc>
          <w:tcPr>
            <w:tcW w:w="5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spacing w:after="0"/>
              <w:rPr>
                <w:sz w:val="20"/>
                <w:szCs w:val="20"/>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w:t>
            </w:r>
          </w:p>
        </w:tc>
      </w:tr>
      <w:tr>
        <w:trPr>
          <w:trHeight w:val="250"/>
        </w:trPr>
        <w:tc>
          <w:tcPr>
            <w:tcW w:w="5820" w:type="dxa"/>
            <w:vAlign w:val="bottom"/>
          </w:tcPr>
          <w:p>
            <w:pPr>
              <w:spacing w:after="0"/>
              <w:rPr>
                <w:sz w:val="20"/>
                <w:szCs w:val="20"/>
                <w:color w:val="auto"/>
              </w:rPr>
            </w:pPr>
            <w:r>
              <w:rPr>
                <w:rFonts w:ascii="Arial" w:cs="Arial" w:eastAsia="Arial" w:hAnsi="Arial"/>
                <w:sz w:val="19"/>
                <w:szCs w:val="19"/>
                <w:color w:val="auto"/>
              </w:rPr>
              <w:t>Total reclassifications for the period, net of tax</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158</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 Stock-Based Compensation Plans</w:t>
      </w:r>
    </w:p>
    <w:p>
      <w:pPr>
        <w:spacing w:after="0" w:line="130"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Following approval of both plans, we have not and will not grant any new awards under any previously existing stock-based compensation plans. At December 31, 2017, there were 42,025,990, and 924,694 shares of Honeywell common stock available for future grants under terms of the 2016 Plan and 2016 Directors Plan, respectively.</w:t>
      </w:r>
    </w:p>
    <w:p>
      <w:pPr>
        <w:spacing w:after="0" w:line="67" w:lineRule="exact"/>
        <w:rPr>
          <w:sz w:val="20"/>
          <w:szCs w:val="20"/>
          <w:color w:val="auto"/>
        </w:rPr>
      </w:pPr>
    </w:p>
    <w:p>
      <w:pPr>
        <w:ind w:right="20" w:firstLine="357"/>
        <w:spacing w:after="0" w:line="248" w:lineRule="auto"/>
        <w:rPr>
          <w:sz w:val="20"/>
          <w:szCs w:val="20"/>
          <w:color w:val="auto"/>
        </w:rPr>
      </w:pP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—The exercise price, term and other conditions applicable to each option granted under our stock plans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7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impact to the Consolidated Statement of Operations from stock options: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61"/>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4"/>
                <w:szCs w:val="14"/>
                <w:color w:val="auto"/>
              </w:rPr>
            </w:pPr>
          </w:p>
        </w:tc>
      </w:tr>
      <w:tr>
        <w:trPr>
          <w:trHeight w:val="237"/>
        </w:trPr>
        <w:tc>
          <w:tcPr>
            <w:tcW w:w="500" w:type="dxa"/>
            <w:vAlign w:val="bottom"/>
          </w:tcPr>
          <w:p>
            <w:pPr>
              <w:spacing w:after="0"/>
              <w:rPr>
                <w:sz w:val="20"/>
                <w:szCs w:val="20"/>
                <w:color w:val="auto"/>
              </w:rPr>
            </w:pPr>
          </w:p>
        </w:tc>
        <w:tc>
          <w:tcPr>
            <w:tcW w:w="4160" w:type="dxa"/>
            <w:vAlign w:val="bottom"/>
            <w:shd w:val="clear" w:color="auto" w:fill="E5FFFF"/>
          </w:tcPr>
          <w:p>
            <w:pPr>
              <w:spacing w:after="0"/>
              <w:rPr>
                <w:sz w:val="20"/>
                <w:szCs w:val="20"/>
                <w:color w:val="auto"/>
              </w:rPr>
            </w:pPr>
            <w:r>
              <w:rPr>
                <w:rFonts w:ascii="Arial" w:cs="Arial" w:eastAsia="Arial" w:hAnsi="Arial"/>
                <w:sz w:val="19"/>
                <w:szCs w:val="19"/>
                <w:color w:val="auto"/>
              </w:rPr>
              <w:t>Compensation expense</w:t>
            </w:r>
          </w:p>
        </w:tc>
        <w:tc>
          <w:tcPr>
            <w:tcW w:w="45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79</w:t>
            </w:r>
          </w:p>
        </w:tc>
        <w:tc>
          <w:tcPr>
            <w:tcW w:w="9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87</w:t>
            </w:r>
          </w:p>
        </w:tc>
        <w:tc>
          <w:tcPr>
            <w:tcW w:w="8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$ 78</w:t>
            </w:r>
          </w:p>
        </w:tc>
        <w:tc>
          <w:tcPr>
            <w:tcW w:w="520" w:type="dxa"/>
            <w:vAlign w:val="bottom"/>
          </w:tcPr>
          <w:p>
            <w:pPr>
              <w:spacing w:after="0"/>
              <w:rPr>
                <w:sz w:val="20"/>
                <w:szCs w:val="20"/>
                <w:color w:val="auto"/>
              </w:rPr>
            </w:pPr>
          </w:p>
        </w:tc>
      </w:tr>
      <w:tr>
        <w:trPr>
          <w:trHeight w:val="261"/>
        </w:trPr>
        <w:tc>
          <w:tcPr>
            <w:tcW w:w="500" w:type="dxa"/>
            <w:vAlign w:val="bottom"/>
          </w:tcPr>
          <w:p>
            <w:pPr>
              <w:spacing w:after="0"/>
              <w:rPr>
                <w:sz w:val="22"/>
                <w:szCs w:val="22"/>
                <w:color w:val="auto"/>
              </w:rPr>
            </w:pPr>
          </w:p>
        </w:tc>
        <w:tc>
          <w:tcPr>
            <w:tcW w:w="4160" w:type="dxa"/>
            <w:vAlign w:val="bottom"/>
          </w:tcPr>
          <w:p>
            <w:pPr>
              <w:spacing w:after="0"/>
              <w:rPr>
                <w:sz w:val="20"/>
                <w:szCs w:val="20"/>
                <w:color w:val="auto"/>
              </w:rPr>
            </w:pPr>
            <w:r>
              <w:rPr>
                <w:rFonts w:ascii="Arial" w:cs="Arial" w:eastAsia="Arial" w:hAnsi="Arial"/>
                <w:sz w:val="19"/>
                <w:szCs w:val="19"/>
                <w:color w:val="auto"/>
              </w:rPr>
              <w:t>Future income tax benefit recognized</w:t>
            </w:r>
          </w:p>
        </w:tc>
        <w:tc>
          <w:tcPr>
            <w:tcW w:w="4500" w:type="dxa"/>
            <w:vAlign w:val="bottom"/>
            <w:gridSpan w:val="2"/>
          </w:tcPr>
          <w:p>
            <w:pPr>
              <w:jc w:val="right"/>
              <w:ind w:right="1"/>
              <w:spacing w:after="0"/>
              <w:rPr>
                <w:sz w:val="20"/>
                <w:szCs w:val="20"/>
                <w:color w:val="auto"/>
              </w:rPr>
            </w:pPr>
            <w:r>
              <w:rPr>
                <w:rFonts w:ascii="Arial" w:cs="Arial" w:eastAsia="Arial" w:hAnsi="Arial"/>
                <w:sz w:val="19"/>
                <w:szCs w:val="19"/>
                <w:color w:val="auto"/>
              </w:rPr>
              <w:t>17</w:t>
            </w:r>
          </w:p>
        </w:tc>
        <w:tc>
          <w:tcPr>
            <w:tcW w:w="920" w:type="dxa"/>
            <w:vAlign w:val="bottom"/>
            <w:gridSpan w:val="2"/>
          </w:tcPr>
          <w:p>
            <w:pPr>
              <w:jc w:val="right"/>
              <w:ind w:right="1"/>
              <w:spacing w:after="0"/>
              <w:rPr>
                <w:sz w:val="20"/>
                <w:szCs w:val="20"/>
                <w:color w:val="auto"/>
              </w:rPr>
            </w:pPr>
            <w:r>
              <w:rPr>
                <w:rFonts w:ascii="Arial" w:cs="Arial" w:eastAsia="Arial" w:hAnsi="Arial"/>
                <w:sz w:val="19"/>
                <w:szCs w:val="19"/>
                <w:color w:val="auto"/>
              </w:rPr>
              <w:t>29</w:t>
            </w:r>
          </w:p>
        </w:tc>
        <w:tc>
          <w:tcPr>
            <w:tcW w:w="820" w:type="dxa"/>
            <w:vAlign w:val="bottom"/>
            <w:gridSpan w:val="2"/>
          </w:tcPr>
          <w:p>
            <w:pPr>
              <w:jc w:val="right"/>
              <w:ind w:right="1"/>
              <w:spacing w:after="0"/>
              <w:rPr>
                <w:sz w:val="20"/>
                <w:szCs w:val="20"/>
                <w:color w:val="auto"/>
              </w:rPr>
            </w:pPr>
            <w:r>
              <w:rPr>
                <w:rFonts w:ascii="Arial" w:cs="Arial" w:eastAsia="Arial" w:hAnsi="Arial"/>
                <w:sz w:val="19"/>
                <w:szCs w:val="19"/>
                <w:color w:val="auto"/>
              </w:rPr>
              <w:t>26</w:t>
            </w:r>
          </w:p>
        </w:tc>
        <w:tc>
          <w:tcPr>
            <w:tcW w:w="520" w:type="dxa"/>
            <w:vAlign w:val="bottom"/>
          </w:tcPr>
          <w:p>
            <w:pPr>
              <w:spacing w:after="0"/>
              <w:rPr>
                <w:sz w:val="22"/>
                <w:szCs w:val="22"/>
                <w:color w:val="auto"/>
              </w:rPr>
            </w:pPr>
          </w:p>
        </w:tc>
      </w:tr>
      <w:tr>
        <w:trPr>
          <w:trHeight w:val="324"/>
        </w:trPr>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920" w:type="dxa"/>
            <w:vAlign w:val="bottom"/>
          </w:tcPr>
          <w:p>
            <w:pPr>
              <w:jc w:val="right"/>
              <w:ind w:right="2663"/>
              <w:spacing w:after="0"/>
              <w:rPr>
                <w:sz w:val="20"/>
                <w:szCs w:val="20"/>
                <w:color w:val="auto"/>
              </w:rPr>
            </w:pPr>
            <w:r>
              <w:rPr>
                <w:rFonts w:ascii="Arial" w:cs="Arial" w:eastAsia="Arial" w:hAnsi="Arial"/>
                <w:sz w:val="19"/>
                <w:szCs w:val="19"/>
                <w:color w:val="auto"/>
              </w:rPr>
              <w:t>64</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860" w:firstLine="357"/>
        <w:spacing w:after="0" w:line="246" w:lineRule="auto"/>
        <w:rPr>
          <w:sz w:val="20"/>
          <w:szCs w:val="20"/>
          <w:color w:val="auto"/>
        </w:rPr>
      </w:pPr>
      <w:r>
        <w:rPr>
          <w:rFonts w:ascii="Arial" w:cs="Arial" w:eastAsia="Arial" w:hAnsi="Arial"/>
          <w:sz w:val="19"/>
          <w:szCs w:val="19"/>
          <w:color w:val="auto"/>
        </w:rPr>
        <w:t>The following table sets forth fair value per share information, including related weighted-average assumptions, used to determine compensation cost.</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0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20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fair value per share of options granted during the year(1)</w:t>
            </w:r>
          </w:p>
        </w:tc>
        <w:tc>
          <w:tcPr>
            <w:tcW w:w="86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$ 16.68</w:t>
            </w:r>
          </w:p>
        </w:tc>
        <w:tc>
          <w:tcPr>
            <w:tcW w:w="116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$ 15.59</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$ 17.21</w:t>
            </w:r>
          </w:p>
        </w:tc>
      </w:tr>
      <w:tr>
        <w:trPr>
          <w:trHeight w:val="216"/>
        </w:trPr>
        <w:tc>
          <w:tcPr>
            <w:tcW w:w="7200" w:type="dxa"/>
            <w:vAlign w:val="bottom"/>
          </w:tcPr>
          <w:p>
            <w:pPr>
              <w:spacing w:after="0" w:line="216" w:lineRule="exact"/>
              <w:rPr>
                <w:sz w:val="20"/>
                <w:szCs w:val="20"/>
                <w:color w:val="auto"/>
              </w:rPr>
            </w:pPr>
            <w:r>
              <w:rPr>
                <w:rFonts w:ascii="Arial" w:cs="Arial" w:eastAsia="Arial" w:hAnsi="Arial"/>
                <w:sz w:val="19"/>
                <w:szCs w:val="19"/>
                <w:color w:val="auto"/>
              </w:rPr>
              <w:t>Assumptions: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Expected annual dividend yield</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2.92%</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1.98%</w:t>
            </w:r>
          </w:p>
        </w:tc>
      </w:tr>
      <w:tr>
        <w:trPr>
          <w:trHeight w:val="243"/>
        </w:trPr>
        <w:tc>
          <w:tcPr>
            <w:tcW w:w="7200" w:type="dxa"/>
            <w:vAlign w:val="bottom"/>
          </w:tcPr>
          <w:p>
            <w:pPr>
              <w:ind w:left="360"/>
              <w:spacing w:after="0"/>
              <w:rPr>
                <w:sz w:val="20"/>
                <w:szCs w:val="20"/>
                <w:color w:val="auto"/>
              </w:rPr>
            </w:pPr>
            <w:r>
              <w:rPr>
                <w:rFonts w:ascii="Arial" w:cs="Arial" w:eastAsia="Arial" w:hAnsi="Arial"/>
                <w:sz w:val="19"/>
                <w:szCs w:val="19"/>
                <w:color w:val="auto"/>
              </w:rPr>
              <w:t>Expected volatility</w:t>
            </w:r>
          </w:p>
        </w:tc>
        <w:tc>
          <w:tcPr>
            <w:tcW w:w="860" w:type="dxa"/>
            <w:vAlign w:val="bottom"/>
          </w:tcPr>
          <w:p>
            <w:pPr>
              <w:jc w:val="right"/>
              <w:spacing w:after="0"/>
              <w:rPr>
                <w:sz w:val="20"/>
                <w:szCs w:val="20"/>
                <w:color w:val="auto"/>
              </w:rPr>
            </w:pPr>
            <w:r>
              <w:rPr>
                <w:rFonts w:ascii="Arial" w:cs="Arial" w:eastAsia="Arial" w:hAnsi="Arial"/>
                <w:sz w:val="19"/>
                <w:szCs w:val="19"/>
                <w:color w:val="auto"/>
              </w:rPr>
              <w:t>18.96%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23.07%</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21.55%</w:t>
            </w: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Risk-free rate of return</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2.02%</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1.29%</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1.61%</w:t>
            </w:r>
          </w:p>
        </w:tc>
      </w:tr>
      <w:tr>
        <w:trPr>
          <w:trHeight w:val="261"/>
        </w:trPr>
        <w:tc>
          <w:tcPr>
            <w:tcW w:w="7200" w:type="dxa"/>
            <w:vAlign w:val="bottom"/>
          </w:tcPr>
          <w:p>
            <w:pPr>
              <w:ind w:left="360"/>
              <w:spacing w:after="0"/>
              <w:rPr>
                <w:sz w:val="20"/>
                <w:szCs w:val="20"/>
                <w:color w:val="auto"/>
              </w:rPr>
            </w:pPr>
            <w:r>
              <w:rPr>
                <w:rFonts w:ascii="Arial" w:cs="Arial" w:eastAsia="Arial" w:hAnsi="Arial"/>
                <w:sz w:val="19"/>
                <w:szCs w:val="19"/>
                <w:color w:val="auto"/>
              </w:rPr>
              <w:t>Expected option term (years)</w:t>
            </w:r>
          </w:p>
        </w:tc>
        <w:tc>
          <w:tcPr>
            <w:tcW w:w="860" w:type="dxa"/>
            <w:vAlign w:val="bottom"/>
          </w:tcPr>
          <w:p>
            <w:pPr>
              <w:jc w:val="right"/>
              <w:ind w:right="108"/>
              <w:spacing w:after="0"/>
              <w:rPr>
                <w:sz w:val="20"/>
                <w:szCs w:val="20"/>
                <w:color w:val="auto"/>
              </w:rPr>
            </w:pPr>
            <w:r>
              <w:rPr>
                <w:rFonts w:ascii="Arial" w:cs="Arial" w:eastAsia="Arial" w:hAnsi="Arial"/>
                <w:sz w:val="19"/>
                <w:szCs w:val="19"/>
                <w:color w:val="auto"/>
              </w:rPr>
              <w:t>5.04</w:t>
            </w:r>
          </w:p>
        </w:tc>
        <w:tc>
          <w:tcPr>
            <w:tcW w:w="1160" w:type="dxa"/>
            <w:vAlign w:val="bottom"/>
            <w:gridSpan w:val="2"/>
          </w:tcPr>
          <w:p>
            <w:pPr>
              <w:jc w:val="right"/>
              <w:ind w:right="121"/>
              <w:spacing w:after="0"/>
              <w:rPr>
                <w:sz w:val="20"/>
                <w:szCs w:val="20"/>
                <w:color w:val="auto"/>
              </w:rPr>
            </w:pPr>
            <w:r>
              <w:rPr>
                <w:rFonts w:ascii="Arial" w:cs="Arial" w:eastAsia="Arial" w:hAnsi="Arial"/>
                <w:sz w:val="19"/>
                <w:szCs w:val="19"/>
                <w:color w:val="auto"/>
              </w:rPr>
              <w:t>4.97</w:t>
            </w:r>
          </w:p>
        </w:tc>
        <w:tc>
          <w:tcPr>
            <w:tcW w:w="1180" w:type="dxa"/>
            <w:vAlign w:val="bottom"/>
            <w:gridSpan w:val="2"/>
          </w:tcPr>
          <w:p>
            <w:pPr>
              <w:jc w:val="right"/>
              <w:ind w:right="121"/>
              <w:spacing w:after="0"/>
              <w:rPr>
                <w:sz w:val="20"/>
                <w:szCs w:val="20"/>
                <w:color w:val="auto"/>
              </w:rPr>
            </w:pPr>
            <w:r>
              <w:rPr>
                <w:rFonts w:ascii="Arial" w:cs="Arial" w:eastAsia="Arial" w:hAnsi="Arial"/>
                <w:sz w:val="19"/>
                <w:szCs w:val="19"/>
                <w:color w:val="auto"/>
              </w:rPr>
              <w:t>4.96</w:t>
            </w:r>
          </w:p>
        </w:tc>
      </w:tr>
    </w:tbl>
    <w:p>
      <w:pPr>
        <w:spacing w:after="0" w:line="30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Estimated on date of grant using Black-Scholes option-pricing model.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 activity for the three years ended December 31,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Weighted</w:t>
            </w:r>
          </w:p>
        </w:tc>
      </w:tr>
      <w:tr>
        <w:trPr>
          <w:trHeight w:val="176"/>
        </w:trPr>
        <w:tc>
          <w:tcPr>
            <w:tcW w:w="8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8980" w:type="dxa"/>
            <w:vAlign w:val="bottom"/>
          </w:tcPr>
          <w:p>
            <w:pPr>
              <w:spacing w:after="0"/>
              <w:rPr>
                <w:sz w:val="15"/>
                <w:szCs w:val="15"/>
                <w:color w:val="auto"/>
              </w:rPr>
            </w:pPr>
          </w:p>
        </w:tc>
        <w:tc>
          <w:tcPr>
            <w:tcW w:w="1240" w:type="dxa"/>
            <w:vAlign w:val="bottom"/>
          </w:tcPr>
          <w:p>
            <w:pPr>
              <w:jc w:val="right"/>
              <w:ind w:right="125"/>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rPr>
              <w:t>Exercise</w:t>
            </w:r>
          </w:p>
        </w:tc>
      </w:tr>
      <w:tr>
        <w:trPr>
          <w:trHeight w:val="190"/>
        </w:trPr>
        <w:tc>
          <w:tcPr>
            <w:tcW w:w="8980" w:type="dxa"/>
            <w:vAlign w:val="bottom"/>
          </w:tcPr>
          <w:p>
            <w:pPr>
              <w:spacing w:after="0"/>
              <w:rPr>
                <w:sz w:val="16"/>
                <w:szCs w:val="16"/>
                <w:color w:val="auto"/>
              </w:rPr>
            </w:pPr>
          </w:p>
        </w:tc>
        <w:tc>
          <w:tcPr>
            <w:tcW w:w="124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6"/>
                <w:szCs w:val="16"/>
                <w:b w:val="1"/>
                <w:bCs w:val="1"/>
                <w:color w:val="auto"/>
                <w:w w:val="96"/>
              </w:rPr>
              <w:t>Price</w:t>
            </w: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2014</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29,495,612</w:t>
            </w: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61.80</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5,967,256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103.87</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(4,190,298)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53.40</w:t>
            </w:r>
          </w:p>
        </w:tc>
      </w:tr>
      <w:tr>
        <w:trPr>
          <w:trHeight w:val="250"/>
        </w:trPr>
        <w:tc>
          <w:tcPr>
            <w:tcW w:w="8980" w:type="dxa"/>
            <w:vAlign w:val="bottom"/>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(703,132)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84.31</w:t>
            </w:r>
          </w:p>
        </w:tc>
      </w:tr>
      <w:tr>
        <w:trPr>
          <w:trHeight w:val="243"/>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2015</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30,569,438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70.76</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6,281,053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103.51</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(7,075,852)</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57.41</w:t>
            </w:r>
          </w:p>
        </w:tc>
      </w:tr>
      <w:tr>
        <w:trPr>
          <w:trHeight w:val="250"/>
        </w:trPr>
        <w:tc>
          <w:tcPr>
            <w:tcW w:w="8980" w:type="dxa"/>
            <w:vAlign w:val="bottom"/>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(1,107,339)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96.81</w:t>
            </w:r>
          </w:p>
        </w:tc>
      </w:tr>
      <w:tr>
        <w:trPr>
          <w:trHeight w:val="243"/>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2016</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28,667,300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79.57</w:t>
            </w:r>
          </w:p>
        </w:tc>
      </w:tr>
      <w:tr>
        <w:trPr>
          <w:trHeight w:val="243"/>
        </w:trPr>
        <w:tc>
          <w:tcPr>
            <w:tcW w:w="8980" w:type="dxa"/>
            <w:vAlign w:val="bottom"/>
          </w:tcPr>
          <w:p>
            <w:pPr>
              <w:ind w:left="360"/>
              <w:spacing w:after="0"/>
              <w:rPr>
                <w:sz w:val="20"/>
                <w:szCs w:val="20"/>
                <w:color w:val="auto"/>
              </w:rPr>
            </w:pPr>
            <w:r>
              <w:rPr>
                <w:rFonts w:ascii="Arial" w:cs="Arial" w:eastAsia="Arial" w:hAnsi="Arial"/>
                <w:sz w:val="19"/>
                <w:szCs w:val="19"/>
                <w:color w:val="auto"/>
              </w:rPr>
              <w:t>Granted</w:t>
            </w:r>
          </w:p>
        </w:tc>
        <w:tc>
          <w:tcPr>
            <w:tcW w:w="1240" w:type="dxa"/>
            <w:vAlign w:val="bottom"/>
          </w:tcPr>
          <w:p>
            <w:pPr>
              <w:jc w:val="right"/>
              <w:spacing w:after="0"/>
              <w:rPr>
                <w:sz w:val="20"/>
                <w:szCs w:val="20"/>
                <w:color w:val="auto"/>
              </w:rPr>
            </w:pPr>
            <w:r>
              <w:rPr>
                <w:rFonts w:ascii="Arial" w:cs="Arial" w:eastAsia="Arial" w:hAnsi="Arial"/>
                <w:sz w:val="19"/>
                <w:szCs w:val="19"/>
                <w:color w:val="auto"/>
              </w:rPr>
              <w:t>5,098,569</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125.16</w:t>
            </w:r>
          </w:p>
        </w:tc>
      </w:tr>
      <w:tr>
        <w:trPr>
          <w:trHeight w:val="243"/>
        </w:trPr>
        <w:tc>
          <w:tcPr>
            <w:tcW w:w="89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(8,840,019)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62.34</w:t>
            </w:r>
          </w:p>
        </w:tc>
      </w:tr>
      <w:tr>
        <w:trPr>
          <w:trHeight w:val="250"/>
        </w:trPr>
        <w:tc>
          <w:tcPr>
            <w:tcW w:w="8980" w:type="dxa"/>
            <w:vAlign w:val="bottom"/>
          </w:tcPr>
          <w:p>
            <w:pPr>
              <w:ind w:left="360"/>
              <w:spacing w:after="0"/>
              <w:rPr>
                <w:sz w:val="20"/>
                <w:szCs w:val="20"/>
                <w:color w:val="auto"/>
              </w:rPr>
            </w:pPr>
            <w:r>
              <w:rPr>
                <w:rFonts w:ascii="Arial" w:cs="Arial" w:eastAsia="Arial" w:hAnsi="Arial"/>
                <w:sz w:val="19"/>
                <w:szCs w:val="19"/>
                <w:color w:val="auto"/>
              </w:rPr>
              <w:t>Lapsed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(1,516,557)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109.04</w:t>
            </w:r>
          </w:p>
        </w:tc>
      </w:tr>
      <w:tr>
        <w:trPr>
          <w:trHeight w:val="243"/>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Outstanding at December 31, 2017</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23,409,293</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94.16</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8980" w:type="dxa"/>
            <w:vAlign w:val="bottom"/>
          </w:tcPr>
          <w:p>
            <w:pPr>
              <w:spacing w:after="0"/>
              <w:rPr>
                <w:sz w:val="20"/>
                <w:szCs w:val="20"/>
                <w:color w:val="auto"/>
              </w:rPr>
            </w:pPr>
            <w:r>
              <w:rPr>
                <w:rFonts w:ascii="Arial" w:cs="Arial" w:eastAsia="Arial" w:hAnsi="Arial"/>
                <w:sz w:val="19"/>
                <w:szCs w:val="19"/>
                <w:color w:val="auto"/>
              </w:rPr>
              <w:t>Vested and expected to vest at December 31, 2017(1)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21,979,487</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92.58</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Exercisable at December 31, 2017</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12,288,854</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78.35</w:t>
            </w:r>
          </w:p>
        </w:tc>
      </w:tr>
      <w:tr>
        <w:trPr>
          <w:trHeight w:val="20"/>
        </w:trPr>
        <w:tc>
          <w:tcPr>
            <w:tcW w:w="8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338" w:lineRule="exact"/>
        <w:rPr>
          <w:sz w:val="20"/>
          <w:szCs w:val="20"/>
          <w:color w:val="auto"/>
        </w:rPr>
      </w:pPr>
    </w:p>
    <w:p>
      <w:pPr>
        <w:ind w:left="420" w:right="280" w:hanging="338"/>
        <w:spacing w:after="0" w:line="253" w:lineRule="auto"/>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Represents the sum of vested options of 12.3 million and expected to vest options of 9.7 million. Expected to vest options are derived by applying the pre-vesting forfeiture rate assumption to total outstanding unvested options of 11.2 million.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options outstanding and exercisable at December 31, 2017:</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Borders>
              <w:bottom w:val="single" w:sz="8" w:color="auto"/>
            </w:tcBorders>
            <w:gridSpan w:val="5"/>
          </w:tcPr>
          <w:p>
            <w:pPr>
              <w:ind w:left="920"/>
              <w:spacing w:after="0"/>
              <w:rPr>
                <w:sz w:val="20"/>
                <w:szCs w:val="20"/>
                <w:color w:val="auto"/>
              </w:rPr>
            </w:pPr>
            <w:r>
              <w:rPr>
                <w:rFonts w:ascii="Arial" w:cs="Arial" w:eastAsia="Arial" w:hAnsi="Arial"/>
                <w:sz w:val="16"/>
                <w:szCs w:val="16"/>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5"/>
        </w:trPr>
        <w:tc>
          <w:tcPr>
            <w:tcW w:w="2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center"/>
              <w:ind w:right="280"/>
              <w:spacing w:after="0" w:line="155" w:lineRule="exact"/>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6"/>
        </w:trPr>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Weighted</w:t>
            </w: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Average</w:t>
            </w:r>
          </w:p>
        </w:tc>
        <w:tc>
          <w:tcPr>
            <w:tcW w:w="28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Aggregate</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94"/>
              </w:rPr>
              <w:t>Average</w:t>
            </w:r>
          </w:p>
        </w:tc>
        <w:tc>
          <w:tcPr>
            <w:tcW w:w="82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w w:val="98"/>
              </w:rPr>
              <w:t>Aggregate</w:t>
            </w:r>
          </w:p>
        </w:tc>
      </w:tr>
      <w:tr>
        <w:trPr>
          <w:trHeight w:val="176"/>
        </w:trPr>
        <w:tc>
          <w:tcPr>
            <w:tcW w:w="2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198"/>
              <w:spacing w:after="0" w:line="176" w:lineRule="exact"/>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Exercise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3"/>
              <w:spacing w:after="0" w:line="176" w:lineRule="exact"/>
              <w:rPr>
                <w:sz w:val="20"/>
                <w:szCs w:val="20"/>
                <w:color w:val="auto"/>
              </w:rPr>
            </w:pPr>
            <w:r>
              <w:rPr>
                <w:rFonts w:ascii="Arial" w:cs="Arial" w:eastAsia="Arial" w:hAnsi="Arial"/>
                <w:sz w:val="16"/>
                <w:szCs w:val="16"/>
                <w:b w:val="1"/>
                <w:bCs w:val="1"/>
                <w:color w:val="auto"/>
                <w:w w:val="99"/>
              </w:rPr>
              <w:t>Intrinsic</w:t>
            </w:r>
          </w:p>
        </w:tc>
        <w:tc>
          <w:tcPr>
            <w:tcW w:w="280" w:type="dxa"/>
            <w:vAlign w:val="bottom"/>
          </w:tcPr>
          <w:p>
            <w:pPr>
              <w:spacing w:after="0"/>
              <w:rPr>
                <w:sz w:val="15"/>
                <w:szCs w:val="15"/>
                <w:color w:val="auto"/>
              </w:rPr>
            </w:pPr>
          </w:p>
        </w:tc>
        <w:tc>
          <w:tcPr>
            <w:tcW w:w="1100" w:type="dxa"/>
            <w:vAlign w:val="bottom"/>
          </w:tcPr>
          <w:p>
            <w:pPr>
              <w:jc w:val="right"/>
              <w:ind w:right="178"/>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1160" w:type="dxa"/>
            <w:vAlign w:val="bottom"/>
            <w:gridSpan w:val="3"/>
          </w:tcPr>
          <w:p>
            <w:pPr>
              <w:jc w:val="center"/>
              <w:ind w:right="280"/>
              <w:spacing w:after="0" w:line="176" w:lineRule="exact"/>
              <w:rPr>
                <w:sz w:val="20"/>
                <w:szCs w:val="20"/>
                <w:color w:val="auto"/>
              </w:rPr>
            </w:pPr>
            <w:r>
              <w:rPr>
                <w:rFonts w:ascii="Arial" w:cs="Arial" w:eastAsia="Arial" w:hAnsi="Arial"/>
                <w:sz w:val="16"/>
                <w:szCs w:val="16"/>
                <w:b w:val="1"/>
                <w:bCs w:val="1"/>
                <w:color w:val="auto"/>
                <w:w w:val="97"/>
              </w:rPr>
              <w:t>Exercise</w:t>
            </w:r>
          </w:p>
        </w:tc>
        <w:tc>
          <w:tcPr>
            <w:tcW w:w="820" w:type="dxa"/>
            <w:vAlign w:val="bottom"/>
            <w:gridSpan w:val="2"/>
          </w:tcPr>
          <w:p>
            <w:pPr>
              <w:jc w:val="right"/>
              <w:ind w:right="12"/>
              <w:spacing w:after="0" w:line="176" w:lineRule="exact"/>
              <w:rPr>
                <w:sz w:val="20"/>
                <w:szCs w:val="20"/>
                <w:color w:val="auto"/>
              </w:rPr>
            </w:pPr>
            <w:r>
              <w:rPr>
                <w:rFonts w:ascii="Arial" w:cs="Arial" w:eastAsia="Arial" w:hAnsi="Arial"/>
                <w:sz w:val="16"/>
                <w:szCs w:val="16"/>
                <w:b w:val="1"/>
                <w:bCs w:val="1"/>
                <w:color w:val="auto"/>
              </w:rPr>
              <w:t>Intrinsic</w:t>
            </w:r>
          </w:p>
        </w:tc>
      </w:tr>
      <w:tr>
        <w:trPr>
          <w:trHeight w:val="190"/>
        </w:trPr>
        <w:tc>
          <w:tcPr>
            <w:tcW w:w="2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Range of Exercise prices</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Life(1)</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8"/>
              </w:rPr>
              <w:t>Value</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Exercisable</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Value</w:t>
            </w:r>
          </w:p>
        </w:tc>
      </w:tr>
      <w:tr>
        <w:trPr>
          <w:trHeight w:val="237"/>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$28.19–$64.99</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4,204,045</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3.38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54.75</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415</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4,204,045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54.75</w:t>
            </w:r>
          </w:p>
        </w:tc>
        <w:tc>
          <w:tcPr>
            <w:tcW w:w="2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415</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$65.00–$89.99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2,402,025</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69.59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2,401,220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69.59</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201</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$90.00–$99.99</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3,189,936</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6.16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93.41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191</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2,239,440</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93.41</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134</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$100.00–$114.99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8,974,559</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7.71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103.45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3,427,616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103.37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172</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$115.00–$134.00</w:t>
            </w:r>
          </w:p>
        </w:tc>
        <w:tc>
          <w:tcPr>
            <w:tcW w:w="280" w:type="dxa"/>
            <w:vAlign w:val="bottom"/>
            <w:shd w:val="clear" w:color="auto" w:fill="E5FFFF"/>
          </w:tcPr>
          <w:p>
            <w:pPr>
              <w:spacing w:after="0"/>
              <w:rPr>
                <w:sz w:val="21"/>
                <w:szCs w:val="21"/>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4,638,728</w:t>
            </w:r>
          </w:p>
        </w:tc>
        <w:tc>
          <w:tcPr>
            <w:tcW w:w="11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9.17</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125.15</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16,533</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124.20</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28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23,409,293</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12,288,854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78.35</w:t>
            </w:r>
          </w:p>
        </w:tc>
        <w:tc>
          <w:tcPr>
            <w:tcW w:w="2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922</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Average remaining contractual life in years.</w:t>
      </w:r>
    </w:p>
    <w:p>
      <w:pPr>
        <w:spacing w:after="0" w:line="106" w:lineRule="exact"/>
        <w:rPr>
          <w:sz w:val="20"/>
          <w:szCs w:val="20"/>
          <w:color w:val="auto"/>
        </w:rPr>
      </w:pPr>
    </w:p>
    <w:p>
      <w:pPr>
        <w:ind w:right="620" w:firstLine="357"/>
        <w:spacing w:after="0" w:line="253" w:lineRule="auto"/>
        <w:rPr>
          <w:sz w:val="20"/>
          <w:szCs w:val="20"/>
          <w:color w:val="auto"/>
        </w:rPr>
      </w:pPr>
      <w:r>
        <w:rPr>
          <w:rFonts w:ascii="Arial" w:cs="Arial" w:eastAsia="Arial" w:hAnsi="Arial"/>
          <w:sz w:val="19"/>
          <w:szCs w:val="19"/>
          <w:color w:val="auto"/>
        </w:rPr>
        <w:t>There were 15,536,961, and 17,202,377 options exercisable at weighted average exercise prices of $63.39 and $55.11 at December 31, 2016 and 2015.</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financial statement impact from stock options exercised:</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Options Exercised</w:t>
            </w:r>
          </w:p>
        </w:tc>
        <w:tc>
          <w:tcPr>
            <w:tcW w:w="30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76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Intrinsic value(1)</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$ 620</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$ 395</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$ 210</w:t>
            </w:r>
          </w:p>
        </w:tc>
        <w:tc>
          <w:tcPr>
            <w:tcW w:w="0" w:type="dxa"/>
            <w:vAlign w:val="bottom"/>
          </w:tcPr>
          <w:p>
            <w:pPr>
              <w:spacing w:after="0"/>
              <w:rPr>
                <w:sz w:val="1"/>
                <w:szCs w:val="1"/>
                <w:color w:val="auto"/>
              </w:rPr>
            </w:pPr>
          </w:p>
        </w:tc>
      </w:tr>
      <w:tr>
        <w:trPr>
          <w:trHeight w:val="261"/>
        </w:trPr>
        <w:tc>
          <w:tcPr>
            <w:tcW w:w="7680" w:type="dxa"/>
            <w:vAlign w:val="bottom"/>
          </w:tcPr>
          <w:p>
            <w:pPr>
              <w:spacing w:after="0"/>
              <w:rPr>
                <w:sz w:val="20"/>
                <w:szCs w:val="20"/>
                <w:color w:val="auto"/>
              </w:rPr>
            </w:pPr>
            <w:r>
              <w:rPr>
                <w:rFonts w:ascii="Arial" w:cs="Arial" w:eastAsia="Arial" w:hAnsi="Arial"/>
                <w:sz w:val="19"/>
                <w:szCs w:val="19"/>
                <w:color w:val="auto"/>
              </w:rPr>
              <w:t>Tax benefit realized</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221</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137</w:t>
            </w:r>
          </w:p>
        </w:tc>
        <w:tc>
          <w:tcPr>
            <w:tcW w:w="960" w:type="dxa"/>
            <w:vAlign w:val="bottom"/>
            <w:gridSpan w:val="2"/>
          </w:tcPr>
          <w:p>
            <w:pPr>
              <w:jc w:val="right"/>
              <w:ind w:right="1"/>
              <w:spacing w:after="0"/>
              <w:rPr>
                <w:sz w:val="20"/>
                <w:szCs w:val="20"/>
                <w:color w:val="auto"/>
              </w:rPr>
            </w:pPr>
            <w:r>
              <w:rPr>
                <w:rFonts w:ascii="Arial" w:cs="Arial" w:eastAsia="Arial" w:hAnsi="Arial"/>
                <w:sz w:val="19"/>
                <w:szCs w:val="19"/>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Represents the amount by which the stock price exceeded the exercise price of the options on the date of exercise.</w:t>
      </w:r>
    </w:p>
    <w:p>
      <w:pPr>
        <w:spacing w:after="0" w:line="106" w:lineRule="exact"/>
        <w:rPr>
          <w:sz w:val="20"/>
          <w:szCs w:val="20"/>
          <w:color w:val="auto"/>
        </w:rPr>
      </w:pPr>
    </w:p>
    <w:p>
      <w:pPr>
        <w:jc w:val="both"/>
        <w:ind w:right="540" w:firstLine="357"/>
        <w:spacing w:after="0" w:line="245" w:lineRule="auto"/>
        <w:rPr>
          <w:sz w:val="20"/>
          <w:szCs w:val="20"/>
          <w:color w:val="auto"/>
        </w:rPr>
      </w:pPr>
      <w:r>
        <w:rPr>
          <w:rFonts w:ascii="Arial" w:cs="Arial" w:eastAsia="Arial" w:hAnsi="Arial"/>
          <w:sz w:val="19"/>
          <w:szCs w:val="19"/>
          <w:color w:val="auto"/>
        </w:rPr>
        <w:t>At December 31, 2017 there was $108 million of total unrecognized compensation cost related to non-vested stock option awards which is expected to be recognized over a weighted-average period of 2.32 years. The total fair value of options vested during 2017, 2016 and 2015 was $87 million, $76 million and $73 million.</w:t>
      </w:r>
    </w:p>
    <w:p>
      <w:pPr>
        <w:spacing w:after="0" w:line="63" w:lineRule="exact"/>
        <w:rPr>
          <w:sz w:val="20"/>
          <w:szCs w:val="20"/>
          <w:color w:val="auto"/>
        </w:rPr>
      </w:pPr>
    </w:p>
    <w:p>
      <w:pPr>
        <w:ind w:right="40" w:firstLine="357"/>
        <w:spacing w:after="0" w:line="251"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—Restricted stock unit (RSU) awards entitle the holder to receive one share of common stock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when the units vest. RSUs are issued to certain key employees and directors as compensation at fair market value at the date of grant. RSUs typically become fully vested over periods ranging from three to seven years and are payable in Honeywell common stock upon vesting.</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RSU activity for the three years ended December 31,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7"/>
              </w:rPr>
              <w:t>Weighted</w:t>
            </w:r>
          </w:p>
        </w:tc>
      </w:tr>
      <w:tr>
        <w:trPr>
          <w:trHeight w:val="176"/>
        </w:trPr>
        <w:tc>
          <w:tcPr>
            <w:tcW w:w="8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Grant Date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Restricted</w:t>
            </w:r>
          </w:p>
        </w:tc>
        <w:tc>
          <w:tcPr>
            <w:tcW w:w="30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Fair Value</w:t>
            </w:r>
          </w:p>
        </w:tc>
      </w:tr>
      <w:tr>
        <w:trPr>
          <w:trHeight w:val="190"/>
        </w:trPr>
        <w:tc>
          <w:tcPr>
            <w:tcW w:w="89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Per Share</w:t>
            </w:r>
          </w:p>
        </w:tc>
      </w:tr>
      <w:tr>
        <w:trPr>
          <w:trHeight w:val="237"/>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2014</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5,899,194</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70.32</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1,190,406</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103.04</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(1,681,342)</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56.38</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(426,670)</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77.73</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2015</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4,981,588</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82.18</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1,364,469</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110.49</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(1,486,173)</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68.58</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(392,541)</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88.88</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2016</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4,467,343</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94.17</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1,274,791</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129.71</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(1,289,892)</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81.37</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(505,415)</w:t>
            </w:r>
          </w:p>
        </w:tc>
        <w:tc>
          <w:tcPr>
            <w:tcW w:w="1320" w:type="dxa"/>
            <w:vAlign w:val="bottom"/>
            <w:gridSpan w:val="2"/>
          </w:tcPr>
          <w:p>
            <w:pPr>
              <w:jc w:val="right"/>
              <w:ind w:right="1"/>
              <w:spacing w:after="0"/>
              <w:rPr>
                <w:sz w:val="20"/>
                <w:szCs w:val="20"/>
                <w:color w:val="auto"/>
              </w:rPr>
            </w:pPr>
            <w:r>
              <w:rPr>
                <w:rFonts w:ascii="Arial" w:cs="Arial" w:eastAsia="Arial" w:hAnsi="Arial"/>
                <w:sz w:val="19"/>
                <w:szCs w:val="19"/>
                <w:color w:val="auto"/>
              </w:rPr>
              <w:t>103.06</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2017</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3,946,827</w:t>
            </w:r>
          </w:p>
        </w:tc>
        <w:tc>
          <w:tcPr>
            <w:tcW w:w="13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108.60</w:t>
            </w:r>
          </w:p>
        </w:tc>
      </w:tr>
      <w:tr>
        <w:trPr>
          <w:trHeight w:val="20"/>
        </w:trPr>
        <w:tc>
          <w:tcPr>
            <w:tcW w:w="8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As of December 31, 2017, there was approximately $ 210 million of total unrecognized compensation cost related to non-vested RSUs granted under our stock plans which is expected to be recognized over a weighted-average period of 3.15 years.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impact to the Consolidated Statement of Operations from RSUs:</w:t>
      </w:r>
    </w:p>
    <w:p>
      <w:pPr>
        <w:spacing w:after="0" w:line="15"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635</wp:posOffset>
            </wp:positionV>
            <wp:extent cx="15093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8400"/>
        <w:spacing w:after="0"/>
        <w:tabs>
          <w:tab w:leader="none" w:pos="9300" w:val="left"/>
          <w:tab w:leader="none" w:pos="1020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tbl>
      <w:tblPr>
        <w:tblLayout w:type="fixed"/>
        <w:tblInd w:w="760" w:type="dxa"/>
        <w:tblCellMar>
          <w:top w:w="0" w:type="dxa"/>
          <w:left w:w="0" w:type="dxa"/>
          <w:bottom w:w="0" w:type="dxa"/>
          <w:right w:w="0" w:type="dxa"/>
        </w:tblCellMar>
      </w:tblPr>
      <w:tr>
        <w:trPr>
          <w:trHeight w:val="237"/>
        </w:trPr>
        <w:tc>
          <w:tcPr>
            <w:tcW w:w="7520" w:type="dxa"/>
            <w:vAlign w:val="bottom"/>
            <w:shd w:val="clear" w:color="auto" w:fill="E5FFFF"/>
          </w:tcPr>
          <w:p>
            <w:pPr>
              <w:spacing w:after="0"/>
              <w:rPr>
                <w:sz w:val="20"/>
                <w:szCs w:val="20"/>
                <w:color w:val="auto"/>
              </w:rPr>
            </w:pPr>
            <w:r>
              <w:rPr>
                <w:rFonts w:ascii="Arial" w:cs="Arial" w:eastAsia="Arial" w:hAnsi="Arial"/>
                <w:sz w:val="19"/>
                <w:szCs w:val="19"/>
                <w:color w:val="auto"/>
              </w:rPr>
              <w:t>Compensation expense</w:t>
            </w:r>
          </w:p>
        </w:tc>
        <w:tc>
          <w:tcPr>
            <w:tcW w:w="62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  97</w:t>
            </w:r>
          </w:p>
        </w:tc>
        <w:tc>
          <w:tcPr>
            <w:tcW w:w="300" w:type="dxa"/>
            <w:vAlign w:val="bottom"/>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  97</w:t>
            </w:r>
          </w:p>
        </w:tc>
        <w:tc>
          <w:tcPr>
            <w:tcW w:w="320" w:type="dxa"/>
            <w:vAlign w:val="bottom"/>
            <w:shd w:val="clear" w:color="auto" w:fill="E5FFFF"/>
          </w:tcPr>
          <w:p>
            <w:pPr>
              <w:spacing w:after="0"/>
              <w:rPr>
                <w:sz w:val="20"/>
                <w:szCs w:val="20"/>
                <w:color w:val="auto"/>
              </w:rPr>
            </w:pPr>
          </w:p>
        </w:tc>
        <w:tc>
          <w:tcPr>
            <w:tcW w:w="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$ 97</w:t>
            </w:r>
          </w:p>
        </w:tc>
      </w:tr>
      <w:tr>
        <w:trPr>
          <w:trHeight w:val="261"/>
        </w:trPr>
        <w:tc>
          <w:tcPr>
            <w:tcW w:w="7520" w:type="dxa"/>
            <w:vAlign w:val="bottom"/>
          </w:tcPr>
          <w:p>
            <w:pPr>
              <w:spacing w:after="0"/>
              <w:rPr>
                <w:sz w:val="20"/>
                <w:szCs w:val="20"/>
                <w:color w:val="auto"/>
              </w:rPr>
            </w:pPr>
            <w:r>
              <w:rPr>
                <w:rFonts w:ascii="Arial" w:cs="Arial" w:eastAsia="Arial" w:hAnsi="Arial"/>
                <w:sz w:val="19"/>
                <w:szCs w:val="19"/>
                <w:color w:val="auto"/>
              </w:rPr>
              <w:t>Future income tax benefit recognized</w:t>
            </w:r>
          </w:p>
        </w:tc>
        <w:tc>
          <w:tcPr>
            <w:tcW w:w="620" w:type="dxa"/>
            <w:vAlign w:val="bottom"/>
          </w:tcPr>
          <w:p>
            <w:pPr>
              <w:jc w:val="right"/>
              <w:ind w:right="3"/>
              <w:spacing w:after="0"/>
              <w:rPr>
                <w:sz w:val="20"/>
                <w:szCs w:val="20"/>
                <w:color w:val="auto"/>
              </w:rPr>
            </w:pPr>
            <w:r>
              <w:rPr>
                <w:rFonts w:ascii="Arial" w:cs="Arial" w:eastAsia="Arial" w:hAnsi="Arial"/>
                <w:sz w:val="19"/>
                <w:szCs w:val="19"/>
                <w:color w:val="auto"/>
              </w:rPr>
              <w:t>19</w:t>
            </w:r>
          </w:p>
        </w:tc>
        <w:tc>
          <w:tcPr>
            <w:tcW w:w="920" w:type="dxa"/>
            <w:vAlign w:val="bottom"/>
            <w:gridSpan w:val="2"/>
          </w:tcPr>
          <w:p>
            <w:pPr>
              <w:jc w:val="right"/>
              <w:ind w:right="3"/>
              <w:spacing w:after="0"/>
              <w:rPr>
                <w:sz w:val="20"/>
                <w:szCs w:val="20"/>
                <w:color w:val="auto"/>
              </w:rPr>
            </w:pPr>
            <w:r>
              <w:rPr>
                <w:rFonts w:ascii="Arial" w:cs="Arial" w:eastAsia="Arial" w:hAnsi="Arial"/>
                <w:sz w:val="19"/>
                <w:szCs w:val="19"/>
                <w:color w:val="auto"/>
              </w:rPr>
              <w:t>30</w:t>
            </w:r>
          </w:p>
        </w:tc>
        <w:tc>
          <w:tcPr>
            <w:tcW w:w="840" w:type="dxa"/>
            <w:vAlign w:val="bottom"/>
            <w:gridSpan w:val="2"/>
          </w:tcPr>
          <w:p>
            <w:pPr>
              <w:jc w:val="right"/>
              <w:spacing w:after="0"/>
              <w:rPr>
                <w:sz w:val="20"/>
                <w:szCs w:val="20"/>
                <w:color w:val="auto"/>
              </w:rPr>
            </w:pPr>
            <w:r>
              <w:rPr>
                <w:rFonts w:ascii="Arial" w:cs="Arial" w:eastAsia="Arial" w:hAnsi="Arial"/>
                <w:sz w:val="19"/>
                <w:szCs w:val="19"/>
                <w:color w:val="auto"/>
              </w:rPr>
              <w:t>29</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 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ind w:right="160" w:firstLine="357"/>
        <w:spacing w:after="0" w:line="241"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concerning our recorded liabilities for environmental costs: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2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w w:val="95"/>
              </w:rPr>
              <w:t>2016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518</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591</w:t>
            </w:r>
          </w:p>
        </w:tc>
      </w:tr>
      <w:tr>
        <w:trPr>
          <w:trHeight w:val="243"/>
        </w:trPr>
        <w:tc>
          <w:tcPr>
            <w:tcW w:w="7680" w:type="dxa"/>
            <w:vAlign w:val="bottom"/>
          </w:tcPr>
          <w:p>
            <w:pPr>
              <w:spacing w:after="0"/>
              <w:rPr>
                <w:sz w:val="20"/>
                <w:szCs w:val="20"/>
                <w:color w:val="auto"/>
              </w:rPr>
            </w:pPr>
            <w:r>
              <w:rPr>
                <w:rFonts w:ascii="Arial" w:cs="Arial" w:eastAsia="Arial" w:hAnsi="Arial"/>
                <w:sz w:val="19"/>
                <w:szCs w:val="19"/>
                <w:color w:val="auto"/>
              </w:rPr>
              <w:t>Accruals for environmental matters deemed probable and reasonably estimable</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195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194</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Environmental liability payments</w:t>
            </w: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(273)</w:t>
            </w:r>
          </w:p>
        </w:tc>
      </w:tr>
      <w:tr>
        <w:trPr>
          <w:trHeight w:val="250"/>
        </w:trPr>
        <w:tc>
          <w:tcPr>
            <w:tcW w:w="7680" w:type="dxa"/>
            <w:vAlign w:val="bottom"/>
          </w:tcPr>
          <w:p>
            <w:pPr>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6</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518</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Environmental liabilities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100" w:type="dxa"/>
            <w:vAlign w:val="bottom"/>
            <w:gridSpan w:val="4"/>
          </w:tcPr>
          <w:p>
            <w:pPr>
              <w:ind w:left="220"/>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3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14"/>
                <w:szCs w:val="14"/>
                <w:color w:val="auto"/>
              </w:rPr>
            </w:pPr>
          </w:p>
        </w:tc>
      </w:tr>
      <w:tr>
        <w:trPr>
          <w:trHeight w:val="237"/>
        </w:trPr>
        <w:tc>
          <w:tcPr>
            <w:tcW w:w="830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$ 226</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$ 252</w:t>
            </w:r>
          </w:p>
        </w:tc>
        <w:tc>
          <w:tcPr>
            <w:tcW w:w="640" w:type="dxa"/>
            <w:vAlign w:val="bottom"/>
            <w:shd w:val="clear" w:color="auto" w:fill="E5FFFF"/>
          </w:tcPr>
          <w:p>
            <w:pPr>
              <w:spacing w:after="0"/>
              <w:rPr>
                <w:sz w:val="20"/>
                <w:szCs w:val="20"/>
                <w:color w:val="auto"/>
              </w:rPr>
            </w:pPr>
          </w:p>
        </w:tc>
      </w:tr>
      <w:tr>
        <w:trPr>
          <w:trHeight w:val="250"/>
        </w:trPr>
        <w:tc>
          <w:tcPr>
            <w:tcW w:w="8300" w:type="dxa"/>
            <w:vAlign w:val="bottom"/>
          </w:tcPr>
          <w:p>
            <w:pPr>
              <w:spacing w:after="0"/>
              <w:rPr>
                <w:sz w:val="20"/>
                <w:szCs w:val="20"/>
                <w:color w:val="auto"/>
              </w:rPr>
            </w:pPr>
            <w:r>
              <w:rPr>
                <w:rFonts w:ascii="Arial" w:cs="Arial" w:eastAsia="Arial" w:hAnsi="Arial"/>
                <w:sz w:val="19"/>
                <w:szCs w:val="19"/>
                <w:color w:val="auto"/>
              </w:rPr>
              <w:t>Other liabilities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3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259</w:t>
            </w:r>
          </w:p>
        </w:tc>
        <w:tc>
          <w:tcPr>
            <w:tcW w:w="640" w:type="dxa"/>
            <w:vAlign w:val="bottom"/>
          </w:tcPr>
          <w:p>
            <w:pPr>
              <w:spacing w:after="0"/>
              <w:rPr>
                <w:sz w:val="21"/>
                <w:szCs w:val="21"/>
                <w:color w:val="auto"/>
              </w:rPr>
            </w:pPr>
          </w:p>
        </w:tc>
      </w:tr>
      <w:tr>
        <w:trPr>
          <w:trHeight w:val="243"/>
        </w:trPr>
        <w:tc>
          <w:tcPr>
            <w:tcW w:w="830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$ 595</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$ 511</w:t>
            </w:r>
          </w:p>
        </w:tc>
        <w:tc>
          <w:tcPr>
            <w:tcW w:w="640" w:type="dxa"/>
            <w:vAlign w:val="bottom"/>
            <w:shd w:val="clear" w:color="auto" w:fill="E5FFFF"/>
          </w:tcPr>
          <w:p>
            <w:pPr>
              <w:spacing w:after="0"/>
              <w:rPr>
                <w:sz w:val="21"/>
                <w:szCs w:val="21"/>
                <w:color w:val="auto"/>
              </w:rPr>
            </w:pPr>
          </w:p>
        </w:tc>
      </w:tr>
      <w:tr>
        <w:trPr>
          <w:trHeight w:val="20"/>
        </w:trPr>
        <w:tc>
          <w:tcPr>
            <w:tcW w:w="8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22"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67" w:lineRule="exact"/>
        <w:rPr>
          <w:sz w:val="20"/>
          <w:szCs w:val="20"/>
          <w:color w:val="auto"/>
        </w:rPr>
      </w:pPr>
    </w:p>
    <w:p>
      <w:pPr>
        <w:ind w:right="160" w:firstLine="357"/>
        <w:spacing w:after="0" w:line="248" w:lineRule="auto"/>
        <w:rPr>
          <w:sz w:val="20"/>
          <w:szCs w:val="20"/>
          <w:color w:val="auto"/>
        </w:rPr>
      </w:pPr>
      <w:r>
        <w:rPr>
          <w:rFonts w:ascii="Arial" w:cs="Arial" w:eastAsia="Arial" w:hAnsi="Arial"/>
          <w:sz w:val="19"/>
          <w:szCs w:val="19"/>
          <w:b w:val="1"/>
          <w:bCs w:val="1"/>
          <w:i w:val="1"/>
          <w:iCs w:val="1"/>
          <w:color w:val="auto"/>
        </w:rPr>
        <w:t>Onondaga Lake, Syracuse, NY</w:t>
      </w:r>
      <w:r>
        <w:rPr>
          <w:rFonts w:ascii="Arial" w:cs="Arial" w:eastAsia="Arial" w:hAnsi="Arial"/>
          <w:sz w:val="19"/>
          <w:szCs w:val="19"/>
          <w:color w:val="auto"/>
        </w:rPr>
        <w:t>—In 2016, we largely completed a dredging/capping remedy of Onondaga Lake pursuant 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consent decree approved by the United States District Court for the Northern District of New York in January 2007. Some additional long-term monitoring and maintenance activities will continue, as required by the consent decree. Honeywell is also conducting remedial investigations and activities at other sites in Syracuse. We have recorded reserves for these investigations and activities where appropriate, consistent with the accounting policy described above.</w:t>
      </w:r>
    </w:p>
    <w:p>
      <w:pPr>
        <w:spacing w:after="0" w:line="70" w:lineRule="exact"/>
        <w:rPr>
          <w:sz w:val="20"/>
          <w:szCs w:val="20"/>
          <w:color w:val="auto"/>
        </w:rPr>
      </w:pPr>
    </w:p>
    <w:p>
      <w:pPr>
        <w:ind w:right="280" w:firstLine="357"/>
        <w:spacing w:after="0" w:line="253" w:lineRule="auto"/>
        <w:rPr>
          <w:sz w:val="20"/>
          <w:szCs w:val="20"/>
          <w:color w:val="auto"/>
        </w:rPr>
      </w:pPr>
      <w:r>
        <w:rPr>
          <w:rFonts w:ascii="Arial" w:cs="Arial" w:eastAsia="Arial" w:hAnsi="Arial"/>
          <w:sz w:val="19"/>
          <w:szCs w:val="19"/>
          <w:color w:val="auto"/>
        </w:rPr>
        <w:t>Honeywell and the federal and New York State natural resource trustees have submitted a consent decree to the federal court requesting approval for a negotiated settlement of natural resource damages claims for this site.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Matters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Honeywell is a defendant in asbestos related personal injury actions related to two predecessor companies:</w:t>
      </w:r>
    </w:p>
    <w:p>
      <w:pPr>
        <w:spacing w:after="0" w:line="92" w:lineRule="exact"/>
        <w:rPr>
          <w:sz w:val="20"/>
          <w:szCs w:val="20"/>
          <w:color w:val="auto"/>
        </w:rPr>
      </w:pPr>
    </w:p>
    <w:p>
      <w:pPr>
        <w:ind w:left="540" w:right="160" w:hanging="168"/>
        <w:spacing w:after="0" w:line="245"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60" w:lineRule="exact"/>
        <w:rPr>
          <w:rFonts w:ascii="Arial" w:cs="Arial" w:eastAsia="Arial" w:hAnsi="Arial"/>
          <w:sz w:val="19"/>
          <w:szCs w:val="19"/>
          <w:color w:val="auto"/>
        </w:rPr>
      </w:pPr>
    </w:p>
    <w:p>
      <w:pPr>
        <w:jc w:val="both"/>
        <w:ind w:left="540" w:right="340" w:hanging="168"/>
        <w:spacing w:after="0" w:line="245"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information concerning NARCO and Bendix asbestos related balances: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50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50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480" w:type="dxa"/>
            <w:vAlign w:val="bottom"/>
            <w:gridSpan w:val="5"/>
          </w:tcPr>
          <w:p>
            <w:pPr>
              <w:jc w:val="right"/>
              <w:ind w:right="278"/>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6"/>
        </w:trPr>
        <w:tc>
          <w:tcPr>
            <w:tcW w:w="33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68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34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$ 641</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$ 919</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$ 1,560</w:t>
            </w:r>
          </w:p>
        </w:tc>
        <w:tc>
          <w:tcPr>
            <w:tcW w:w="9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$ 622</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$ 921</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$ 1,543</w:t>
            </w:r>
          </w:p>
        </w:tc>
        <w:tc>
          <w:tcPr>
            <w:tcW w:w="88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$ 623</w:t>
            </w:r>
          </w:p>
        </w:tc>
        <w:tc>
          <w:tcPr>
            <w:tcW w:w="92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$ 929</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$ 1,552</w:t>
            </w:r>
          </w:p>
        </w:tc>
      </w:tr>
      <w:tr>
        <w:trPr>
          <w:trHeight w:val="198"/>
        </w:trPr>
        <w:tc>
          <w:tcPr>
            <w:tcW w:w="3340" w:type="dxa"/>
            <w:vAlign w:val="bottom"/>
          </w:tcPr>
          <w:p>
            <w:pPr>
              <w:spacing w:after="0" w:line="199" w:lineRule="exact"/>
              <w:rPr>
                <w:sz w:val="20"/>
                <w:szCs w:val="20"/>
                <w:color w:val="auto"/>
              </w:rPr>
            </w:pPr>
            <w:r>
              <w:rPr>
                <w:rFonts w:ascii="Arial" w:cs="Arial" w:eastAsia="Arial" w:hAnsi="Arial"/>
                <w:sz w:val="18"/>
                <w:szCs w:val="18"/>
                <w:color w:val="auto"/>
              </w:rPr>
              <w:t>Accrual for update to estimated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203</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180</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198"/>
        </w:trPr>
        <w:tc>
          <w:tcPr>
            <w:tcW w:w="334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Change in estimated cost of future</w:t>
            </w: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7"/>
        </w:trPr>
        <w:tc>
          <w:tcPr>
            <w:tcW w:w="33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claims</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w:t>
            </w:r>
          </w:p>
        </w:tc>
      </w:tr>
      <w:tr>
        <w:trPr>
          <w:trHeight w:val="198"/>
        </w:trPr>
        <w:tc>
          <w:tcPr>
            <w:tcW w:w="3340" w:type="dxa"/>
            <w:vAlign w:val="bottom"/>
          </w:tcPr>
          <w:p>
            <w:pPr>
              <w:spacing w:after="0" w:line="199" w:lineRule="exact"/>
              <w:rPr>
                <w:sz w:val="20"/>
                <w:szCs w:val="20"/>
                <w:color w:val="auto"/>
              </w:rPr>
            </w:pPr>
            <w:r>
              <w:rPr>
                <w:rFonts w:ascii="Arial" w:cs="Arial" w:eastAsia="Arial" w:hAnsi="Arial"/>
                <w:sz w:val="18"/>
                <w:szCs w:val="18"/>
                <w:color w:val="auto"/>
              </w:rPr>
              <w:t>Update of expected resolution values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340" w:type="dxa"/>
            <w:vAlign w:val="bottom"/>
          </w:tcPr>
          <w:p>
            <w:pPr>
              <w:ind w:left="180"/>
              <w:spacing w:after="0"/>
              <w:rPr>
                <w:sz w:val="20"/>
                <w:szCs w:val="20"/>
                <w:color w:val="auto"/>
              </w:rPr>
            </w:pPr>
            <w:r>
              <w:rPr>
                <w:rFonts w:ascii="Arial" w:cs="Arial" w:eastAsia="Arial" w:hAnsi="Arial"/>
                <w:sz w:val="18"/>
                <w:szCs w:val="18"/>
                <w:color w:val="auto"/>
              </w:rPr>
              <w:t>for pending claims</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liability payments</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(209)</w:t>
            </w: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End of year</w:t>
            </w:r>
          </w:p>
        </w:tc>
        <w:tc>
          <w:tcPr>
            <w:tcW w:w="600" w:type="dxa"/>
            <w:vAlign w:val="bottom"/>
          </w:tcPr>
          <w:p>
            <w:pPr>
              <w:jc w:val="right"/>
              <w:spacing w:after="0"/>
              <w:rPr>
                <w:sz w:val="20"/>
                <w:szCs w:val="20"/>
                <w:color w:val="auto"/>
              </w:rPr>
            </w:pPr>
            <w:r>
              <w:rPr>
                <w:rFonts w:ascii="Arial" w:cs="Arial" w:eastAsia="Arial" w:hAnsi="Arial"/>
                <w:sz w:val="18"/>
                <w:szCs w:val="18"/>
                <w:color w:val="auto"/>
              </w:rPr>
              <w:t>$ 616</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$ 907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$ 1,523</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$ 641</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$ 919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$ 1,560</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$ 622</w:t>
            </w:r>
          </w:p>
        </w:tc>
        <w:tc>
          <w:tcPr>
            <w:tcW w:w="920" w:type="dxa"/>
            <w:vAlign w:val="bottom"/>
            <w:gridSpan w:val="2"/>
          </w:tcPr>
          <w:p>
            <w:pPr>
              <w:jc w:val="right"/>
              <w:ind w:right="13"/>
              <w:spacing w:after="0"/>
              <w:rPr>
                <w:sz w:val="20"/>
                <w:szCs w:val="20"/>
                <w:color w:val="auto"/>
              </w:rPr>
            </w:pPr>
            <w:r>
              <w:rPr>
                <w:rFonts w:ascii="Arial" w:cs="Arial" w:eastAsia="Arial" w:hAnsi="Arial"/>
                <w:sz w:val="18"/>
                <w:szCs w:val="18"/>
                <w:color w:val="auto"/>
              </w:rPr>
              <w:t>$ 921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$ 1,543</w:t>
            </w:r>
          </w:p>
        </w:tc>
      </w:tr>
      <w:tr>
        <w:trPr>
          <w:trHeight w:val="20"/>
        </w:trPr>
        <w:tc>
          <w:tcPr>
            <w:tcW w:w="3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Recoveries for 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9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156"/>
        </w:trPr>
        <w:tc>
          <w:tcPr>
            <w:tcW w:w="39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2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$ 121</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$ 319</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$ 440</w:t>
            </w:r>
          </w:p>
        </w:tc>
        <w:tc>
          <w:tcPr>
            <w:tcW w:w="86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$ 124</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$ 325</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$ 449</w:t>
            </w:r>
          </w:p>
        </w:tc>
        <w:tc>
          <w:tcPr>
            <w:tcW w:w="86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$ 135</w:t>
            </w:r>
          </w:p>
        </w:tc>
        <w:tc>
          <w:tcPr>
            <w:tcW w:w="900" w:type="dxa"/>
            <w:vAlign w:val="bottom"/>
            <w:gridSpan w:val="2"/>
            <w:shd w:val="clear" w:color="auto" w:fill="E5FFFF"/>
          </w:tcPr>
          <w:p>
            <w:pPr>
              <w:jc w:val="right"/>
              <w:ind w:right="15"/>
              <w:spacing w:after="0"/>
              <w:rPr>
                <w:sz w:val="20"/>
                <w:szCs w:val="20"/>
                <w:color w:val="auto"/>
              </w:rPr>
            </w:pPr>
            <w:r>
              <w:rPr>
                <w:rFonts w:ascii="Arial" w:cs="Arial" w:eastAsia="Arial" w:hAnsi="Arial"/>
                <w:sz w:val="18"/>
                <w:szCs w:val="18"/>
                <w:color w:val="auto"/>
              </w:rPr>
              <w:t>$ 350</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$ 485</w:t>
            </w:r>
          </w:p>
        </w:tc>
      </w:tr>
      <w:tr>
        <w:trPr>
          <w:trHeight w:val="198"/>
        </w:trPr>
        <w:tc>
          <w:tcPr>
            <w:tcW w:w="3980" w:type="dxa"/>
            <w:vAlign w:val="bottom"/>
          </w:tcPr>
          <w:p>
            <w:pPr>
              <w:spacing w:after="0" w:line="199" w:lineRule="exact"/>
              <w:rPr>
                <w:sz w:val="20"/>
                <w:szCs w:val="20"/>
                <w:color w:val="auto"/>
              </w:rPr>
            </w:pPr>
            <w:r>
              <w:rPr>
                <w:rFonts w:ascii="Arial" w:cs="Arial" w:eastAsia="Arial" w:hAnsi="Arial"/>
                <w:sz w:val="18"/>
                <w:szCs w:val="18"/>
                <w:color w:val="auto"/>
              </w:rPr>
              <w:t>Probable insurance recoveries related to</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980" w:type="dxa"/>
            <w:vAlign w:val="bottom"/>
          </w:tcPr>
          <w:p>
            <w:pPr>
              <w:ind w:left="180"/>
              <w:spacing w:after="0"/>
              <w:rPr>
                <w:sz w:val="20"/>
                <w:szCs w:val="20"/>
                <w:color w:val="auto"/>
              </w:rPr>
            </w:pPr>
            <w:r>
              <w:rPr>
                <w:rFonts w:ascii="Arial" w:cs="Arial" w:eastAsia="Arial" w:hAnsi="Arial"/>
                <w:sz w:val="18"/>
                <w:szCs w:val="18"/>
                <w:color w:val="auto"/>
              </w:rPr>
              <w:t>estimated liability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7"/>
                <w:szCs w:val="17"/>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198"/>
        </w:trPr>
        <w:tc>
          <w:tcPr>
            <w:tcW w:w="398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Insurance receipts for asbestos related</w:t>
            </w: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r>
      <w:tr>
        <w:trPr>
          <w:trHeight w:val="207"/>
        </w:trPr>
        <w:tc>
          <w:tcPr>
            <w:tcW w:w="3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liabilities</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8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(63)</w:t>
            </w:r>
          </w:p>
        </w:tc>
      </w:tr>
      <w:tr>
        <w:trPr>
          <w:trHeight w:val="198"/>
        </w:trPr>
        <w:tc>
          <w:tcPr>
            <w:tcW w:w="3980" w:type="dxa"/>
            <w:vAlign w:val="bottom"/>
          </w:tcPr>
          <w:p>
            <w:pPr>
              <w:spacing w:after="0" w:line="199" w:lineRule="exact"/>
              <w:rPr>
                <w:sz w:val="20"/>
                <w:szCs w:val="20"/>
                <w:color w:val="auto"/>
              </w:rPr>
            </w:pPr>
            <w:r>
              <w:rPr>
                <w:rFonts w:ascii="Arial" w:cs="Arial" w:eastAsia="Arial" w:hAnsi="Arial"/>
                <w:sz w:val="18"/>
                <w:szCs w:val="18"/>
                <w:color w:val="auto"/>
              </w:rPr>
              <w:t>Insurance receivables settlements and write</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7"/>
        </w:trPr>
        <w:tc>
          <w:tcPr>
            <w:tcW w:w="3980" w:type="dxa"/>
            <w:vAlign w:val="bottom"/>
          </w:tcPr>
          <w:p>
            <w:pPr>
              <w:ind w:left="180"/>
              <w:spacing w:after="0"/>
              <w:rPr>
                <w:sz w:val="20"/>
                <w:szCs w:val="20"/>
                <w:color w:val="auto"/>
              </w:rPr>
            </w:pPr>
            <w:r>
              <w:rPr>
                <w:rFonts w:ascii="Arial" w:cs="Arial" w:eastAsia="Arial" w:hAnsi="Arial"/>
                <w:sz w:val="18"/>
                <w:szCs w:val="18"/>
                <w:color w:val="auto"/>
              </w:rPr>
              <w:t>offs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15"/>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8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980" w:type="dxa"/>
            <w:vAlign w:val="bottom"/>
          </w:tcPr>
          <w:p>
            <w:pPr>
              <w:spacing w:after="0"/>
              <w:rPr>
                <w:sz w:val="20"/>
                <w:szCs w:val="20"/>
                <w:color w:val="auto"/>
              </w:rPr>
            </w:pPr>
            <w:r>
              <w:rPr>
                <w:rFonts w:ascii="Arial" w:cs="Arial" w:eastAsia="Arial" w:hAnsi="Arial"/>
                <w:sz w:val="18"/>
                <w:szCs w:val="18"/>
                <w:color w:val="auto"/>
              </w:rPr>
              <w:t>End of year</w:t>
            </w:r>
          </w:p>
        </w:tc>
        <w:tc>
          <w:tcPr>
            <w:tcW w:w="560" w:type="dxa"/>
            <w:vAlign w:val="bottom"/>
          </w:tcPr>
          <w:p>
            <w:pPr>
              <w:jc w:val="right"/>
              <w:spacing w:after="0"/>
              <w:rPr>
                <w:sz w:val="20"/>
                <w:szCs w:val="20"/>
                <w:color w:val="auto"/>
              </w:rPr>
            </w:pPr>
            <w:r>
              <w:rPr>
                <w:rFonts w:ascii="Arial" w:cs="Arial" w:eastAsia="Arial" w:hAnsi="Arial"/>
                <w:sz w:val="18"/>
                <w:szCs w:val="18"/>
                <w:color w:val="auto"/>
              </w:rPr>
              <w:t>$ 123</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$ 312</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435</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$ 121</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$ 319</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440</w:t>
            </w:r>
          </w:p>
        </w:tc>
        <w:tc>
          <w:tcPr>
            <w:tcW w:w="860" w:type="dxa"/>
            <w:vAlign w:val="bottom"/>
            <w:gridSpan w:val="2"/>
          </w:tcPr>
          <w:p>
            <w:pPr>
              <w:jc w:val="right"/>
              <w:ind w:right="2"/>
              <w:spacing w:after="0"/>
              <w:rPr>
                <w:sz w:val="20"/>
                <w:szCs w:val="20"/>
                <w:color w:val="auto"/>
              </w:rPr>
            </w:pPr>
            <w:r>
              <w:rPr>
                <w:rFonts w:ascii="Arial" w:cs="Arial" w:eastAsia="Arial" w:hAnsi="Arial"/>
                <w:sz w:val="18"/>
                <w:szCs w:val="18"/>
                <w:color w:val="auto"/>
              </w:rPr>
              <w:t>$ 124</w:t>
            </w:r>
          </w:p>
        </w:tc>
        <w:tc>
          <w:tcPr>
            <w:tcW w:w="900" w:type="dxa"/>
            <w:vAlign w:val="bottom"/>
            <w:gridSpan w:val="2"/>
          </w:tcPr>
          <w:p>
            <w:pPr>
              <w:jc w:val="right"/>
              <w:ind w:right="15"/>
              <w:spacing w:after="0"/>
              <w:rPr>
                <w:sz w:val="20"/>
                <w:szCs w:val="20"/>
                <w:color w:val="auto"/>
              </w:rPr>
            </w:pPr>
            <w:r>
              <w:rPr>
                <w:rFonts w:ascii="Arial" w:cs="Arial" w:eastAsia="Arial" w:hAnsi="Arial"/>
                <w:sz w:val="18"/>
                <w:szCs w:val="18"/>
                <w:color w:val="auto"/>
              </w:rPr>
              <w:t>$ 325</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449</w:t>
            </w:r>
          </w:p>
        </w:tc>
      </w:tr>
      <w:tr>
        <w:trPr>
          <w:trHeight w:val="20"/>
        </w:trPr>
        <w:tc>
          <w:tcPr>
            <w:tcW w:w="3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NARCO and Bendix asbestos related balances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Other current assets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w:t>
            </w:r>
          </w:p>
        </w:tc>
      </w:tr>
      <w:tr>
        <w:trPr>
          <w:trHeight w:val="250"/>
        </w:trPr>
        <w:tc>
          <w:tcPr>
            <w:tcW w:w="8620" w:type="dxa"/>
            <w:vAlign w:val="bottom"/>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417</w:t>
            </w:r>
          </w:p>
        </w:tc>
      </w:tr>
      <w:tr>
        <w:trPr>
          <w:trHeight w:val="243"/>
        </w:trPr>
        <w:tc>
          <w:tcPr>
            <w:tcW w:w="86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440</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8620" w:type="dxa"/>
            <w:vAlign w:val="bottom"/>
          </w:tcPr>
          <w:p>
            <w:pPr>
              <w:spacing w:after="0"/>
              <w:rPr>
                <w:sz w:val="20"/>
                <w:szCs w:val="20"/>
                <w:color w:val="auto"/>
              </w:rPr>
            </w:pPr>
            <w:r>
              <w:rPr>
                <w:rFonts w:ascii="Arial" w:cs="Arial" w:eastAsia="Arial" w:hAnsi="Arial"/>
                <w:sz w:val="19"/>
                <w:szCs w:val="19"/>
                <w:color w:val="auto"/>
              </w:rPr>
              <w:t>Accrued liabilities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350</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546</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1,173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1,014</w:t>
            </w:r>
          </w:p>
        </w:tc>
      </w:tr>
      <w:tr>
        <w:trPr>
          <w:trHeight w:val="250"/>
        </w:trPr>
        <w:tc>
          <w:tcPr>
            <w:tcW w:w="8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1,523</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1,560</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right="100" w:firstLine="357"/>
        <w:spacing w:after="0" w:line="242" w:lineRule="auto"/>
        <w:rPr>
          <w:sz w:val="20"/>
          <w:szCs w:val="20"/>
          <w:color w:val="auto"/>
        </w:rPr>
      </w:pPr>
      <w:r>
        <w:rPr>
          <w:rFonts w:ascii="Arial" w:cs="Arial" w:eastAsia="Arial" w:hAnsi="Arial"/>
          <w:sz w:val="19"/>
          <w:szCs w:val="19"/>
          <w:b w:val="1"/>
          <w:bCs w:val="1"/>
          <w:i w:val="1"/>
          <w:iCs w:val="1"/>
          <w:color w:val="auto"/>
        </w:rPr>
        <w:t>NARCO Products</w:t>
      </w:r>
      <w:r>
        <w:rPr>
          <w:rFonts w:ascii="Arial" w:cs="Arial" w:eastAsia="Arial" w:hAnsi="Arial"/>
          <w:sz w:val="19"/>
          <w:szCs w:val="19"/>
          <w:color w:val="auto"/>
        </w:rPr>
        <w:t>—In connection with NARCO’s emergence from bankruptcy on April 30, 2013, a federally authorized 524(g)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trust (NARCO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90" w:lineRule="exact"/>
        <w:rPr>
          <w:sz w:val="20"/>
          <w:szCs w:val="20"/>
          <w:color w:val="auto"/>
        </w:rPr>
      </w:pPr>
    </w:p>
    <w:p>
      <w:pPr>
        <w:ind w:firstLine="357"/>
        <w:spacing w:after="0" w:line="238" w:lineRule="auto"/>
        <w:rPr>
          <w:sz w:val="20"/>
          <w:szCs w:val="20"/>
          <w:color w:val="auto"/>
        </w:rPr>
      </w:pPr>
      <w:r>
        <w:rPr>
          <w:rFonts w:ascii="Arial" w:cs="Arial" w:eastAsia="Arial" w:hAnsi="Arial"/>
          <w:sz w:val="19"/>
          <w:szCs w:val="19"/>
          <w:color w:val="auto"/>
        </w:rPr>
        <w:t>Honeywell is obligated to fund NARCO asbestos claims submitted to the NARCO Trust which qualify for payment under the Trust Distribution Procedures (Annual Contribution Claims), subject to annual caps of $140 million in 2018 and $145 million for each year thereafter. However, the initial $ 100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continued during this period as the parties attempted to resolve disputed issues. The Standstill Agreement expired on October 12, 2017. Notwithstanding its expiration, claims processing continues, and Honeywell continues to negotiate and attempt to resolve remaining disputed issues (that is, instances where Honeywell believes the Trust is not processing claims in accordance with established Trust Distribution Procedures). Honeywell reserves its right to seek judicial intervention should negotiations fail or prove futile. As of December 31, 2017, Honeywell has not made any payments to the NARCO Trust for Annual Contribution Claims.</w:t>
      </w:r>
    </w:p>
    <w:p>
      <w:pPr>
        <w:spacing w:after="0" w:line="101"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$150 million and are expected to be paid during the initial years of trust operations ($5 million of which has been paid since the effective date of the NARCO Trust). Such payments are not subject to the annual cap described above.</w:t>
      </w:r>
    </w:p>
    <w:p>
      <w:pPr>
        <w:spacing w:after="0" w:line="91"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Pre-established Unliquidated Claims ($145 million), as well as unsettled claims pending as of the time NARCO filed for bankruptcy protection and operating and legal costs related to the Trust (collectively $19 million) and for the estimated value of future NARCO asbestos claims expected to be asserted against the NARCO Trust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9"/>
          <w:szCs w:val="19"/>
          <w:color w:val="auto"/>
        </w:rPr>
        <w:t>($743 million).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also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 approval rates of claims submitted to the NARCO Trust and epidemiological studies estimating disease instances. The estimated value of the future NARCO liability reflects claims expected to be asserted against NARCO over a fifteen year period. This projection resulted in a range of estimated liability of $743 million to $961 million. We believe that no amount within this range is a better estimate than any other amount and accordingly, we have recorded the minimum amount in the range. Given the Trust’s lack of sufficient claims processing experience since NARCO emerged from bankruptcy protection, it is not yet possible to reliably estimate future claim costs based on actual Trust experience.</w:t>
      </w:r>
    </w:p>
    <w:p>
      <w:pPr>
        <w:spacing w:after="0" w:line="101"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91"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Bendix Products</w:t>
      </w:r>
      <w:r>
        <w:rPr>
          <w:rFonts w:ascii="Arial" w:cs="Arial" w:eastAsia="Arial" w:hAnsi="Arial"/>
          <w:sz w:val="19"/>
          <w:szCs w:val="19"/>
          <w:color w:val="auto"/>
        </w:rPr>
        <w:t>—The following tables present information regarding Bendix related asbestos claims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Years Ended December</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420" w:type="dxa"/>
            <w:vAlign w:val="bottom"/>
            <w:vMerge w:val="restart"/>
          </w:tcPr>
          <w:p>
            <w:pPr>
              <w:spacing w:after="0"/>
              <w:rPr>
                <w:sz w:val="20"/>
                <w:szCs w:val="20"/>
                <w:color w:val="auto"/>
              </w:rPr>
            </w:pPr>
            <w:r>
              <w:rPr>
                <w:rFonts w:ascii="Arial" w:cs="Arial" w:eastAsia="Arial" w:hAnsi="Arial"/>
                <w:sz w:val="16"/>
                <w:szCs w:val="16"/>
                <w:b w:val="1"/>
                <w:bCs w:val="1"/>
                <w:color w:val="auto"/>
              </w:rPr>
              <w:t>Claims Activity</w:t>
            </w: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89"/>
              </w:rPr>
              <w:t>31,</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420" w:type="dxa"/>
            <w:vAlign w:val="bottom"/>
            <w:tcBorders>
              <w:bottom w:val="single" w:sz="8" w:color="auto"/>
            </w:tcBorders>
            <w:vMerge w:val="continue"/>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95"/>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780" w:type="dxa"/>
            <w:vAlign w:val="bottom"/>
            <w:tcBorders>
              <w:bottom w:val="single" w:sz="8" w:color="auto"/>
            </w:tcBorders>
            <w:gridSpan w:val="2"/>
          </w:tcPr>
          <w:p>
            <w:pPr>
              <w:ind w:left="220"/>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9"/>
                <w:szCs w:val="19"/>
                <w:color w:val="auto"/>
              </w:rPr>
              <w:t>Claims Unresolved at the beginning of year</w:t>
            </w:r>
          </w:p>
        </w:tc>
        <w:tc>
          <w:tcPr>
            <w:tcW w:w="490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7,724</w:t>
            </w:r>
          </w:p>
        </w:tc>
        <w:tc>
          <w:tcPr>
            <w:tcW w:w="60" w:type="dxa"/>
            <w:vAlign w:val="bottom"/>
            <w:shd w:val="clear" w:color="auto" w:fill="E5FFFF"/>
          </w:tcPr>
          <w:p>
            <w:pPr>
              <w:spacing w:after="0"/>
              <w:rPr>
                <w:sz w:val="20"/>
                <w:szCs w:val="20"/>
                <w:color w:val="auto"/>
              </w:rPr>
            </w:pPr>
          </w:p>
        </w:tc>
        <w:tc>
          <w:tcPr>
            <w:tcW w:w="10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7,779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9"/>
                <w:szCs w:val="19"/>
                <w:color w:val="auto"/>
              </w:rPr>
              <w:t>Claims Filed</w:t>
            </w:r>
          </w:p>
        </w:tc>
        <w:tc>
          <w:tcPr>
            <w:tcW w:w="4900" w:type="dxa"/>
            <w:vAlign w:val="bottom"/>
            <w:gridSpan w:val="5"/>
          </w:tcPr>
          <w:p>
            <w:pPr>
              <w:jc w:val="right"/>
              <w:spacing w:after="0"/>
              <w:rPr>
                <w:sz w:val="20"/>
                <w:szCs w:val="20"/>
                <w:color w:val="auto"/>
              </w:rPr>
            </w:pPr>
            <w:r>
              <w:rPr>
                <w:rFonts w:ascii="Arial" w:cs="Arial" w:eastAsia="Arial" w:hAnsi="Arial"/>
                <w:sz w:val="19"/>
                <w:szCs w:val="19"/>
                <w:color w:val="auto"/>
              </w:rPr>
              <w:t>2,645</w:t>
            </w:r>
          </w:p>
        </w:tc>
        <w:tc>
          <w:tcPr>
            <w:tcW w:w="6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9"/>
                <w:szCs w:val="19"/>
                <w:color w:val="auto"/>
              </w:rPr>
              <w:t>2,830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9"/>
                <w:szCs w:val="19"/>
                <w:color w:val="auto"/>
              </w:rPr>
              <w:t>Claims Resolved</w:t>
            </w:r>
          </w:p>
        </w:tc>
        <w:tc>
          <w:tcPr>
            <w:tcW w:w="4160" w:type="dxa"/>
            <w:vAlign w:val="bottom"/>
            <w:gridSpan w:val="3"/>
            <w:shd w:val="clear" w:color="auto" w:fill="E5FFFF"/>
          </w:tcPr>
          <w:p>
            <w:pPr>
              <w:spacing w:after="0"/>
              <w:rPr>
                <w:sz w:val="21"/>
                <w:szCs w:val="21"/>
                <w:color w:val="auto"/>
              </w:rPr>
            </w:pPr>
          </w:p>
        </w:tc>
        <w:tc>
          <w:tcPr>
            <w:tcW w:w="7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(4,089)</w:t>
            </w:r>
          </w:p>
        </w:tc>
        <w:tc>
          <w:tcPr>
            <w:tcW w:w="60" w:type="dxa"/>
            <w:vAlign w:val="bottom"/>
            <w:shd w:val="clear" w:color="auto" w:fill="E5FFFF"/>
          </w:tcPr>
          <w:p>
            <w:pPr>
              <w:spacing w:after="0"/>
              <w:rPr>
                <w:sz w:val="21"/>
                <w:szCs w:val="21"/>
                <w:color w:val="auto"/>
              </w:rPr>
            </w:pPr>
          </w:p>
        </w:tc>
        <w:tc>
          <w:tcPr>
            <w:tcW w:w="240" w:type="dxa"/>
            <w:vAlign w:val="bottom"/>
            <w:gridSpan w:val="2"/>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(2,885)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9"/>
                <w:szCs w:val="19"/>
                <w:color w:val="auto"/>
              </w:rPr>
              <w:t>Claims Unresolved at the end of year</w:t>
            </w:r>
          </w:p>
        </w:tc>
        <w:tc>
          <w:tcPr>
            <w:tcW w:w="4160" w:type="dxa"/>
            <w:vAlign w:val="bottom"/>
            <w:gridSpan w:val="3"/>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6,280</w:t>
            </w:r>
          </w:p>
        </w:tc>
        <w:tc>
          <w:tcPr>
            <w:tcW w:w="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7,724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4420" w:type="dxa"/>
            <w:vAlign w:val="bottom"/>
            <w:vMerge w:val="restart"/>
          </w:tcPr>
          <w:p>
            <w:pPr>
              <w:spacing w:after="0"/>
              <w:rPr>
                <w:sz w:val="20"/>
                <w:szCs w:val="20"/>
                <w:color w:val="auto"/>
              </w:rPr>
            </w:pPr>
            <w:r>
              <w:rPr>
                <w:rFonts w:ascii="Arial" w:cs="Arial" w:eastAsia="Arial" w:hAnsi="Arial"/>
                <w:sz w:val="16"/>
                <w:szCs w:val="16"/>
                <w:b w:val="1"/>
                <w:bCs w:val="1"/>
                <w:color w:val="auto"/>
              </w:rPr>
              <w:t>Disease Distribution of Unresolved Claims</w:t>
            </w:r>
          </w:p>
        </w:tc>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420" w:type="dxa"/>
            <w:vAlign w:val="bottom"/>
            <w:tcBorders>
              <w:bottom w:val="single" w:sz="8" w:color="auto"/>
            </w:tcBorders>
            <w:vMerge w:val="continue"/>
          </w:tcPr>
          <w:p>
            <w:pPr>
              <w:spacing w:after="0"/>
              <w:rPr>
                <w:sz w:val="14"/>
                <w:szCs w:val="14"/>
                <w:color w:val="auto"/>
              </w:rPr>
            </w:pPr>
          </w:p>
        </w:tc>
        <w:tc>
          <w:tcPr>
            <w:tcW w:w="4060" w:type="dxa"/>
            <w:vAlign w:val="bottom"/>
            <w:tcBorders>
              <w:bottom w:val="single" w:sz="8" w:color="auto"/>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gridSpan w:val="2"/>
          </w:tcPr>
          <w:p>
            <w:pPr>
              <w:spacing w:after="0"/>
              <w:rPr>
                <w:sz w:val="14"/>
                <w:szCs w:val="14"/>
                <w:color w:val="auto"/>
              </w:rPr>
            </w:pPr>
          </w:p>
        </w:tc>
        <w:tc>
          <w:tcPr>
            <w:tcW w:w="680" w:type="dxa"/>
            <w:vAlign w:val="bottom"/>
            <w:tcBorders>
              <w:bottom w:val="single" w:sz="8" w:color="auto"/>
            </w:tcBorders>
          </w:tcPr>
          <w:p>
            <w:pPr>
              <w:jc w:val="right"/>
              <w:ind w:right="72"/>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20" w:type="dxa"/>
            <w:vAlign w:val="bottom"/>
            <w:shd w:val="clear" w:color="auto" w:fill="E5FFFF"/>
          </w:tcPr>
          <w:p>
            <w:pPr>
              <w:spacing w:after="0"/>
              <w:rPr>
                <w:sz w:val="20"/>
                <w:szCs w:val="20"/>
                <w:color w:val="auto"/>
              </w:rPr>
            </w:pPr>
            <w:r>
              <w:rPr>
                <w:rFonts w:ascii="Arial" w:cs="Arial" w:eastAsia="Arial" w:hAnsi="Arial"/>
                <w:sz w:val="19"/>
                <w:szCs w:val="19"/>
                <w:color w:val="auto"/>
              </w:rPr>
              <w:t>Mesothelioma and Other Cancer Claims</w:t>
            </w:r>
          </w:p>
        </w:tc>
        <w:tc>
          <w:tcPr>
            <w:tcW w:w="4960" w:type="dxa"/>
            <w:vAlign w:val="bottom"/>
            <w:gridSpan w:val="6"/>
            <w:shd w:val="clear" w:color="auto" w:fill="E5FFFF"/>
          </w:tcPr>
          <w:p>
            <w:pPr>
              <w:jc w:val="right"/>
              <w:ind w:right="20"/>
              <w:spacing w:after="0"/>
              <w:rPr>
                <w:sz w:val="20"/>
                <w:szCs w:val="20"/>
                <w:color w:val="auto"/>
              </w:rPr>
            </w:pPr>
            <w:r>
              <w:rPr>
                <w:rFonts w:ascii="Arial" w:cs="Arial" w:eastAsia="Arial" w:hAnsi="Arial"/>
                <w:sz w:val="19"/>
                <w:szCs w:val="19"/>
                <w:color w:val="auto"/>
              </w:rPr>
              <w:t>3,062</w:t>
            </w:r>
          </w:p>
        </w:tc>
        <w:tc>
          <w:tcPr>
            <w:tcW w:w="1020" w:type="dxa"/>
            <w:vAlign w:val="bottom"/>
            <w:gridSpan w:val="4"/>
            <w:shd w:val="clear" w:color="auto" w:fill="E5FFFF"/>
          </w:tcPr>
          <w:p>
            <w:pPr>
              <w:ind w:left="480"/>
              <w:spacing w:after="0"/>
              <w:rPr>
                <w:sz w:val="20"/>
                <w:szCs w:val="20"/>
                <w:color w:val="auto"/>
              </w:rPr>
            </w:pPr>
            <w:r>
              <w:rPr>
                <w:rFonts w:ascii="Arial" w:cs="Arial" w:eastAsia="Arial" w:hAnsi="Arial"/>
                <w:sz w:val="19"/>
                <w:szCs w:val="19"/>
                <w:color w:val="auto"/>
              </w:rPr>
              <w:t>3,490</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19"/>
                <w:szCs w:val="19"/>
                <w:color w:val="auto"/>
              </w:rPr>
              <w:t>Nonmalignant Claims</w:t>
            </w:r>
          </w:p>
        </w:tc>
        <w:tc>
          <w:tcPr>
            <w:tcW w:w="4360" w:type="dxa"/>
            <w:vAlign w:val="bottom"/>
            <w:gridSpan w:val="4"/>
          </w:tcPr>
          <w:p>
            <w:pPr>
              <w:spacing w:after="0"/>
              <w:rPr>
                <w:sz w:val="21"/>
                <w:szCs w:val="21"/>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3,218</w:t>
            </w:r>
          </w:p>
        </w:tc>
        <w:tc>
          <w:tcPr>
            <w:tcW w:w="40" w:type="dxa"/>
            <w:vAlign w:val="bottom"/>
            <w:tcBorders>
              <w:bottom w:val="single" w:sz="8" w:color="auto"/>
            </w:tcBorders>
          </w:tcPr>
          <w:p>
            <w:pPr>
              <w:spacing w:after="0"/>
              <w:rPr>
                <w:sz w:val="21"/>
                <w:szCs w:val="21"/>
                <w:color w:val="auto"/>
              </w:rPr>
            </w:pPr>
          </w:p>
        </w:tc>
        <w:tc>
          <w:tcPr>
            <w:tcW w:w="300" w:type="dxa"/>
            <w:vAlign w:val="bottom"/>
            <w:gridSpan w:val="2"/>
          </w:tcPr>
          <w:p>
            <w:pPr>
              <w:spacing w:after="0"/>
              <w:rPr>
                <w:sz w:val="21"/>
                <w:szCs w:val="21"/>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4,234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4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Claims</w:t>
            </w:r>
          </w:p>
        </w:tc>
        <w:tc>
          <w:tcPr>
            <w:tcW w:w="4960" w:type="dxa"/>
            <w:vAlign w:val="bottom"/>
            <w:gridSpan w:val="6"/>
            <w:shd w:val="clear" w:color="auto" w:fill="E5FFFF"/>
          </w:tcPr>
          <w:p>
            <w:pPr>
              <w:jc w:val="right"/>
              <w:ind w:right="20"/>
              <w:spacing w:after="0"/>
              <w:rPr>
                <w:sz w:val="20"/>
                <w:szCs w:val="20"/>
                <w:color w:val="auto"/>
              </w:rPr>
            </w:pPr>
            <w:r>
              <w:rPr>
                <w:rFonts w:ascii="Arial" w:cs="Arial" w:eastAsia="Arial" w:hAnsi="Arial"/>
                <w:sz w:val="19"/>
                <w:szCs w:val="19"/>
                <w:color w:val="auto"/>
              </w:rPr>
              <w:t>6,280</w:t>
            </w:r>
          </w:p>
        </w:tc>
        <w:tc>
          <w:tcPr>
            <w:tcW w:w="1020" w:type="dxa"/>
            <w:vAlign w:val="bottom"/>
            <w:gridSpan w:val="4"/>
            <w:shd w:val="clear" w:color="auto" w:fill="E5FFFF"/>
          </w:tcPr>
          <w:p>
            <w:pPr>
              <w:ind w:left="480"/>
              <w:spacing w:after="0"/>
              <w:rPr>
                <w:sz w:val="20"/>
                <w:szCs w:val="20"/>
                <w:color w:val="auto"/>
              </w:rPr>
            </w:pPr>
            <w:r>
              <w:rPr>
                <w:rFonts w:ascii="Arial" w:cs="Arial" w:eastAsia="Arial" w:hAnsi="Arial"/>
                <w:sz w:val="19"/>
                <w:szCs w:val="19"/>
                <w:color w:val="auto"/>
              </w:rPr>
              <w:t>7,724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80" w:type="dxa"/>
            <w:vAlign w:val="bottom"/>
            <w:vMerge w:val="restart"/>
          </w:tcPr>
          <w:p>
            <w:pPr>
              <w:jc w:val="right"/>
              <w:ind w:right="2883"/>
              <w:spacing w:after="0"/>
              <w:rPr>
                <w:sz w:val="20"/>
                <w:szCs w:val="20"/>
                <w:color w:val="auto"/>
              </w:rPr>
            </w:pPr>
            <w:r>
              <w:rPr>
                <w:rFonts w:ascii="Arial" w:cs="Arial" w:eastAsia="Arial" w:hAnsi="Arial"/>
                <w:sz w:val="19"/>
                <w:szCs w:val="19"/>
                <w:color w:val="auto"/>
              </w:rPr>
              <w:t>71</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Honeywell has experienced average resolution values per claim excluding legal costs as follows: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9"/>
              <w:spacing w:after="0"/>
              <w:rPr>
                <w:sz w:val="20"/>
                <w:szCs w:val="20"/>
                <w:color w:val="auto"/>
              </w:rPr>
            </w:pPr>
            <w:r>
              <w:rPr>
                <w:rFonts w:ascii="Arial" w:cs="Arial" w:eastAsia="Arial" w:hAnsi="Arial"/>
                <w:sz w:val="16"/>
                <w:szCs w:val="16"/>
                <w:b w:val="1"/>
                <w:bCs w:val="1"/>
                <w:color w:val="auto"/>
                <w:w w:val="98"/>
              </w:rPr>
              <w:t>Years Ended December 31,</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9"/>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9"/>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4"/>
          </w:tcPr>
          <w:p>
            <w:pPr>
              <w:jc w:val="center"/>
              <w:ind w:left="9"/>
              <w:spacing w:after="0"/>
              <w:rPr>
                <w:sz w:val="20"/>
                <w:szCs w:val="20"/>
                <w:color w:val="auto"/>
              </w:rPr>
            </w:pPr>
            <w:r>
              <w:rPr>
                <w:rFonts w:ascii="Arial" w:cs="Arial" w:eastAsia="Arial" w:hAnsi="Arial"/>
                <w:sz w:val="16"/>
                <w:szCs w:val="16"/>
                <w:b w:val="1"/>
                <w:bCs w:val="1"/>
                <w:color w:val="auto"/>
                <w:w w:val="98"/>
              </w:rPr>
              <w:t>(in whole dollars)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3"/>
        </w:trPr>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Malignant claims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56,000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44,000</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53,500</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51,000</w:t>
            </w:r>
          </w:p>
        </w:tc>
      </w:tr>
      <w:tr>
        <w:trPr>
          <w:trHeight w:val="261"/>
        </w:trPr>
        <w:tc>
          <w:tcPr>
            <w:tcW w:w="4720" w:type="dxa"/>
            <w:vAlign w:val="bottom"/>
          </w:tcPr>
          <w:p>
            <w:pPr>
              <w:spacing w:after="0"/>
              <w:rPr>
                <w:sz w:val="20"/>
                <w:szCs w:val="20"/>
                <w:color w:val="auto"/>
              </w:rPr>
            </w:pPr>
            <w:r>
              <w:rPr>
                <w:rFonts w:ascii="Arial" w:cs="Arial" w:eastAsia="Arial" w:hAnsi="Arial"/>
                <w:sz w:val="19"/>
                <w:szCs w:val="19"/>
                <w:color w:val="auto"/>
              </w:rPr>
              <w:t>Nonmalignant claims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2,800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4,485</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100</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120</w:t>
            </w:r>
          </w:p>
        </w:tc>
        <w:tc>
          <w:tcPr>
            <w:tcW w:w="5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850</w:t>
            </w:r>
          </w:p>
        </w:tc>
      </w:tr>
    </w:tbl>
    <w:p>
      <w:pPr>
        <w:spacing w:after="0" w:line="91"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It is not possible to predict whether resolution values for Bendix-related asbestos claims will increase, decrease or stabilize in the future.</w:t>
      </w:r>
    </w:p>
    <w:p>
      <w:pPr>
        <w:spacing w:after="0" w:line="8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91"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91" w:lineRule="exact"/>
        <w:rPr>
          <w:sz w:val="20"/>
          <w:szCs w:val="20"/>
          <w:color w:val="auto"/>
        </w:rPr>
      </w:pPr>
    </w:p>
    <w:p>
      <w:pPr>
        <w:ind w:right="140" w:firstLine="357"/>
        <w:spacing w:after="0"/>
        <w:rPr>
          <w:sz w:val="20"/>
          <w:szCs w:val="20"/>
          <w:color w:val="auto"/>
        </w:rPr>
      </w:pPr>
      <w:r>
        <w:rPr>
          <w:rFonts w:ascii="Arial" w:cs="Arial" w:eastAsia="Arial" w:hAnsi="Arial"/>
          <w:sz w:val="19"/>
          <w:szCs w:val="19"/>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78"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130" w:lineRule="exact"/>
        <w:rPr>
          <w:sz w:val="20"/>
          <w:szCs w:val="20"/>
          <w:color w:val="auto"/>
        </w:rPr>
      </w:pPr>
    </w:p>
    <w:p>
      <w:pPr>
        <w:ind w:right="20" w:firstLine="357"/>
        <w:spacing w:after="0" w:line="241" w:lineRule="auto"/>
        <w:rPr>
          <w:sz w:val="20"/>
          <w:szCs w:val="20"/>
          <w:color w:val="auto"/>
        </w:rPr>
      </w:pPr>
      <w:r>
        <w:rPr>
          <w:rFonts w:ascii="Arial" w:cs="Arial" w:eastAsia="Arial" w:hAnsi="Arial"/>
          <w:sz w:val="19"/>
          <w:szCs w:val="19"/>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color w:val="auto"/>
        </w:rPr>
        <w:t>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56" w:lineRule="exact"/>
        <w:rPr>
          <w:sz w:val="20"/>
          <w:szCs w:val="20"/>
          <w:color w:val="auto"/>
        </w:rPr>
      </w:pPr>
    </w:p>
    <w:p>
      <w:pPr>
        <w:ind w:right="240" w:firstLine="357"/>
        <w:spacing w:after="0" w:line="251" w:lineRule="auto"/>
        <w:rPr>
          <w:sz w:val="20"/>
          <w:szCs w:val="20"/>
          <w:color w:val="auto"/>
        </w:rPr>
      </w:pPr>
      <w:r>
        <w:rPr>
          <w:rFonts w:ascii="Arial" w:cs="Arial" w:eastAsia="Arial" w:hAnsi="Arial"/>
          <w:sz w:val="19"/>
          <w:szCs w:val="19"/>
          <w:b w:val="1"/>
          <w:bCs w:val="1"/>
          <w:i w:val="1"/>
          <w:iCs w:val="1"/>
          <w:color w:val="auto"/>
        </w:rPr>
        <w:t>Honeywell v. United Auto Workers (UAW) et. al</w:t>
      </w:r>
      <w:r>
        <w:rPr>
          <w:rFonts w:ascii="Arial" w:cs="Arial" w:eastAsia="Arial" w:hAnsi="Arial"/>
          <w:sz w:val="19"/>
          <w:szCs w:val="19"/>
          <w:color w:val="auto"/>
        </w:rPr>
        <w:t>—In September 2011, the UAW and certain Honeywell retirees filed a suit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Eastern District of Michigan alleging that the Master Collective Bargaining Agreements (MCBAs) between Honeywell and the UAW do not provide for limitations on Honeywell’s obligation to contribute toward healthcare coverage for former employees who retired under the MCBAs (“CAPS”). Honeywell subsequently answered the UAW’s complaint and asserted counterclaims.</w:t>
      </w:r>
    </w:p>
    <w:p>
      <w:pPr>
        <w:spacing w:after="0" w:line="82"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Honeywell began enforcing the CAPS against former employees who retired after the initial inclusion of the CAPS in the 2003 MCBA (the post-2003 retirees) on January 1, 2014. The UAW and certain of the plaintiffs filed a motion for partial summary judgment with respect to the post-2003 retirees, seeking a ruling that the 2003 MCBA did not limit Honeywell’s obligation to contribute to healthcare coverage for those retirees. That motion remains pending. Honeywell is confident that the District Court will find that the 2003 MCBA does, in fact, limit Honeywell’s retiree healthcare obligation for the post-2003 retirees. In the event of an adverse ruling, however, Honeywell’s other postretirement benefits for post-2003 retirees would increase by approximately $79 million, reflecting the estimated value of these CAPS.</w:t>
      </w:r>
    </w:p>
    <w:p>
      <w:pPr>
        <w:spacing w:after="0" w:line="91"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 xml:space="preserve">In the second quarter of 2014, the parties agreed to stay the proceedings with respect to former employees who retired before the initial inclusion of the CAPS in the 2003 MCBA (the pre-2003 retirees) until the Supreme Court decided </w:t>
      </w:r>
      <w:r>
        <w:rPr>
          <w:rFonts w:ascii="Arial" w:cs="Arial" w:eastAsia="Arial" w:hAnsi="Arial"/>
          <w:sz w:val="19"/>
          <w:szCs w:val="19"/>
          <w:i w:val="1"/>
          <w:iCs w:val="1"/>
          <w:color w:val="auto"/>
        </w:rPr>
        <w:t>M&amp;G Polymers USA,</w:t>
      </w:r>
      <w:r>
        <w:rPr>
          <w:rFonts w:ascii="Arial" w:cs="Arial" w:eastAsia="Arial" w:hAnsi="Arial"/>
          <w:sz w:val="19"/>
          <w:szCs w:val="19"/>
          <w:color w:val="auto"/>
        </w:rPr>
        <w:t xml:space="preserve"> </w:t>
      </w:r>
      <w:r>
        <w:rPr>
          <w:rFonts w:ascii="Arial" w:cs="Arial" w:eastAsia="Arial" w:hAnsi="Arial"/>
          <w:sz w:val="19"/>
          <w:szCs w:val="19"/>
          <w:i w:val="1"/>
          <w:iCs w:val="1"/>
          <w:color w:val="auto"/>
        </w:rPr>
        <w:t>LLC v. Tackett</w:t>
      </w:r>
      <w:r>
        <w:rPr>
          <w:rFonts w:ascii="Arial" w:cs="Arial" w:eastAsia="Arial" w:hAnsi="Arial"/>
          <w:sz w:val="19"/>
          <w:szCs w:val="19"/>
          <w:color w:val="auto"/>
        </w:rPr>
        <w:t>. The Supreme Court decided the case on January 26, 2015 and, based on the ruling, Honeywell began enforcing the</w:t>
      </w:r>
      <w:r>
        <w:rPr>
          <w:rFonts w:ascii="Arial" w:cs="Arial" w:eastAsia="Arial" w:hAnsi="Arial"/>
          <w:sz w:val="19"/>
          <w:szCs w:val="19"/>
          <w:i w:val="1"/>
          <w:iCs w:val="1"/>
          <w:color w:val="auto"/>
        </w:rPr>
        <w:t xml:space="preserve"> </w:t>
      </w:r>
      <w:r>
        <w:rPr>
          <w:rFonts w:ascii="Arial" w:cs="Arial" w:eastAsia="Arial" w:hAnsi="Arial"/>
          <w:sz w:val="19"/>
          <w:szCs w:val="19"/>
          <w:color w:val="auto"/>
        </w:rPr>
        <w:t>CAPS against the pre-2003 retirees on May 1, 2015. Honeywell is confident that the CAPS will be upheld by the District Court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$103 million, reflecting the estimated value of these CAPS.</w:t>
      </w:r>
    </w:p>
    <w:p>
      <w:pPr>
        <w:spacing w:after="0" w:line="91" w:lineRule="exact"/>
        <w:rPr>
          <w:sz w:val="20"/>
          <w:szCs w:val="20"/>
          <w:color w:val="auto"/>
        </w:rPr>
      </w:pPr>
    </w:p>
    <w:p>
      <w:pPr>
        <w:ind w:right="60" w:firstLine="357"/>
        <w:spacing w:after="0" w:line="239" w:lineRule="auto"/>
        <w:rPr>
          <w:sz w:val="20"/>
          <w:szCs w:val="20"/>
          <w:color w:val="auto"/>
        </w:rPr>
      </w:pPr>
      <w:r>
        <w:rPr>
          <w:rFonts w:ascii="Arial" w:cs="Arial" w:eastAsia="Arial" w:hAnsi="Arial"/>
          <w:sz w:val="19"/>
          <w:szCs w:val="19"/>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Warranties and Guarantees</w:t>
      </w:r>
    </w:p>
    <w:p>
      <w:pPr>
        <w:spacing w:after="0" w:line="130" w:lineRule="exact"/>
        <w:rPr>
          <w:sz w:val="20"/>
          <w:szCs w:val="20"/>
          <w:color w:val="auto"/>
        </w:rPr>
      </w:pPr>
    </w:p>
    <w:p>
      <w:pPr>
        <w:ind w:firstLine="357"/>
        <w:spacing w:after="0" w:line="243" w:lineRule="auto"/>
        <w:rPr>
          <w:sz w:val="20"/>
          <w:szCs w:val="20"/>
          <w:color w:val="auto"/>
        </w:rPr>
      </w:pPr>
      <w:r>
        <w:rPr>
          <w:rFonts w:ascii="Arial" w:cs="Arial" w:eastAsia="Arial" w:hAnsi="Arial"/>
          <w:sz w:val="19"/>
          <w:szCs w:val="19"/>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to the obligations become reasonably estimable.</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58"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400"/>
        <w:spacing w:after="0" w:line="246" w:lineRule="auto"/>
        <w:rPr>
          <w:sz w:val="20"/>
          <w:szCs w:val="20"/>
          <w:color w:val="auto"/>
        </w:rPr>
      </w:pPr>
      <w:r>
        <w:rPr>
          <w:rFonts w:ascii="Arial" w:cs="Arial" w:eastAsia="Arial" w:hAnsi="Arial"/>
          <w:sz w:val="19"/>
          <w:szCs w:val="19"/>
          <w:color w:val="auto"/>
        </w:rPr>
        <w:t>The following table summarizes information concerning our recorded obligations for product warranties and product performance guarantees.</w:t>
      </w:r>
    </w:p>
    <w:tbl>
      <w:tblPr>
        <w:tblLayout w:type="fixed"/>
        <w:tblInd w:w="500" w:type="dxa"/>
        <w:tblCellMar>
          <w:top w:w="0" w:type="dxa"/>
          <w:left w:w="0" w:type="dxa"/>
          <w:bottom w:w="0" w:type="dxa"/>
          <w:right w:w="0" w:type="dxa"/>
        </w:tblCellMar>
      </w:tblPr>
      <w:tr>
        <w:trPr>
          <w:trHeight w:val="172"/>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jc w:val="center"/>
              <w:spacing w:after="0" w:line="172" w:lineRule="exact"/>
              <w:rPr>
                <w:sz w:val="20"/>
                <w:szCs w:val="20"/>
                <w:color w:val="auto"/>
              </w:rPr>
            </w:pPr>
            <w:r>
              <w:rPr>
                <w:rFonts w:ascii="Arial" w:cs="Arial" w:eastAsia="Arial" w:hAnsi="Arial"/>
                <w:sz w:val="16"/>
                <w:szCs w:val="16"/>
                <w:b w:val="1"/>
                <w:bCs w:val="1"/>
                <w:color w:val="auto"/>
                <w:w w:val="98"/>
              </w:rPr>
              <w:t>Years Ended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6"/>
                <w:szCs w:val="16"/>
                <w:b w:val="1"/>
                <w:bCs w:val="1"/>
                <w:color w:val="auto"/>
                <w:w w:val="95"/>
              </w:rPr>
              <w:t>2016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487</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416</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403</w:t>
            </w:r>
          </w:p>
        </w:tc>
      </w:tr>
      <w:tr>
        <w:trPr>
          <w:trHeight w:val="243"/>
        </w:trPr>
        <w:tc>
          <w:tcPr>
            <w:tcW w:w="7820" w:type="dxa"/>
            <w:vAlign w:val="bottom"/>
          </w:tcPr>
          <w:p>
            <w:pPr>
              <w:spacing w:after="0"/>
              <w:rPr>
                <w:sz w:val="20"/>
                <w:szCs w:val="20"/>
                <w:color w:val="auto"/>
              </w:rPr>
            </w:pPr>
            <w:r>
              <w:rPr>
                <w:rFonts w:ascii="Arial" w:cs="Arial" w:eastAsia="Arial" w:hAnsi="Arial"/>
                <w:sz w:val="19"/>
                <w:szCs w:val="19"/>
                <w:color w:val="auto"/>
              </w:rPr>
              <w:t>Accruals for warranties/guarantees issued during the year</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215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326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206</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Adjustment of pre-existing warranties/guarantees</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13</w:t>
            </w:r>
          </w:p>
        </w:tc>
      </w:tr>
      <w:tr>
        <w:trPr>
          <w:trHeight w:val="250"/>
        </w:trPr>
        <w:tc>
          <w:tcPr>
            <w:tcW w:w="7820" w:type="dxa"/>
            <w:vAlign w:val="bottom"/>
          </w:tcPr>
          <w:p>
            <w:pPr>
              <w:spacing w:after="0"/>
              <w:rPr>
                <w:sz w:val="20"/>
                <w:szCs w:val="20"/>
                <w:color w:val="auto"/>
              </w:rPr>
            </w:pPr>
            <w:r>
              <w:rPr>
                <w:rFonts w:ascii="Arial" w:cs="Arial" w:eastAsia="Arial" w:hAnsi="Arial"/>
                <w:sz w:val="19"/>
                <w:szCs w:val="19"/>
                <w:color w:val="auto"/>
              </w:rPr>
              <w:t>Settlement of warranty/guarantee claims</w:t>
            </w: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(206)</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408</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416</w:t>
            </w: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Product warranties and product performance guarantees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98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980" w:type="dxa"/>
            <w:vAlign w:val="bottom"/>
          </w:tcPr>
          <w:p>
            <w:pPr>
              <w:spacing w:after="0"/>
              <w:rPr>
                <w:sz w:val="14"/>
                <w:szCs w:val="14"/>
                <w:color w:val="auto"/>
              </w:rPr>
            </w:pPr>
          </w:p>
        </w:tc>
        <w:tc>
          <w:tcPr>
            <w:tcW w:w="54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898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$ 307</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$ 351</w:t>
            </w:r>
          </w:p>
        </w:tc>
      </w:tr>
      <w:tr>
        <w:trPr>
          <w:trHeight w:val="250"/>
        </w:trPr>
        <w:tc>
          <w:tcPr>
            <w:tcW w:w="8980" w:type="dxa"/>
            <w:vAlign w:val="bottom"/>
          </w:tcPr>
          <w:p>
            <w:pPr>
              <w:spacing w:after="0"/>
              <w:rPr>
                <w:sz w:val="20"/>
                <w:szCs w:val="20"/>
                <w:color w:val="auto"/>
              </w:rPr>
            </w:pPr>
            <w:r>
              <w:rPr>
                <w:rFonts w:ascii="Arial" w:cs="Arial" w:eastAsia="Arial" w:hAnsi="Arial"/>
                <w:sz w:val="19"/>
                <w:szCs w:val="19"/>
                <w:color w:val="auto"/>
              </w:rPr>
              <w:t>Other liabilities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101</w:t>
            </w: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w:t>
            </w:r>
          </w:p>
        </w:tc>
      </w:tr>
      <w:tr>
        <w:trPr>
          <w:trHeight w:val="243"/>
        </w:trPr>
        <w:tc>
          <w:tcPr>
            <w:tcW w:w="898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$ 408</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$ 487</w:t>
            </w:r>
          </w:p>
        </w:tc>
      </w:tr>
      <w:tr>
        <w:trPr>
          <w:trHeight w:val="20"/>
        </w:trPr>
        <w:tc>
          <w:tcPr>
            <w:tcW w:w="8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 Pension and Other Postretirement Benefits</w:t>
      </w:r>
    </w:p>
    <w:p>
      <w:pPr>
        <w:spacing w:after="0" w:line="116" w:lineRule="exact"/>
        <w:rPr>
          <w:sz w:val="20"/>
          <w:szCs w:val="20"/>
          <w:color w:val="auto"/>
        </w:rPr>
      </w:pPr>
    </w:p>
    <w:p>
      <w:pPr>
        <w:ind w:right="60" w:firstLine="357"/>
        <w:spacing w:after="0"/>
        <w:rPr>
          <w:sz w:val="20"/>
          <w:szCs w:val="20"/>
          <w:color w:val="auto"/>
        </w:rPr>
      </w:pPr>
      <w:r>
        <w:rPr>
          <w:rFonts w:ascii="Arial" w:cs="Arial" w:eastAsia="Arial" w:hAnsi="Arial"/>
          <w:sz w:val="19"/>
          <w:szCs w:val="19"/>
          <w:color w:val="auto"/>
        </w:rPr>
        <w:t>We sponsor a number of both funded and unfunded U.S. and non-U.S. defined benefit pension plans. Pension benefits for many of our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94" w:lineRule="exact"/>
        <w:rPr>
          <w:sz w:val="20"/>
          <w:szCs w:val="20"/>
          <w:color w:val="auto"/>
        </w:rPr>
      </w:pPr>
    </w:p>
    <w:p>
      <w:pPr>
        <w:ind w:firstLine="357"/>
        <w:spacing w:after="0" w:line="241" w:lineRule="auto"/>
        <w:rPr>
          <w:sz w:val="20"/>
          <w:szCs w:val="20"/>
          <w:color w:val="auto"/>
        </w:rPr>
      </w:pPr>
      <w:r>
        <w:rPr>
          <w:rFonts w:ascii="Arial" w:cs="Arial" w:eastAsia="Arial" w:hAnsi="Arial"/>
          <w:sz w:val="19"/>
          <w:szCs w:val="19"/>
          <w:color w:val="auto"/>
        </w:rPr>
        <w:t>We also sponsor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60" w:firstLine="357"/>
        <w:spacing w:after="0" w:line="246" w:lineRule="auto"/>
        <w:rPr>
          <w:sz w:val="20"/>
          <w:szCs w:val="20"/>
          <w:color w:val="auto"/>
        </w:rPr>
      </w:pPr>
      <w:r>
        <w:rPr>
          <w:rFonts w:ascii="Arial" w:cs="Arial" w:eastAsia="Arial" w:hAnsi="Arial"/>
          <w:sz w:val="19"/>
          <w:szCs w:val="19"/>
          <w:color w:val="auto"/>
        </w:rPr>
        <w:t>The following tables summarize the balance sheet impact, including the benefit obligations, assets and funded status associated with our significant pension and other postretirement benefit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24"/>
              <w:spacing w:after="0" w:line="169" w:lineRule="exact"/>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44"/>
              <w:spacing w:after="0" w:line="169" w:lineRule="exact"/>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17,414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17,298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6,483</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6,338</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586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600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179</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1,234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448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1,125</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(1,146)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(243)</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Settlements and curtailments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currency translation</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(930)</w:t>
            </w:r>
          </w:p>
        </w:tc>
        <w:tc>
          <w:tcPr>
            <w:tcW w:w="0" w:type="dxa"/>
            <w:vAlign w:val="bottom"/>
          </w:tcPr>
          <w:p>
            <w:pPr>
              <w:spacing w:after="0"/>
              <w:rPr>
                <w:sz w:val="1"/>
                <w:szCs w:val="1"/>
                <w:color w:val="auto"/>
              </w:rPr>
            </w:pPr>
          </w:p>
        </w:tc>
      </w:tr>
      <w:tr>
        <w:trPr>
          <w:trHeight w:val="250"/>
        </w:trPr>
        <w:tc>
          <w:tcPr>
            <w:tcW w:w="7280" w:type="dxa"/>
            <w:vAlign w:val="bottom"/>
          </w:tcPr>
          <w:p>
            <w:pPr>
              <w:ind w:left="36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 obligation at end of year</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18,151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17,414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7,019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6,483</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9"/>
                <w:szCs w:val="19"/>
                <w:color w:val="auto"/>
              </w:rPr>
              <w:t>Change in plan assets: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16,814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16,349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6,120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6,117</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3,287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1,554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539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1,006</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Company contributions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186</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(1,146)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(1,135)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(253)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(243)</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Settlements and curtailments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Foreign currency translation</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569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(957)</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57"/>
        </w:trPr>
        <w:tc>
          <w:tcPr>
            <w:tcW w:w="7280" w:type="dxa"/>
            <w:vAlign w:val="bottom"/>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18,985</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16,814</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7,151</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6,120</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Funded status of plans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(363)</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9"/>
                <w:szCs w:val="19"/>
                <w:color w:val="auto"/>
              </w:rPr>
              <w:t>Amounts recognized in Consolidated 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Sheet consist of:</w:t>
            </w: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Prepaid pension benefit cost(1)</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1,205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944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380</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Accrued pension liabilities—current(2)</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50"/>
        </w:trPr>
        <w:tc>
          <w:tcPr>
            <w:tcW w:w="7280" w:type="dxa"/>
            <w:vAlign w:val="bottom"/>
          </w:tcPr>
          <w:p>
            <w:pPr>
              <w:ind w:left="360"/>
              <w:spacing w:after="0"/>
              <w:rPr>
                <w:sz w:val="20"/>
                <w:szCs w:val="20"/>
                <w:color w:val="auto"/>
              </w:rPr>
            </w:pPr>
            <w:r>
              <w:rPr>
                <w:rFonts w:ascii="Arial" w:cs="Arial" w:eastAsia="Arial" w:hAnsi="Arial"/>
                <w:sz w:val="19"/>
                <w:szCs w:val="19"/>
                <w:color w:val="auto"/>
              </w:rPr>
              <w:t>Accrued pension liabilities—noncurrent(3)</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(732)</w:t>
            </w:r>
          </w:p>
        </w:tc>
        <w:tc>
          <w:tcPr>
            <w:tcW w:w="0" w:type="dxa"/>
            <w:vAlign w:val="bottom"/>
          </w:tcPr>
          <w:p>
            <w:pPr>
              <w:spacing w:after="0"/>
              <w:rPr>
                <w:sz w:val="1"/>
                <w:szCs w:val="1"/>
                <w:color w:val="auto"/>
              </w:rPr>
            </w:pPr>
          </w:p>
        </w:tc>
      </w:tr>
      <w:tr>
        <w:trPr>
          <w:trHeight w:val="243"/>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Net amount recognized</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Included in Other assets on Consolidated Balance Sheet</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9"/>
          <w:szCs w:val="19"/>
          <w:color w:val="auto"/>
        </w:rPr>
        <w:t>(2) Included in Accrued liabilities on Consolidated Balance Sheet</w:t>
      </w:r>
    </w:p>
    <w:p>
      <w:pPr>
        <w:spacing w:after="0" w:line="92" w:lineRule="exact"/>
        <w:rPr>
          <w:sz w:val="20"/>
          <w:szCs w:val="20"/>
          <w:color w:val="auto"/>
        </w:rPr>
      </w:pPr>
    </w:p>
    <w:p>
      <w:pPr>
        <w:ind w:left="80"/>
        <w:spacing w:after="0"/>
        <w:rPr>
          <w:sz w:val="20"/>
          <w:szCs w:val="20"/>
          <w:color w:val="auto"/>
        </w:rPr>
      </w:pPr>
      <w:r>
        <w:rPr>
          <w:rFonts w:ascii="Arial" w:cs="Arial" w:eastAsia="Arial" w:hAnsi="Arial"/>
          <w:sz w:val="19"/>
          <w:szCs w:val="19"/>
          <w:color w:val="auto"/>
        </w:rPr>
        <w:t>(3) Included in Other liabilities on Consolidated Balance Sheet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500" w:type="dxa"/>
        <w:tblCellMar>
          <w:top w:w="0" w:type="dxa"/>
          <w:left w:w="0" w:type="dxa"/>
          <w:bottom w:w="0" w:type="dxa"/>
          <w:right w:w="0" w:type="dxa"/>
        </w:tblCellMar>
      </w:tblPr>
      <w:tr>
        <w:trPr>
          <w:trHeight w:val="174"/>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center"/>
              <w:ind w:left="287"/>
              <w:spacing w:after="0" w:line="175" w:lineRule="exact"/>
              <w:rPr>
                <w:sz w:val="20"/>
                <w:szCs w:val="20"/>
                <w:color w:val="auto"/>
              </w:rPr>
            </w:pPr>
            <w:r>
              <w:rPr>
                <w:rFonts w:ascii="Arial" w:cs="Arial" w:eastAsia="Arial" w:hAnsi="Arial"/>
                <w:sz w:val="16"/>
                <w:szCs w:val="16"/>
                <w:b w:val="1"/>
                <w:bCs w:val="1"/>
                <w:color w:val="auto"/>
                <w:w w:val="98"/>
              </w:rPr>
              <w:t>Other</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4"/>
          </w:tcPr>
          <w:p>
            <w:pPr>
              <w:jc w:val="center"/>
              <w:ind w:right="44"/>
              <w:spacing w:after="0" w:line="176" w:lineRule="exact"/>
              <w:rPr>
                <w:sz w:val="20"/>
                <w:szCs w:val="20"/>
                <w:color w:val="auto"/>
              </w:rPr>
            </w:pPr>
            <w:r>
              <w:rPr>
                <w:rFonts w:ascii="Arial" w:cs="Arial" w:eastAsia="Arial" w:hAnsi="Arial"/>
                <w:sz w:val="16"/>
                <w:szCs w:val="16"/>
                <w:b w:val="1"/>
                <w:bCs w:val="1"/>
                <w:color w:val="auto"/>
                <w:w w:val="97"/>
              </w:rPr>
              <w:t>Postretirement</w:t>
            </w:r>
          </w:p>
        </w:tc>
        <w:tc>
          <w:tcPr>
            <w:tcW w:w="0" w:type="dxa"/>
            <w:vAlign w:val="bottom"/>
          </w:tcPr>
          <w:p>
            <w:pPr>
              <w:spacing w:after="0"/>
              <w:rPr>
                <w:sz w:val="1"/>
                <w:szCs w:val="1"/>
                <w:color w:val="auto"/>
              </w:rPr>
            </w:pPr>
          </w:p>
        </w:tc>
      </w:tr>
      <w:tr>
        <w:trPr>
          <w:trHeight w:val="190"/>
        </w:trPr>
        <w:tc>
          <w:tcPr>
            <w:tcW w:w="8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87"/>
              <w:spacing w:after="0"/>
              <w:rPr>
                <w:sz w:val="20"/>
                <w:szCs w:val="20"/>
                <w:color w:val="auto"/>
              </w:rPr>
            </w:pPr>
            <w:r>
              <w:rPr>
                <w:rFonts w:ascii="Arial" w:cs="Arial" w:eastAsia="Arial" w:hAnsi="Arial"/>
                <w:sz w:val="16"/>
                <w:szCs w:val="16"/>
                <w:b w:val="1"/>
                <w:bCs w:val="1"/>
                <w:color w:val="auto"/>
                <w:w w:val="98"/>
              </w:rPr>
              <w:t>Benefits</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210"/>
        </w:trPr>
        <w:tc>
          <w:tcPr>
            <w:tcW w:w="8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492</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569</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(93)</w:t>
            </w:r>
          </w:p>
        </w:tc>
        <w:tc>
          <w:tcPr>
            <w:tcW w:w="0" w:type="dxa"/>
            <w:vAlign w:val="bottom"/>
          </w:tcPr>
          <w:p>
            <w:pPr>
              <w:spacing w:after="0"/>
              <w:rPr>
                <w:sz w:val="1"/>
                <w:szCs w:val="1"/>
                <w:color w:val="auto"/>
              </w:rPr>
            </w:pPr>
          </w:p>
        </w:tc>
      </w:tr>
      <w:tr>
        <w:trPr>
          <w:trHeight w:val="257"/>
        </w:trPr>
        <w:tc>
          <w:tcPr>
            <w:tcW w:w="8740" w:type="dxa"/>
            <w:vAlign w:val="bottom"/>
          </w:tcPr>
          <w:p>
            <w:pPr>
              <w:ind w:left="360"/>
              <w:spacing w:after="0"/>
              <w:rPr>
                <w:sz w:val="20"/>
                <w:szCs w:val="20"/>
                <w:color w:val="auto"/>
              </w:rPr>
            </w:pPr>
            <w:r>
              <w:rPr>
                <w:rFonts w:ascii="Arial" w:cs="Arial" w:eastAsia="Arial" w:hAnsi="Arial"/>
                <w:sz w:val="19"/>
                <w:szCs w:val="19"/>
                <w:color w:val="auto"/>
              </w:rPr>
              <w:t>Benefit obligation at end of year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530</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Change in plan assets:</w:t>
            </w: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return on plan assets</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tcPr>
          <w:p>
            <w:pPr>
              <w:ind w:left="360"/>
              <w:spacing w:after="0"/>
              <w:rPr>
                <w:sz w:val="20"/>
                <w:szCs w:val="20"/>
                <w:color w:val="auto"/>
              </w:rPr>
            </w:pPr>
            <w:r>
              <w:rPr>
                <w:rFonts w:ascii="Arial" w:cs="Arial" w:eastAsia="Arial" w:hAnsi="Arial"/>
                <w:sz w:val="19"/>
                <w:szCs w:val="19"/>
                <w:color w:val="auto"/>
              </w:rPr>
              <w:t>Company contributions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8740" w:type="dxa"/>
            <w:vAlign w:val="bottom"/>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Funded status of plans</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(530)</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9"/>
                <w:szCs w:val="19"/>
                <w:color w:val="auto"/>
              </w:rPr>
              <w:t>Amounts recognized in Consolidated Balance Sheet consist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Accrued liabilities</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(62)</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50"/>
        </w:trPr>
        <w:tc>
          <w:tcPr>
            <w:tcW w:w="8740" w:type="dxa"/>
            <w:vAlign w:val="bottom"/>
          </w:tcPr>
          <w:p>
            <w:pPr>
              <w:ind w:left="360"/>
              <w:spacing w:after="0"/>
              <w:rPr>
                <w:sz w:val="20"/>
                <w:szCs w:val="20"/>
                <w:color w:val="auto"/>
              </w:rPr>
            </w:pPr>
            <w:r>
              <w:rPr>
                <w:rFonts w:ascii="Arial" w:cs="Arial" w:eastAsia="Arial" w:hAnsi="Arial"/>
                <w:sz w:val="19"/>
                <w:szCs w:val="19"/>
                <w:color w:val="auto"/>
              </w:rPr>
              <w:t>Postretirement benefit obligations other than pensions(1)</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(430)</w:t>
            </w:r>
          </w:p>
        </w:tc>
        <w:tc>
          <w:tcPr>
            <w:tcW w:w="0" w:type="dxa"/>
            <w:vAlign w:val="bottom"/>
          </w:tcPr>
          <w:p>
            <w:pPr>
              <w:spacing w:after="0"/>
              <w:rPr>
                <w:sz w:val="1"/>
                <w:szCs w:val="1"/>
                <w:color w:val="auto"/>
              </w:rPr>
            </w:pPr>
          </w:p>
        </w:tc>
      </w:tr>
      <w:tr>
        <w:trPr>
          <w:trHeight w:val="216"/>
        </w:trPr>
        <w:tc>
          <w:tcPr>
            <w:tcW w:w="87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amount recognized</w:t>
            </w: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(530)</w:t>
            </w:r>
          </w:p>
        </w:tc>
        <w:tc>
          <w:tcPr>
            <w:tcW w:w="480" w:type="dxa"/>
            <w:vAlign w:val="bottom"/>
            <w:gridSpan w:val="2"/>
            <w:shd w:val="clear" w:color="auto" w:fill="E5FFFF"/>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Excludes non-U.S. plans of $44 million and $43 million in 2017 and 2016.</w:t>
      </w:r>
    </w:p>
    <w:p>
      <w:pPr>
        <w:spacing w:after="0" w:line="106" w:lineRule="exact"/>
        <w:rPr>
          <w:sz w:val="20"/>
          <w:szCs w:val="20"/>
          <w:color w:val="auto"/>
        </w:rPr>
      </w:pPr>
    </w:p>
    <w:p>
      <w:pPr>
        <w:ind w:right="600" w:firstLine="357"/>
        <w:spacing w:after="0" w:line="246" w:lineRule="auto"/>
        <w:rPr>
          <w:sz w:val="20"/>
          <w:szCs w:val="20"/>
          <w:color w:val="auto"/>
        </w:rPr>
      </w:pPr>
      <w:r>
        <w:rPr>
          <w:rFonts w:ascii="Arial" w:cs="Arial" w:eastAsia="Arial" w:hAnsi="Arial"/>
          <w:sz w:val="19"/>
          <w:szCs w:val="19"/>
          <w:color w:val="auto"/>
        </w:rPr>
        <w:t>Amounts recognized in Accumulated other comprehensive (income) loss associated with our significant pension and other postretirement benefit plans at December 31, 2017 and 2016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Pension Benefits</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10"/>
              <w:spacing w:after="0" w:line="169" w:lineRule="exact"/>
              <w:rPr>
                <w:sz w:val="20"/>
                <w:szCs w:val="20"/>
                <w:color w:val="auto"/>
              </w:rPr>
            </w:pPr>
            <w:r>
              <w:rPr>
                <w:rFonts w:ascii="Arial" w:cs="Arial" w:eastAsia="Arial" w:hAnsi="Arial"/>
                <w:sz w:val="16"/>
                <w:szCs w:val="16"/>
                <w:b w:val="1"/>
                <w:bCs w:val="1"/>
                <w:color w:val="auto"/>
              </w:rPr>
              <w:t>U.S. Plans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6"/>
          </w:tcPr>
          <w:p>
            <w:pPr>
              <w:jc w:val="right"/>
              <w:ind w:right="128"/>
              <w:spacing w:after="0" w:line="169" w:lineRule="exact"/>
              <w:rPr>
                <w:sz w:val="20"/>
                <w:szCs w:val="20"/>
                <w:color w:val="auto"/>
              </w:rPr>
            </w:pPr>
            <w:r>
              <w:rPr>
                <w:rFonts w:ascii="Arial" w:cs="Arial" w:eastAsia="Arial" w:hAnsi="Arial"/>
                <w:sz w:val="16"/>
                <w:szCs w:val="16"/>
                <w:b w:val="1"/>
                <w:bCs w:val="1"/>
                <w:color w:val="auto"/>
              </w:rPr>
              <w:t>Non-U.S. Plans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0"/>
              <w:spacing w:after="0" w:line="169" w:lineRule="exact"/>
              <w:rPr>
                <w:sz w:val="20"/>
                <w:szCs w:val="20"/>
                <w:color w:val="auto"/>
              </w:rPr>
            </w:pPr>
            <w:r>
              <w:rPr>
                <w:rFonts w:ascii="Arial" w:cs="Arial" w:eastAsia="Arial" w:hAnsi="Arial"/>
                <w:sz w:val="16"/>
                <w:szCs w:val="16"/>
                <w:b w:val="1"/>
                <w:bCs w:val="1"/>
                <w:color w:val="auto"/>
                <w:w w:val="95"/>
              </w:rPr>
              <w:t>2017</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16"/>
              <w:spacing w:after="0" w:line="169" w:lineRule="exact"/>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5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Prior service (credit)</w:t>
            </w:r>
          </w:p>
        </w:tc>
        <w:tc>
          <w:tcPr>
            <w:tcW w:w="332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(268)</w:t>
            </w:r>
          </w:p>
        </w:tc>
        <w:tc>
          <w:tcPr>
            <w:tcW w:w="48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(312)</w:t>
            </w:r>
          </w:p>
        </w:tc>
        <w:tc>
          <w:tcPr>
            <w:tcW w:w="920" w:type="dxa"/>
            <w:vAlign w:val="bottom"/>
            <w:gridSpan w:val="4"/>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rPr>
              <w:t>$ (13)</w:t>
            </w:r>
          </w:p>
        </w:tc>
        <w:tc>
          <w:tcPr>
            <w:tcW w:w="44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9"/>
                <w:szCs w:val="19"/>
                <w:color w:val="auto"/>
              </w:rPr>
              <w:t>Net actuarial loss</w:t>
            </w:r>
          </w:p>
        </w:tc>
        <w:tc>
          <w:tcPr>
            <w:tcW w:w="3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248</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1,099</w:t>
            </w:r>
          </w:p>
        </w:tc>
        <w:tc>
          <w:tcPr>
            <w:tcW w:w="300" w:type="dxa"/>
            <w:vAlign w:val="bottom"/>
            <w:gridSpan w:val="2"/>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427</w:t>
            </w:r>
          </w:p>
        </w:tc>
        <w:tc>
          <w:tcPr>
            <w:tcW w:w="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560" w:type="dxa"/>
            <w:vAlign w:val="bottom"/>
            <w:shd w:val="clear" w:color="auto" w:fill="E5FFFF"/>
          </w:tcPr>
          <w:p>
            <w:pPr>
              <w:spacing w:after="0"/>
              <w:rPr>
                <w:sz w:val="20"/>
                <w:szCs w:val="20"/>
                <w:color w:val="auto"/>
              </w:rPr>
            </w:pPr>
            <w:r>
              <w:rPr>
                <w:rFonts w:ascii="Arial" w:cs="Arial" w:eastAsia="Arial" w:hAnsi="Arial"/>
                <w:sz w:val="19"/>
                <w:szCs w:val="19"/>
                <w:color w:val="auto"/>
              </w:rPr>
              <w:t>Net amount recognized</w:t>
            </w:r>
          </w:p>
        </w:tc>
        <w:tc>
          <w:tcPr>
            <w:tcW w:w="31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787</w:t>
            </w:r>
          </w:p>
        </w:tc>
        <w:tc>
          <w:tcPr>
            <w:tcW w:w="300" w:type="dxa"/>
            <w:vAlign w:val="bottom"/>
            <w:gridSpan w:val="2"/>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$ 414</w:t>
            </w:r>
          </w:p>
        </w:tc>
        <w:tc>
          <w:tcPr>
            <w:tcW w:w="40" w:type="dxa"/>
            <w:vAlign w:val="bottom"/>
            <w:tcBorders>
              <w:bottom w:val="single" w:sz="8" w:color="auto"/>
            </w:tcBorders>
            <w:shd w:val="clear" w:color="auto" w:fill="E5FFFF"/>
          </w:tcPr>
          <w:p>
            <w:pPr>
              <w:spacing w:after="0"/>
              <w:rPr>
                <w:sz w:val="21"/>
                <w:szCs w:val="21"/>
                <w:color w:val="auto"/>
              </w:rPr>
            </w:pPr>
          </w:p>
        </w:tc>
        <w:tc>
          <w:tcPr>
            <w:tcW w:w="320" w:type="dxa"/>
            <w:vAlign w:val="bottom"/>
            <w:gridSpan w:val="2"/>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571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5"/>
          </w:tcPr>
          <w:p>
            <w:pPr>
              <w:jc w:val="right"/>
              <w:ind w:right="3"/>
              <w:spacing w:after="0" w:line="182" w:lineRule="exact"/>
              <w:rPr>
                <w:sz w:val="20"/>
                <w:szCs w:val="20"/>
                <w:color w:val="auto"/>
              </w:rPr>
            </w:pPr>
            <w:r>
              <w:rPr>
                <w:rFonts w:ascii="Arial" w:cs="Arial" w:eastAsia="Arial" w:hAnsi="Arial"/>
                <w:sz w:val="16"/>
                <w:szCs w:val="16"/>
                <w:b w:val="1"/>
                <w:bCs w:val="1"/>
                <w:color w:val="auto"/>
              </w:rPr>
              <w:t>Other</w:t>
            </w: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right"/>
              <w:ind w:right="188"/>
              <w:spacing w:after="0" w:line="176" w:lineRule="exact"/>
              <w:rPr>
                <w:sz w:val="20"/>
                <w:szCs w:val="20"/>
                <w:color w:val="auto"/>
              </w:rPr>
            </w:pPr>
            <w:r>
              <w:rPr>
                <w:rFonts w:ascii="Arial" w:cs="Arial" w:eastAsia="Arial" w:hAnsi="Arial"/>
                <w:sz w:val="16"/>
                <w:szCs w:val="16"/>
                <w:b w:val="1"/>
                <w:bCs w:val="1"/>
                <w:color w:val="auto"/>
              </w:rPr>
              <w:t>Postretirement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Benefits</w:t>
            </w: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76"/>
              <w:spacing w:after="0" w:line="169" w:lineRule="exact"/>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w w:val="95"/>
              </w:rPr>
              <w:t>2016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5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Prior service (credit)</w:t>
            </w:r>
          </w:p>
        </w:tc>
        <w:tc>
          <w:tcPr>
            <w:tcW w:w="3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 (244)</w:t>
            </w:r>
          </w:p>
        </w:tc>
        <w:tc>
          <w:tcPr>
            <w:tcW w:w="40" w:type="dxa"/>
            <w:vAlign w:val="bottom"/>
            <w:shd w:val="clear" w:color="auto" w:fill="E5FFFF"/>
          </w:tcPr>
          <w:p>
            <w:pPr>
              <w:spacing w:after="0"/>
              <w:rPr>
                <w:sz w:val="18"/>
                <w:szCs w:val="18"/>
                <w:color w:val="auto"/>
              </w:rPr>
            </w:pPr>
          </w:p>
        </w:tc>
        <w:tc>
          <w:tcPr>
            <w:tcW w:w="44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ind w:left="40"/>
              <w:spacing w:after="0" w:line="210" w:lineRule="exact"/>
              <w:rPr>
                <w:sz w:val="20"/>
                <w:szCs w:val="20"/>
                <w:color w:val="auto"/>
              </w:rPr>
            </w:pPr>
            <w:r>
              <w:rPr>
                <w:rFonts w:ascii="Arial" w:cs="Arial" w:eastAsia="Arial" w:hAnsi="Arial"/>
                <w:sz w:val="19"/>
                <w:szCs w:val="19"/>
                <w:color w:val="auto"/>
              </w:rPr>
              <w:t>(393)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Arial" w:cs="Arial" w:eastAsia="Arial" w:hAnsi="Arial"/>
                <w:sz w:val="19"/>
                <w:szCs w:val="19"/>
                <w:color w:val="auto"/>
              </w:rPr>
              <w:t>Net actuarial loss</w:t>
            </w: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109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9"/>
                <w:szCs w:val="19"/>
                <w:color w:val="auto"/>
              </w:rPr>
              <w:t>136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5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amount recognized</w:t>
            </w:r>
          </w:p>
        </w:tc>
        <w:tc>
          <w:tcPr>
            <w:tcW w:w="3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88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 (135)</w:t>
            </w:r>
          </w:p>
        </w:tc>
        <w:tc>
          <w:tcPr>
            <w:tcW w:w="40" w:type="dxa"/>
            <w:vAlign w:val="bottom"/>
            <w:shd w:val="clear" w:color="auto" w:fill="E5FFFF"/>
          </w:tcPr>
          <w:p>
            <w:pPr>
              <w:spacing w:after="0"/>
              <w:rPr>
                <w:sz w:val="18"/>
                <w:szCs w:val="18"/>
                <w:color w:val="auto"/>
              </w:rPr>
            </w:pPr>
          </w:p>
        </w:tc>
        <w:tc>
          <w:tcPr>
            <w:tcW w:w="440" w:type="dxa"/>
            <w:vAlign w:val="bottom"/>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ind w:left="40"/>
              <w:spacing w:after="0" w:line="216" w:lineRule="exact"/>
              <w:rPr>
                <w:sz w:val="20"/>
                <w:szCs w:val="20"/>
                <w:color w:val="auto"/>
              </w:rPr>
            </w:pPr>
            <w:r>
              <w:rPr>
                <w:rFonts w:ascii="Arial" w:cs="Arial" w:eastAsia="Arial" w:hAnsi="Arial"/>
                <w:sz w:val="19"/>
                <w:szCs w:val="19"/>
                <w:color w:val="auto"/>
              </w:rPr>
              <w:t>(257)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180" w:type="dxa"/>
            <w:vAlign w:val="bottom"/>
            <w:vMerge w:val="restart"/>
          </w:tcPr>
          <w:p>
            <w:pPr>
              <w:jc w:val="right"/>
              <w:ind w:right="1323"/>
              <w:spacing w:after="0"/>
              <w:rPr>
                <w:sz w:val="20"/>
                <w:szCs w:val="20"/>
                <w:color w:val="auto"/>
              </w:rPr>
            </w:pPr>
            <w:r>
              <w:rPr>
                <w:rFonts w:ascii="Arial" w:cs="Arial" w:eastAsia="Arial" w:hAnsi="Arial"/>
                <w:sz w:val="19"/>
                <w:szCs w:val="19"/>
                <w:color w:val="auto"/>
              </w:rPr>
              <w:t>76</w:t>
            </w: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20" w:firstLine="357"/>
        <w:spacing w:after="0" w:line="246" w:lineRule="auto"/>
        <w:rPr>
          <w:sz w:val="20"/>
          <w:szCs w:val="20"/>
          <w:color w:val="auto"/>
        </w:rPr>
      </w:pPr>
      <w:r>
        <w:rPr>
          <w:rFonts w:ascii="Arial" w:cs="Arial" w:eastAsia="Arial" w:hAnsi="Arial"/>
          <w:sz w:val="19"/>
          <w:szCs w:val="19"/>
          <w:color w:val="auto"/>
        </w:rPr>
        <w:t>The components of net periodic benefit (income) cost and other amounts recognized in Other comprehensive (income) loss for our significant pension and other postretirement benefit plans include the following components: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9"/>
          </w:tcPr>
          <w:p>
            <w:pPr>
              <w:jc w:val="right"/>
              <w:ind w:right="421"/>
              <w:spacing w:after="0"/>
              <w:rPr>
                <w:sz w:val="20"/>
                <w:szCs w:val="20"/>
                <w:color w:val="auto"/>
              </w:rPr>
            </w:pPr>
            <w:r>
              <w:rPr>
                <w:rFonts w:ascii="Arial" w:cs="Arial" w:eastAsia="Arial" w:hAnsi="Arial"/>
                <w:sz w:val="16"/>
                <w:szCs w:val="16"/>
                <w:b w:val="1"/>
                <w:bCs w:val="1"/>
                <w:color w:val="auto"/>
                <w:w w:val="98"/>
              </w:rPr>
              <w:t>Pension Benefits</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223"/>
              <w:spacing w:after="0" w:line="169" w:lineRule="exact"/>
              <w:rPr>
                <w:sz w:val="20"/>
                <w:szCs w:val="20"/>
                <w:color w:val="auto"/>
              </w:rPr>
            </w:pPr>
            <w:r>
              <w:rPr>
                <w:rFonts w:ascii="Arial" w:cs="Arial" w:eastAsia="Arial" w:hAnsi="Arial"/>
                <w:sz w:val="16"/>
                <w:szCs w:val="16"/>
                <w:b w:val="1"/>
                <w:bCs w:val="1"/>
                <w:color w:val="auto"/>
                <w:w w:val="99"/>
              </w:rPr>
              <w:t>U.S. Plans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03"/>
              <w:spacing w:after="0" w:line="169" w:lineRule="exact"/>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gridSpan w:val="3"/>
          </w:tcPr>
          <w:p>
            <w:pPr>
              <w:jc w:val="right"/>
              <w:ind w:right="92"/>
              <w:spacing w:after="0" w:line="169" w:lineRule="exact"/>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46"/>
              <w:spacing w:after="0" w:line="169"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5"/>
              </w:rPr>
              <w:t>2016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64"/>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Service cost</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580" w:type="dxa"/>
            <w:vAlign w:val="bottom"/>
            <w:gridSpan w:val="3"/>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191</w:t>
            </w: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223</w:t>
            </w: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40</w:t>
            </w:r>
          </w:p>
        </w:tc>
        <w:tc>
          <w:tcPr>
            <w:tcW w:w="100" w:type="dxa"/>
            <w:vAlign w:val="bottom"/>
            <w:shd w:val="clear" w:color="auto" w:fill="E5FFFF"/>
          </w:tcPr>
          <w:p>
            <w:pPr>
              <w:spacing w:after="0"/>
              <w:rPr>
                <w:sz w:val="20"/>
                <w:szCs w:val="20"/>
                <w:color w:val="auto"/>
              </w:rPr>
            </w:pPr>
          </w:p>
        </w:tc>
        <w:tc>
          <w:tcPr>
            <w:tcW w:w="3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w:t>
            </w:r>
          </w:p>
        </w:tc>
        <w:tc>
          <w:tcPr>
            <w:tcW w:w="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Interest cost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586</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600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696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177</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Expected return on plan assets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(1,262)</w:t>
            </w:r>
          </w:p>
        </w:tc>
        <w:tc>
          <w:tcPr>
            <w:tcW w:w="1140" w:type="dxa"/>
            <w:vAlign w:val="bottom"/>
            <w:gridSpan w:val="6"/>
            <w:shd w:val="clear" w:color="auto" w:fill="E5FFFF"/>
          </w:tcPr>
          <w:p>
            <w:pPr>
              <w:jc w:val="right"/>
              <w:spacing w:after="0"/>
              <w:rPr>
                <w:sz w:val="20"/>
                <w:szCs w:val="20"/>
                <w:color w:val="auto"/>
              </w:rPr>
            </w:pPr>
            <w:r>
              <w:rPr>
                <w:rFonts w:ascii="Arial" w:cs="Arial" w:eastAsia="Arial" w:hAnsi="Arial"/>
                <w:sz w:val="19"/>
                <w:szCs w:val="19"/>
                <w:color w:val="auto"/>
              </w:rPr>
              <w:t>(1,226)</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(1,278)</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(411)</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(358)</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Amortization of transition obligation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9"/>
                <w:szCs w:val="19"/>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101"/>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3"/>
          </w:tcPr>
          <w:p>
            <w:pPr>
              <w:jc w:val="right"/>
              <w:ind w:right="40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Amortization of prior service (credit) cost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3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Recognition of actuarial losses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41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27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Settlements and curtailments</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18</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9"/>
                <w:szCs w:val="19"/>
                <w:color w:val="auto"/>
              </w:rPr>
              <w:t>Net periodic benefit (income) cost</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(488)</w:t>
            </w:r>
          </w:p>
        </w:tc>
        <w:tc>
          <w:tcPr>
            <w:tcW w:w="580" w:type="dxa"/>
            <w:vAlign w:val="bottom"/>
            <w:gridSpan w:val="3"/>
          </w:tcPr>
          <w:p>
            <w:pPr>
              <w:jc w:val="right"/>
              <w:ind w:right="61"/>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(451)</w:t>
            </w:r>
          </w:p>
        </w:tc>
        <w:tc>
          <w:tcPr>
            <w:tcW w:w="3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(286)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w w:val="99"/>
              </w:rPr>
              <w:t>$ (179)</w:t>
            </w:r>
          </w:p>
        </w:tc>
        <w:tc>
          <w:tcPr>
            <w:tcW w:w="10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tcPr>
          <w:p>
            <w:pPr>
              <w:jc w:val="right"/>
              <w:spacing w:after="0"/>
              <w:rPr>
                <w:sz w:val="20"/>
                <w:szCs w:val="20"/>
                <w:color w:val="auto"/>
              </w:rPr>
            </w:pPr>
            <w:r>
              <w:rPr>
                <w:rFonts w:ascii="Arial" w:cs="Arial" w:eastAsia="Arial" w:hAnsi="Arial"/>
                <w:sz w:val="19"/>
                <w:szCs w:val="19"/>
                <w:color w:val="auto"/>
                <w:w w:val="99"/>
              </w:rPr>
              <w:t>(115)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Other Changes in Plan Assets and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6"/>
            <w:vMerge w:val="restart"/>
          </w:tcPr>
          <w:p>
            <w:pPr>
              <w:jc w:val="right"/>
              <w:ind w:right="41"/>
              <w:spacing w:after="0"/>
              <w:rPr>
                <w:sz w:val="20"/>
                <w:szCs w:val="20"/>
                <w:color w:val="auto"/>
              </w:rPr>
            </w:pPr>
            <w:r>
              <w:rPr>
                <w:rFonts w:ascii="Arial" w:cs="Arial" w:eastAsia="Arial" w:hAnsi="Arial"/>
                <w:sz w:val="16"/>
                <w:szCs w:val="16"/>
                <w:b w:val="1"/>
                <w:bCs w:val="1"/>
                <w:color w:val="auto"/>
              </w:rPr>
              <w:t>U.S. Plans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8"/>
            <w:vMerge w:val="restart"/>
          </w:tcPr>
          <w:p>
            <w:pPr>
              <w:jc w:val="right"/>
              <w:ind w:right="63"/>
              <w:spacing w:after="0"/>
              <w:rPr>
                <w:sz w:val="20"/>
                <w:szCs w:val="20"/>
                <w:color w:val="auto"/>
              </w:rPr>
            </w:pPr>
            <w:r>
              <w:rPr>
                <w:rFonts w:ascii="Arial" w:cs="Arial" w:eastAsia="Arial" w:hAnsi="Arial"/>
                <w:sz w:val="16"/>
                <w:szCs w:val="16"/>
                <w:b w:val="1"/>
                <w:bCs w:val="1"/>
                <w:color w:val="auto"/>
                <w:w w:val="99"/>
              </w:rPr>
              <w:t>Non-U.S. Plans</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240" w:type="dxa"/>
            <w:vAlign w:val="bottom"/>
            <w:vMerge w:val="restart"/>
          </w:tcPr>
          <w:p>
            <w:pPr>
              <w:spacing w:after="0" w:line="176" w:lineRule="exact"/>
              <w:rPr>
                <w:sz w:val="20"/>
                <w:szCs w:val="20"/>
                <w:color w:val="auto"/>
              </w:rPr>
            </w:pPr>
            <w:r>
              <w:rPr>
                <w:rFonts w:ascii="Arial" w:cs="Arial" w:eastAsia="Arial" w:hAnsi="Arial"/>
                <w:sz w:val="16"/>
                <w:szCs w:val="16"/>
                <w:b w:val="1"/>
                <w:bCs w:val="1"/>
                <w:color w:val="auto"/>
              </w:rPr>
              <w:t>Benefits Obligations Recognized in</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6"/>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8"/>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w w:val="95"/>
              </w:rPr>
              <w:t>2017</w:t>
            </w:r>
          </w:p>
        </w:tc>
        <w:tc>
          <w:tcPr>
            <w:tcW w:w="300" w:type="dxa"/>
            <w:vAlign w:val="bottom"/>
          </w:tcPr>
          <w:p>
            <w:pPr>
              <w:spacing w:after="0"/>
              <w:rPr>
                <w:sz w:val="16"/>
                <w:szCs w:val="16"/>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Actuarial (gains) losses</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4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(792)</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121</w:t>
            </w:r>
          </w:p>
        </w:tc>
        <w:tc>
          <w:tcPr>
            <w:tcW w:w="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800" w:type="dxa"/>
            <w:vAlign w:val="bottom"/>
            <w:gridSpan w:val="4"/>
            <w:shd w:val="clear" w:color="auto" w:fill="E5FFFF"/>
          </w:tcPr>
          <w:p>
            <w:pPr>
              <w:jc w:val="right"/>
              <w:ind w:right="80"/>
              <w:spacing w:after="0"/>
              <w:rPr>
                <w:sz w:val="20"/>
                <w:szCs w:val="20"/>
                <w:color w:val="auto"/>
              </w:rPr>
            </w:pPr>
            <w:r>
              <w:rPr>
                <w:rFonts w:ascii="Arial" w:cs="Arial" w:eastAsia="Arial" w:hAnsi="Arial"/>
                <w:sz w:val="19"/>
                <w:szCs w:val="19"/>
                <w:color w:val="auto"/>
              </w:rPr>
              <w:t>$ 775</w:t>
            </w:r>
          </w:p>
        </w:tc>
        <w:tc>
          <w:tcPr>
            <w:tcW w:w="160" w:type="dxa"/>
            <w:vAlign w:val="bottom"/>
            <w:shd w:val="clear" w:color="auto" w:fill="E5FFFF"/>
          </w:tcPr>
          <w:p>
            <w:pPr>
              <w:spacing w:after="0"/>
              <w:rPr>
                <w:sz w:val="20"/>
                <w:szCs w:val="20"/>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(153)</w:t>
            </w:r>
          </w:p>
        </w:tc>
        <w:tc>
          <w:tcPr>
            <w:tcW w:w="900" w:type="dxa"/>
            <w:vAlign w:val="bottom"/>
            <w:gridSpan w:val="5"/>
            <w:shd w:val="clear" w:color="auto" w:fill="E5FFFF"/>
          </w:tcPr>
          <w:p>
            <w:pPr>
              <w:jc w:val="right"/>
              <w:ind w:right="80"/>
              <w:spacing w:after="0"/>
              <w:rPr>
                <w:sz w:val="20"/>
                <w:szCs w:val="20"/>
                <w:color w:val="auto"/>
              </w:rPr>
            </w:pPr>
            <w:r>
              <w:rPr>
                <w:rFonts w:ascii="Arial" w:cs="Arial" w:eastAsia="Arial" w:hAnsi="Arial"/>
                <w:sz w:val="19"/>
                <w:szCs w:val="19"/>
                <w:color w:val="auto"/>
              </w:rPr>
              <w:t>$ 447</w:t>
            </w: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Prior service (credit)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9"/>
                <w:szCs w:val="19"/>
                <w:color w:val="auto"/>
              </w:rPr>
              <w:t>(429)</w:t>
            </w:r>
          </w:p>
        </w:tc>
        <w:tc>
          <w:tcPr>
            <w:tcW w:w="1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Transition obligation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240"/>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ind w:right="320"/>
              <w:spacing w:after="0"/>
              <w:rPr>
                <w:sz w:val="20"/>
                <w:szCs w:val="20"/>
                <w:color w:val="auto"/>
              </w:rPr>
            </w:pPr>
            <w:r>
              <w:rPr>
                <w:rFonts w:ascii="Arial" w:cs="Arial" w:eastAsia="Arial" w:hAnsi="Arial"/>
                <w:sz w:val="19"/>
                <w:szCs w:val="19"/>
                <w:color w:val="auto"/>
              </w:rPr>
              <w:t>—</w:t>
            </w: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Prior service (cost) credit recognized during year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3"/>
          </w:tcPr>
          <w:p>
            <w:pPr>
              <w:jc w:val="right"/>
              <w:ind w:right="1"/>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9"/>
                <w:szCs w:val="19"/>
                <w:color w:val="auto"/>
              </w:rPr>
              <w:t>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9"/>
                <w:szCs w:val="19"/>
                <w:color w:val="auto"/>
                <w:w w:val="94"/>
              </w:rPr>
              <w:t>(13)</w:t>
            </w:r>
          </w:p>
        </w:tc>
        <w:tc>
          <w:tcPr>
            <w:tcW w:w="160" w:type="dxa"/>
            <w:vAlign w:val="bottom"/>
          </w:tcPr>
          <w:p>
            <w:pPr>
              <w:spacing w:after="0"/>
              <w:rPr>
                <w:sz w:val="21"/>
                <w:szCs w:val="21"/>
                <w:color w:val="auto"/>
              </w:rPr>
            </w:pPr>
          </w:p>
        </w:tc>
        <w:tc>
          <w:tcPr>
            <w:tcW w:w="740" w:type="dxa"/>
            <w:vAlign w:val="bottom"/>
            <w:gridSpan w:val="3"/>
          </w:tcPr>
          <w:p>
            <w:pPr>
              <w:jc w:val="right"/>
              <w:ind w:right="1"/>
              <w:spacing w:after="0"/>
              <w:rPr>
                <w:sz w:val="20"/>
                <w:szCs w:val="20"/>
                <w:color w:val="auto"/>
              </w:rPr>
            </w:pPr>
            <w:r>
              <w:rPr>
                <w:rFonts w:ascii="Arial" w:cs="Arial" w:eastAsia="Arial" w:hAnsi="Arial"/>
                <w:sz w:val="19"/>
                <w:szCs w:val="19"/>
                <w:color w:val="auto"/>
              </w:rPr>
              <w:t>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10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Actuarial losses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(59)</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4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w w:val="94"/>
              </w:rPr>
              <w:t>(52)</w:t>
            </w:r>
          </w:p>
        </w:tc>
        <w:tc>
          <w:tcPr>
            <w:tcW w:w="16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(246)</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9"/>
                <w:szCs w:val="19"/>
                <w:color w:val="auto"/>
              </w:rPr>
              <w:t>Foreign currency translation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43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20" w:type="dxa"/>
            <w:vAlign w:val="bottom"/>
            <w:gridSpan w:val="2"/>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(808)</w:t>
            </w:r>
          </w:p>
        </w:tc>
        <w:tc>
          <w:tcPr>
            <w:tcW w:w="30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3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137</w:t>
            </w:r>
          </w:p>
        </w:tc>
        <w:tc>
          <w:tcPr>
            <w:tcW w:w="60" w:type="dxa"/>
            <w:vAlign w:val="bottom"/>
            <w:tcBorders>
              <w:bottom w:val="single" w:sz="8" w:color="auto"/>
            </w:tcBorders>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$ 281</w:t>
            </w: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w w:val="96"/>
              </w:rPr>
              <w:t>$ (156)</w:t>
            </w:r>
          </w:p>
        </w:tc>
        <w:tc>
          <w:tcPr>
            <w:tcW w:w="280" w:type="dxa"/>
            <w:vAlign w:val="bottom"/>
            <w:gridSpan w:val="2"/>
            <w:shd w:val="clear" w:color="auto" w:fill="E5FFFF"/>
          </w:tcPr>
          <w:p>
            <w:pPr>
              <w:spacing w:after="0"/>
              <w:rPr>
                <w:sz w:val="21"/>
                <w:szCs w:val="21"/>
                <w:color w:val="auto"/>
              </w:rPr>
            </w:pPr>
          </w:p>
        </w:tc>
        <w:tc>
          <w:tcPr>
            <w:tcW w:w="620" w:type="dxa"/>
            <w:vAlign w:val="bottom"/>
            <w:tcBorders>
              <w:bottom w:val="single" w:sz="8" w:color="auto"/>
            </w:tcBorders>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$ 128</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w:t>
            </w:r>
          </w:p>
        </w:tc>
        <w:tc>
          <w:tcPr>
            <w:tcW w:w="0" w:type="dxa"/>
            <w:vAlign w:val="bottom"/>
          </w:tcPr>
          <w:p>
            <w:pPr>
              <w:spacing w:after="0"/>
              <w:rPr>
                <w:sz w:val="1"/>
                <w:szCs w:val="1"/>
                <w:color w:val="auto"/>
              </w:rPr>
            </w:pPr>
          </w:p>
        </w:tc>
      </w:tr>
      <w:tr>
        <w:trPr>
          <w:trHeight w:val="20"/>
        </w:trPr>
        <w:tc>
          <w:tcPr>
            <w:tcW w:w="6100" w:type="dxa"/>
            <w:vAlign w:val="bottom"/>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6"/>
          </w:tcPr>
          <w:p>
            <w:pPr>
              <w:ind w:left="360"/>
              <w:spacing w:after="0" w:line="210" w:lineRule="exact"/>
              <w:rPr>
                <w:sz w:val="20"/>
                <w:szCs w:val="20"/>
                <w:color w:val="auto"/>
              </w:rPr>
            </w:pPr>
            <w:r>
              <w:rPr>
                <w:rFonts w:ascii="Arial" w:cs="Arial" w:eastAsia="Arial" w:hAnsi="Arial"/>
                <w:sz w:val="19"/>
                <w:szCs w:val="19"/>
                <w:color w:val="auto"/>
              </w:rPr>
              <w:t>Total recognized in net periodic benefit (income) cost and other</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40"/>
              <w:spacing w:after="0" w:line="216" w:lineRule="exact"/>
              <w:rPr>
                <w:sz w:val="20"/>
                <w:szCs w:val="20"/>
                <w:color w:val="auto"/>
              </w:rPr>
            </w:pPr>
            <w:r>
              <w:rPr>
                <w:rFonts w:ascii="Arial" w:cs="Arial" w:eastAsia="Arial" w:hAnsi="Arial"/>
                <w:sz w:val="19"/>
                <w:szCs w:val="19"/>
                <w:color w:val="auto"/>
              </w:rPr>
              <w:t>comprehensive (income)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6"/>
          </w:tcPr>
          <w:p>
            <w:pPr>
              <w:jc w:val="right"/>
              <w:spacing w:after="0" w:line="216" w:lineRule="exact"/>
              <w:rPr>
                <w:sz w:val="20"/>
                <w:szCs w:val="20"/>
                <w:color w:val="auto"/>
              </w:rPr>
            </w:pPr>
            <w:r>
              <w:rPr>
                <w:rFonts w:ascii="Arial" w:cs="Arial" w:eastAsia="Arial" w:hAnsi="Arial"/>
                <w:sz w:val="19"/>
                <w:szCs w:val="19"/>
                <w:color w:val="auto"/>
              </w:rPr>
              <w:t>$ (1,296)</w:t>
            </w:r>
          </w:p>
        </w:tc>
        <w:tc>
          <w:tcPr>
            <w:tcW w:w="920" w:type="dxa"/>
            <w:vAlign w:val="bottom"/>
            <w:gridSpan w:val="5"/>
          </w:tcPr>
          <w:p>
            <w:pPr>
              <w:jc w:val="right"/>
              <w:spacing w:after="0" w:line="216" w:lineRule="exact"/>
              <w:rPr>
                <w:sz w:val="20"/>
                <w:szCs w:val="20"/>
                <w:color w:val="auto"/>
              </w:rPr>
            </w:pPr>
            <w:r>
              <w:rPr>
                <w:rFonts w:ascii="Arial" w:cs="Arial" w:eastAsia="Arial" w:hAnsi="Arial"/>
                <w:sz w:val="19"/>
                <w:szCs w:val="19"/>
                <w:color w:val="auto"/>
              </w:rPr>
              <w:t>$ (314)</w:t>
            </w:r>
          </w:p>
        </w:tc>
        <w:tc>
          <w:tcPr>
            <w:tcW w:w="100" w:type="dxa"/>
            <w:vAlign w:val="bottom"/>
          </w:tcPr>
          <w:p>
            <w:pPr>
              <w:spacing w:after="0"/>
              <w:rPr>
                <w:sz w:val="18"/>
                <w:szCs w:val="18"/>
                <w:color w:val="auto"/>
              </w:rPr>
            </w:pPr>
          </w:p>
        </w:tc>
        <w:tc>
          <w:tcPr>
            <w:tcW w:w="440" w:type="dxa"/>
            <w:vAlign w:val="bottom"/>
            <w:gridSpan w:val="2"/>
          </w:tcPr>
          <w:p>
            <w:pPr>
              <w:jc w:val="right"/>
              <w:ind w:right="49"/>
              <w:spacing w:after="0" w:line="216" w:lineRule="exact"/>
              <w:rPr>
                <w:sz w:val="20"/>
                <w:szCs w:val="20"/>
                <w:color w:val="auto"/>
              </w:rPr>
            </w:pPr>
            <w:r>
              <w:rPr>
                <w:rFonts w:ascii="Arial" w:cs="Arial" w:eastAsia="Arial" w:hAnsi="Arial"/>
                <w:sz w:val="19"/>
                <w:szCs w:val="19"/>
                <w:color w:val="auto"/>
              </w:rPr>
              <w:t>$</w:t>
            </w:r>
          </w:p>
        </w:tc>
        <w:tc>
          <w:tcPr>
            <w:tcW w:w="360" w:type="dxa"/>
            <w:vAlign w:val="bottom"/>
            <w:gridSpan w:val="2"/>
          </w:tcPr>
          <w:p>
            <w:pPr>
              <w:jc w:val="right"/>
              <w:ind w:right="20"/>
              <w:spacing w:after="0" w:line="216" w:lineRule="exact"/>
              <w:rPr>
                <w:sz w:val="20"/>
                <w:szCs w:val="20"/>
                <w:color w:val="auto"/>
              </w:rPr>
            </w:pPr>
            <w:r>
              <w:rPr>
                <w:rFonts w:ascii="Arial" w:cs="Arial" w:eastAsia="Arial" w:hAnsi="Arial"/>
                <w:sz w:val="19"/>
                <w:szCs w:val="19"/>
                <w:color w:val="auto"/>
              </w:rPr>
              <w:t>(5)</w:t>
            </w:r>
          </w:p>
        </w:tc>
        <w:tc>
          <w:tcPr>
            <w:tcW w:w="160" w:type="dxa"/>
            <w:vAlign w:val="bottom"/>
          </w:tcPr>
          <w:p>
            <w:pPr>
              <w:spacing w:after="0"/>
              <w:rPr>
                <w:sz w:val="18"/>
                <w:szCs w:val="18"/>
                <w:color w:val="auto"/>
              </w:rPr>
            </w:pPr>
          </w:p>
        </w:tc>
        <w:tc>
          <w:tcPr>
            <w:tcW w:w="74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 (335)</w:t>
            </w:r>
          </w:p>
        </w:tc>
        <w:tc>
          <w:tcPr>
            <w:tcW w:w="900" w:type="dxa"/>
            <w:vAlign w:val="bottom"/>
            <w:gridSpan w:val="5"/>
          </w:tcPr>
          <w:p>
            <w:pPr>
              <w:jc w:val="right"/>
              <w:ind w:right="80"/>
              <w:spacing w:after="0" w:line="216" w:lineRule="exact"/>
              <w:rPr>
                <w:sz w:val="20"/>
                <w:szCs w:val="20"/>
                <w:color w:val="auto"/>
              </w:rPr>
            </w:pPr>
            <w:r>
              <w:rPr>
                <w:rFonts w:ascii="Arial" w:cs="Arial" w:eastAsia="Arial" w:hAnsi="Arial"/>
                <w:sz w:val="19"/>
                <w:szCs w:val="19"/>
                <w:color w:val="auto"/>
              </w:rPr>
              <w:t>$ 213</w:t>
            </w:r>
          </w:p>
        </w:tc>
        <w:tc>
          <w:tcPr>
            <w:tcW w:w="240" w:type="dxa"/>
            <w:vAlign w:val="bottom"/>
          </w:tcPr>
          <w:p>
            <w:pPr>
              <w:spacing w:after="0"/>
              <w:rPr>
                <w:sz w:val="18"/>
                <w:szCs w:val="18"/>
                <w:color w:val="auto"/>
              </w:rPr>
            </w:pPr>
          </w:p>
        </w:tc>
        <w:tc>
          <w:tcPr>
            <w:tcW w:w="180" w:type="dxa"/>
            <w:vAlign w:val="bottom"/>
            <w:gridSpan w:val="2"/>
          </w:tcPr>
          <w:p>
            <w:pPr>
              <w:jc w:val="right"/>
              <w:spacing w:after="0" w:line="216" w:lineRule="exact"/>
              <w:rPr>
                <w:sz w:val="20"/>
                <w:szCs w:val="20"/>
                <w:color w:val="auto"/>
              </w:rPr>
            </w:pPr>
            <w:r>
              <w:rPr>
                <w:rFonts w:ascii="Arial" w:cs="Arial" w:eastAsia="Arial" w:hAnsi="Arial"/>
                <w:sz w:val="19"/>
                <w:szCs w:val="19"/>
                <w:u w:val="single" w:color="auto"/>
                <w:color w:val="auto"/>
              </w:rPr>
              <w:t>$</w:t>
            </w:r>
          </w:p>
        </w:tc>
        <w:tc>
          <w:tcPr>
            <w:tcW w:w="480" w:type="dxa"/>
            <w:vAlign w:val="bottom"/>
          </w:tcPr>
          <w:p>
            <w:pPr>
              <w:jc w:val="right"/>
              <w:spacing w:after="0" w:line="216" w:lineRule="exact"/>
              <w:rPr>
                <w:sz w:val="20"/>
                <w:szCs w:val="20"/>
                <w:color w:val="auto"/>
              </w:rPr>
            </w:pPr>
            <w:r>
              <w:rPr>
                <w:rFonts w:ascii="Arial" w:cs="Arial" w:eastAsia="Arial" w:hAnsi="Arial"/>
                <w:sz w:val="19"/>
                <w:szCs w:val="19"/>
                <w:color w:val="auto"/>
                <w:w w:val="99"/>
              </w:rPr>
              <w:t>(140)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right="140" w:firstLine="357"/>
        <w:spacing w:after="0" w:line="243" w:lineRule="auto"/>
        <w:rPr>
          <w:sz w:val="20"/>
          <w:szCs w:val="20"/>
          <w:color w:val="auto"/>
        </w:rPr>
      </w:pPr>
      <w:r>
        <w:rPr>
          <w:rFonts w:ascii="Arial" w:cs="Arial" w:eastAsia="Arial" w:hAnsi="Arial"/>
          <w:sz w:val="19"/>
          <w:szCs w:val="19"/>
          <w:color w:val="auto"/>
        </w:rPr>
        <w:t>The estimated prior service (credit) for pension benefits that will be amortized from Accumulated other comprehensive (income) loss into net periodic benefit (income) cost in 2018 are expected to be ($43) million and ($1) million for U.S. and non-U.S. pension plans.</w:t>
      </w: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center"/>
              <w:ind w:left="68"/>
              <w:spacing w:after="0" w:line="173" w:lineRule="exact"/>
              <w:rPr>
                <w:sz w:val="20"/>
                <w:szCs w:val="20"/>
                <w:color w:val="auto"/>
              </w:rPr>
            </w:pPr>
            <w:r>
              <w:rPr>
                <w:rFonts w:ascii="Arial" w:cs="Arial" w:eastAsia="Arial" w:hAnsi="Arial"/>
                <w:sz w:val="16"/>
                <w:szCs w:val="16"/>
                <w:b w:val="1"/>
                <w:bCs w:val="1"/>
                <w:color w:val="auto"/>
                <w:w w:val="99"/>
              </w:rPr>
              <w:t>Other Postretirement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center"/>
              <w:ind w:left="68"/>
              <w:spacing w:after="0" w:line="176" w:lineRule="exact"/>
              <w:rPr>
                <w:sz w:val="20"/>
                <w:szCs w:val="20"/>
                <w:color w:val="auto"/>
              </w:rPr>
            </w:pPr>
            <w:r>
              <w:rPr>
                <w:rFonts w:ascii="Arial" w:cs="Arial" w:eastAsia="Arial" w:hAnsi="Arial"/>
                <w:sz w:val="16"/>
                <w:szCs w:val="16"/>
                <w:b w:val="1"/>
                <w:bCs w:val="1"/>
                <w:color w:val="auto"/>
                <w:w w:val="97"/>
              </w:rPr>
              <w:t>Benefits Years Ended</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080" w:type="dxa"/>
            <w:vAlign w:val="bottom"/>
            <w:tcBorders>
              <w:bottom w:val="single" w:sz="8" w:color="auto"/>
            </w:tcBorders>
            <w:vMerge w:val="continue"/>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Service cost</w:t>
            </w:r>
          </w:p>
        </w:tc>
        <w:tc>
          <w:tcPr>
            <w:tcW w:w="4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E5FFFF"/>
          </w:tcPr>
          <w:p>
            <w:pPr>
              <w:jc w:val="right"/>
              <w:ind w:right="400"/>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w w:val="94"/>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9"/>
                <w:szCs w:val="19"/>
                <w:color w:val="auto"/>
              </w:rPr>
              <w:t>Interest cost</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20</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w w:val="94"/>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Amortization of prior service (credit)</w:t>
            </w:r>
          </w:p>
        </w:tc>
        <w:tc>
          <w:tcPr>
            <w:tcW w:w="42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3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9"/>
                <w:szCs w:val="19"/>
                <w:color w:val="auto"/>
              </w:rPr>
              <w:t>Recognition of actuarial losses</w:t>
            </w:r>
          </w:p>
        </w:tc>
        <w:tc>
          <w:tcPr>
            <w:tcW w:w="4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080" w:type="dxa"/>
            <w:vAlign w:val="bottom"/>
            <w:shd w:val="clear" w:color="auto" w:fill="E5FFFF"/>
          </w:tcPr>
          <w:p>
            <w:pPr>
              <w:spacing w:after="0"/>
              <w:rPr>
                <w:sz w:val="20"/>
                <w:szCs w:val="20"/>
                <w:color w:val="auto"/>
              </w:rPr>
            </w:pPr>
            <w:r>
              <w:rPr>
                <w:rFonts w:ascii="Arial" w:cs="Arial" w:eastAsia="Arial" w:hAnsi="Arial"/>
                <w:sz w:val="19"/>
                <w:szCs w:val="19"/>
                <w:color w:val="auto"/>
              </w:rPr>
              <w:t>Net periodic benefit (income) cost</w:t>
            </w:r>
          </w:p>
        </w:tc>
        <w:tc>
          <w:tcPr>
            <w:tcW w:w="4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w w:val="94"/>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280" w:type="dxa"/>
            <w:vAlign w:val="bottom"/>
            <w:vMerge w:val="restart"/>
          </w:tcPr>
          <w:p>
            <w:pPr>
              <w:jc w:val="right"/>
              <w:ind w:right="2943"/>
              <w:spacing w:after="0"/>
              <w:rPr>
                <w:sz w:val="20"/>
                <w:szCs w:val="20"/>
                <w:color w:val="auto"/>
              </w:rPr>
            </w:pPr>
            <w:r>
              <w:rPr>
                <w:rFonts w:ascii="Arial" w:cs="Arial" w:eastAsia="Arial" w:hAnsi="Arial"/>
                <w:sz w:val="19"/>
                <w:szCs w:val="19"/>
                <w:color w:val="auto"/>
              </w:rPr>
              <w:t>77</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Arial" w:cs="Arial" w:eastAsia="Arial" w:hAnsi="Arial"/>
                <w:sz w:val="16"/>
                <w:szCs w:val="16"/>
                <w:b w:val="1"/>
                <w:bCs w:val="1"/>
                <w:color w:val="auto"/>
              </w:rPr>
              <w:t>Other Changes in Plan Assets and Benefits Obligations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12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1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Recognized in Other Comprehensive (Income) Loss</w:t>
            </w:r>
          </w:p>
        </w:tc>
        <w:tc>
          <w:tcPr>
            <w:tcW w:w="3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2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2015</w:t>
            </w:r>
          </w:p>
        </w:tc>
      </w:tr>
      <w:tr>
        <w:trPr>
          <w:trHeight w:val="210"/>
        </w:trPr>
        <w:tc>
          <w:tcPr>
            <w:tcW w:w="81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Actuarial (gains) losses</w:t>
            </w:r>
          </w:p>
        </w:tc>
        <w:tc>
          <w:tcPr>
            <w:tcW w:w="46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(14)</w:t>
            </w:r>
          </w:p>
        </w:tc>
        <w:tc>
          <w:tcPr>
            <w:tcW w:w="46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(31)</w:t>
            </w:r>
          </w:p>
        </w:tc>
        <w:tc>
          <w:tcPr>
            <w:tcW w:w="48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(55)</w:t>
            </w:r>
          </w:p>
        </w:tc>
      </w:tr>
      <w:tr>
        <w:trPr>
          <w:trHeight w:val="243"/>
        </w:trPr>
        <w:tc>
          <w:tcPr>
            <w:tcW w:w="8140" w:type="dxa"/>
            <w:vAlign w:val="bottom"/>
          </w:tcPr>
          <w:p>
            <w:pPr>
              <w:spacing w:after="0"/>
              <w:rPr>
                <w:sz w:val="20"/>
                <w:szCs w:val="20"/>
                <w:color w:val="auto"/>
              </w:rPr>
            </w:pPr>
            <w:r>
              <w:rPr>
                <w:rFonts w:ascii="Arial" w:cs="Arial" w:eastAsia="Arial" w:hAnsi="Arial"/>
                <w:sz w:val="19"/>
                <w:szCs w:val="19"/>
                <w:color w:val="auto"/>
              </w:rPr>
              <w:t>Prior service cost (credit)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91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(290)</w:t>
            </w:r>
          </w:p>
        </w:tc>
      </w:tr>
      <w:tr>
        <w:trPr>
          <w:trHeight w:val="243"/>
        </w:trPr>
        <w:tc>
          <w:tcPr>
            <w:tcW w:w="8140" w:type="dxa"/>
            <w:vAlign w:val="bottom"/>
            <w:shd w:val="clear" w:color="auto" w:fill="E5FFFF"/>
          </w:tcPr>
          <w:p>
            <w:pPr>
              <w:spacing w:after="0"/>
              <w:rPr>
                <w:sz w:val="20"/>
                <w:szCs w:val="20"/>
                <w:color w:val="auto"/>
              </w:rPr>
            </w:pPr>
            <w:r>
              <w:rPr>
                <w:rFonts w:ascii="Arial" w:cs="Arial" w:eastAsia="Arial" w:hAnsi="Arial"/>
                <w:sz w:val="19"/>
                <w:szCs w:val="19"/>
                <w:color w:val="auto"/>
              </w:rPr>
              <w:t>Prior service credit recognized during year</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76</w:t>
            </w:r>
          </w:p>
        </w:tc>
        <w:tc>
          <w:tcPr>
            <w:tcW w:w="3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30</w:t>
            </w:r>
          </w:p>
        </w:tc>
      </w:tr>
      <w:tr>
        <w:trPr>
          <w:trHeight w:val="250"/>
        </w:trPr>
        <w:tc>
          <w:tcPr>
            <w:tcW w:w="8140" w:type="dxa"/>
            <w:vAlign w:val="bottom"/>
          </w:tcPr>
          <w:p>
            <w:pPr>
              <w:spacing w:after="0"/>
              <w:rPr>
                <w:sz w:val="20"/>
                <w:szCs w:val="20"/>
                <w:color w:val="auto"/>
              </w:rPr>
            </w:pPr>
            <w:r>
              <w:rPr>
                <w:rFonts w:ascii="Arial" w:cs="Arial" w:eastAsia="Arial" w:hAnsi="Arial"/>
                <w:sz w:val="19"/>
                <w:szCs w:val="19"/>
                <w:color w:val="auto"/>
              </w:rPr>
              <w:t>Actuarial losses recognized during year</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w:t>
            </w:r>
          </w:p>
        </w:tc>
      </w:tr>
      <w:tr>
        <w:trPr>
          <w:trHeight w:val="243"/>
        </w:trPr>
        <w:tc>
          <w:tcPr>
            <w:tcW w:w="81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34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(349)</w:t>
            </w: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tcPr>
          <w:p>
            <w:pPr>
              <w:ind w:left="360"/>
              <w:spacing w:after="0"/>
              <w:rPr>
                <w:sz w:val="20"/>
                <w:szCs w:val="20"/>
                <w:color w:val="auto"/>
              </w:rPr>
            </w:pPr>
            <w:r>
              <w:rPr>
                <w:rFonts w:ascii="Arial" w:cs="Arial" w:eastAsia="Arial" w:hAnsi="Arial"/>
                <w:sz w:val="19"/>
                <w:szCs w:val="19"/>
                <w:color w:val="auto"/>
              </w:rPr>
              <w:t>Total recognized in net periodic benefit cost and other comprehensive (income) loss</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20" w:type="dxa"/>
            <w:vAlign w:val="bottom"/>
          </w:tcPr>
          <w:p>
            <w:pPr>
              <w:jc w:val="right"/>
              <w:spacing w:after="0"/>
              <w:rPr>
                <w:sz w:val="20"/>
                <w:szCs w:val="20"/>
                <w:color w:val="auto"/>
              </w:rPr>
            </w:pPr>
            <w:r>
              <w:rPr>
                <w:rFonts w:ascii="Arial" w:cs="Arial" w:eastAsia="Arial" w:hAnsi="Arial"/>
                <w:sz w:val="19"/>
                <w:szCs w:val="19"/>
                <w:color w:val="auto"/>
              </w:rPr>
              <w:t>96</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16</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(312)</w:t>
            </w: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160" w:firstLine="357"/>
        <w:spacing w:after="0" w:line="253" w:lineRule="auto"/>
        <w:rPr>
          <w:sz w:val="20"/>
          <w:szCs w:val="20"/>
          <w:color w:val="auto"/>
        </w:rPr>
      </w:pPr>
      <w:r>
        <w:rPr>
          <w:rFonts w:ascii="Arial" w:cs="Arial" w:eastAsia="Arial" w:hAnsi="Arial"/>
          <w:sz w:val="19"/>
          <w:szCs w:val="19"/>
          <w:color w:val="auto"/>
        </w:rPr>
        <w:t>The estimated net loss and prior service (credit) for other postretirement benefits that will be amortized from Accumulated other comprehensive (income) loss into net periodic benefit (income) in 2018 are expected to be $9 million and ($52) million.</w:t>
      </w:r>
    </w:p>
    <w:p>
      <w:pPr>
        <w:spacing w:after="0" w:line="80" w:lineRule="exact"/>
        <w:rPr>
          <w:sz w:val="20"/>
          <w:szCs w:val="20"/>
          <w:color w:val="auto"/>
        </w:rPr>
      </w:pPr>
    </w:p>
    <w:p>
      <w:pPr>
        <w:ind w:right="140" w:firstLine="357"/>
        <w:spacing w:after="0" w:line="246" w:lineRule="auto"/>
        <w:rPr>
          <w:sz w:val="20"/>
          <w:szCs w:val="20"/>
          <w:color w:val="auto"/>
        </w:rPr>
      </w:pPr>
      <w:r>
        <w:rPr>
          <w:rFonts w:ascii="Arial" w:cs="Arial" w:eastAsia="Arial" w:hAnsi="Arial"/>
          <w:sz w:val="19"/>
          <w:szCs w:val="19"/>
          <w:color w:val="auto"/>
        </w:rPr>
        <w:t>Major actuarial assumptions used in determining the benefit obligations and net periodic benefit (income) cost for our significant benefit plans are presented in the following table as weighted averages.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Pension Benefits</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7"/>
              </w:rPr>
              <w:t>U.S. Plans</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6"/>
                <w:szCs w:val="16"/>
                <w:b w:val="1"/>
                <w:bCs w:val="1"/>
                <w:color w:val="auto"/>
              </w:rPr>
              <w:t>Non-U.S. Plans</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2017</w:t>
            </w:r>
          </w:p>
        </w:tc>
        <w:tc>
          <w:tcPr>
            <w:tcW w:w="940" w:type="dxa"/>
            <w:vAlign w:val="bottom"/>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4"/>
                <w:szCs w:val="14"/>
                <w:color w:val="auto"/>
              </w:rPr>
            </w:pPr>
          </w:p>
        </w:tc>
        <w:tc>
          <w:tcPr>
            <w:tcW w:w="900" w:type="dxa"/>
            <w:vAlign w:val="bottom"/>
            <w:gridSpan w:val="3"/>
          </w:tcPr>
          <w:p>
            <w:pPr>
              <w:jc w:val="right"/>
              <w:ind w:right="2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4"/>
                <w:szCs w:val="14"/>
                <w:color w:val="auto"/>
              </w:rPr>
            </w:pPr>
          </w:p>
        </w:tc>
      </w:tr>
      <w:tr>
        <w:trPr>
          <w:trHeight w:val="210"/>
        </w:trPr>
        <w:tc>
          <w:tcPr>
            <w:tcW w:w="6120" w:type="dxa"/>
            <w:vAlign w:val="bottom"/>
            <w:gridSpan w:val="2"/>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w:t>
            </w:r>
          </w:p>
        </w:tc>
        <w:tc>
          <w:tcPr>
            <w:tcW w:w="6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r>
      <w:tr>
        <w:trPr>
          <w:trHeight w:val="216"/>
        </w:trPr>
        <w:tc>
          <w:tcPr>
            <w:tcW w:w="612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December 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jc w:val="center"/>
              <w:spacing w:after="0"/>
              <w:rPr>
                <w:sz w:val="20"/>
                <w:szCs w:val="20"/>
                <w:color w:val="auto"/>
              </w:rPr>
            </w:pPr>
            <w:r>
              <w:rPr>
                <w:rFonts w:ascii="Arial" w:cs="Arial" w:eastAsia="Arial" w:hAnsi="Arial"/>
                <w:sz w:val="19"/>
                <w:szCs w:val="19"/>
                <w:color w:val="auto"/>
              </w:rPr>
              <w:t>3.68%</w:t>
            </w:r>
          </w:p>
        </w:tc>
        <w:tc>
          <w:tcPr>
            <w:tcW w:w="940" w:type="dxa"/>
            <w:vAlign w:val="bottom"/>
            <w:gridSpan w:val="2"/>
          </w:tcPr>
          <w:p>
            <w:pPr>
              <w:ind w:left="380"/>
              <w:spacing w:after="0"/>
              <w:rPr>
                <w:sz w:val="20"/>
                <w:szCs w:val="20"/>
                <w:color w:val="auto"/>
              </w:rPr>
            </w:pPr>
            <w:r>
              <w:rPr>
                <w:rFonts w:ascii="Arial" w:cs="Arial" w:eastAsia="Arial" w:hAnsi="Arial"/>
                <w:sz w:val="19"/>
                <w:szCs w:val="19"/>
                <w:color w:val="auto"/>
              </w:rPr>
              <w:t>4.20%</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4.46%</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2.36%</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2.51%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3.49%</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4.50%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4.48%</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0.73%</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2.17%</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2.11%</w:t>
            </w:r>
          </w:p>
        </w:tc>
        <w:tc>
          <w:tcPr>
            <w:tcW w:w="20" w:type="dxa"/>
            <w:vAlign w:val="bottom"/>
            <w:shd w:val="clear" w:color="auto" w:fill="E5FFFF"/>
          </w:tcPr>
          <w:p>
            <w:pPr>
              <w:spacing w:after="0"/>
              <w:rPr>
                <w:sz w:val="21"/>
                <w:szCs w:val="21"/>
                <w:color w:val="auto"/>
              </w:rPr>
            </w:pPr>
          </w:p>
        </w:tc>
      </w:tr>
      <w:tr>
        <w:trPr>
          <w:trHeight w:val="216"/>
        </w:trPr>
        <w:tc>
          <w:tcPr>
            <w:tcW w:w="6120" w:type="dxa"/>
            <w:vAlign w:val="bottom"/>
            <w:gridSpan w:val="2"/>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(income) cost for years ended December 31: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Discount rate—benefit obligation</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4.20%</w:t>
            </w:r>
          </w:p>
        </w:tc>
        <w:tc>
          <w:tcPr>
            <w:tcW w:w="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4.46%</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4.08%</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2.51%</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3.49%</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3.26%</w:t>
            </w:r>
          </w:p>
        </w:tc>
        <w:tc>
          <w:tcPr>
            <w:tcW w:w="20" w:type="dxa"/>
            <w:vAlign w:val="bottom"/>
            <w:shd w:val="clear" w:color="auto" w:fill="E5FFFF"/>
          </w:tcPr>
          <w:p>
            <w:pPr>
              <w:spacing w:after="0"/>
              <w:rPr>
                <w:sz w:val="21"/>
                <w:szCs w:val="21"/>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Discount rate—service cost</w:t>
            </w:r>
          </w:p>
        </w:tc>
        <w:tc>
          <w:tcPr>
            <w:tcW w:w="620" w:type="dxa"/>
            <w:vAlign w:val="bottom"/>
          </w:tcPr>
          <w:p>
            <w:pPr>
              <w:jc w:val="center"/>
              <w:spacing w:after="0"/>
              <w:rPr>
                <w:sz w:val="20"/>
                <w:szCs w:val="20"/>
                <w:color w:val="auto"/>
              </w:rPr>
            </w:pPr>
            <w:r>
              <w:rPr>
                <w:rFonts w:ascii="Arial" w:cs="Arial" w:eastAsia="Arial" w:hAnsi="Arial"/>
                <w:sz w:val="19"/>
                <w:szCs w:val="19"/>
                <w:color w:val="auto"/>
              </w:rPr>
              <w:t>4.42%</w:t>
            </w:r>
          </w:p>
        </w:tc>
        <w:tc>
          <w:tcPr>
            <w:tcW w:w="940" w:type="dxa"/>
            <w:vAlign w:val="bottom"/>
            <w:gridSpan w:val="2"/>
          </w:tcPr>
          <w:p>
            <w:pPr>
              <w:ind w:left="380"/>
              <w:spacing w:after="0"/>
              <w:rPr>
                <w:sz w:val="20"/>
                <w:szCs w:val="20"/>
                <w:color w:val="auto"/>
              </w:rPr>
            </w:pPr>
            <w:r>
              <w:rPr>
                <w:rFonts w:ascii="Arial" w:cs="Arial" w:eastAsia="Arial" w:hAnsi="Arial"/>
                <w:sz w:val="19"/>
                <w:szCs w:val="19"/>
                <w:color w:val="auto"/>
              </w:rPr>
              <w:t>4.69</w:t>
            </w:r>
          </w:p>
        </w:tc>
        <w:tc>
          <w:tcPr>
            <w:tcW w:w="300" w:type="dxa"/>
            <w:vAlign w:val="bottom"/>
          </w:tcPr>
          <w:p>
            <w:pPr>
              <w:spacing w:after="0"/>
              <w:rPr>
                <w:sz w:val="21"/>
                <w:szCs w:val="21"/>
                <w:color w:val="auto"/>
              </w:rPr>
            </w:pPr>
          </w:p>
        </w:tc>
        <w:tc>
          <w:tcPr>
            <w:tcW w:w="640" w:type="dxa"/>
            <w:vAlign w:val="bottom"/>
          </w:tcPr>
          <w:p>
            <w:pPr>
              <w:ind w:left="120"/>
              <w:spacing w:after="0"/>
              <w:rPr>
                <w:sz w:val="20"/>
                <w:szCs w:val="20"/>
                <w:color w:val="auto"/>
              </w:rPr>
            </w:pPr>
            <w:r>
              <w:rPr>
                <w:rFonts w:ascii="Arial" w:cs="Arial" w:eastAsia="Arial" w:hAnsi="Arial"/>
                <w:sz w:val="19"/>
                <w:szCs w:val="19"/>
                <w:color w:val="auto"/>
              </w:rPr>
              <w:t>N/A</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2.14%</w:t>
            </w:r>
          </w:p>
        </w:tc>
        <w:tc>
          <w:tcPr>
            <w:tcW w:w="900" w:type="dxa"/>
            <w:vAlign w:val="bottom"/>
            <w:gridSpan w:val="3"/>
          </w:tcPr>
          <w:p>
            <w:pPr>
              <w:jc w:val="right"/>
              <w:ind w:right="81"/>
              <w:spacing w:after="0"/>
              <w:rPr>
                <w:sz w:val="20"/>
                <w:szCs w:val="20"/>
                <w:color w:val="auto"/>
              </w:rPr>
            </w:pPr>
            <w:r>
              <w:rPr>
                <w:rFonts w:ascii="Arial" w:cs="Arial" w:eastAsia="Arial" w:hAnsi="Arial"/>
                <w:sz w:val="19"/>
                <w:szCs w:val="19"/>
                <w:color w:val="auto"/>
              </w:rPr>
              <w:t>2.92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2"/>
          </w:tcPr>
          <w:p>
            <w:pPr>
              <w:ind w:left="120"/>
              <w:spacing w:after="0"/>
              <w:rPr>
                <w:sz w:val="20"/>
                <w:szCs w:val="20"/>
                <w:color w:val="auto"/>
              </w:rPr>
            </w:pPr>
            <w:r>
              <w:rPr>
                <w:rFonts w:ascii="Arial" w:cs="Arial" w:eastAsia="Arial" w:hAnsi="Arial"/>
                <w:sz w:val="19"/>
                <w:szCs w:val="19"/>
                <w:color w:val="auto"/>
              </w:rPr>
              <w:t>N/A</w:t>
            </w: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Discount rate—interest cost</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3.49%</w:t>
            </w:r>
          </w:p>
        </w:tc>
        <w:tc>
          <w:tcPr>
            <w:tcW w:w="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3.59</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ind w:left="120"/>
              <w:spacing w:after="0"/>
              <w:rPr>
                <w:sz w:val="20"/>
                <w:szCs w:val="20"/>
                <w:color w:val="auto"/>
              </w:rPr>
            </w:pPr>
            <w:r>
              <w:rPr>
                <w:rFonts w:ascii="Arial" w:cs="Arial" w:eastAsia="Arial" w:hAnsi="Arial"/>
                <w:sz w:val="19"/>
                <w:szCs w:val="19"/>
                <w:color w:val="auto"/>
              </w:rPr>
              <w:t>N/A</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2.19%</w:t>
            </w:r>
          </w:p>
        </w:tc>
        <w:tc>
          <w:tcPr>
            <w:tcW w:w="900" w:type="dxa"/>
            <w:vAlign w:val="bottom"/>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3.07</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40" w:type="dxa"/>
            <w:vAlign w:val="bottom"/>
            <w:gridSpan w:val="2"/>
            <w:shd w:val="clear" w:color="auto" w:fill="E5FFFF"/>
          </w:tcPr>
          <w:p>
            <w:pPr>
              <w:ind w:left="120"/>
              <w:spacing w:after="0"/>
              <w:rPr>
                <w:sz w:val="20"/>
                <w:szCs w:val="20"/>
                <w:color w:val="auto"/>
              </w:rPr>
            </w:pPr>
            <w:r>
              <w:rPr>
                <w:rFonts w:ascii="Arial" w:cs="Arial" w:eastAsia="Arial" w:hAnsi="Arial"/>
                <w:sz w:val="19"/>
                <w:szCs w:val="19"/>
                <w:color w:val="auto"/>
              </w:rPr>
              <w:t>N/A</w:t>
            </w: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Expected rate of return on plan assets</w:t>
            </w:r>
          </w:p>
        </w:tc>
        <w:tc>
          <w:tcPr>
            <w:tcW w:w="620" w:type="dxa"/>
            <w:vAlign w:val="bottom"/>
          </w:tcPr>
          <w:p>
            <w:pPr>
              <w:jc w:val="center"/>
              <w:spacing w:after="0"/>
              <w:rPr>
                <w:sz w:val="20"/>
                <w:szCs w:val="20"/>
                <w:color w:val="auto"/>
              </w:rPr>
            </w:pPr>
            <w:r>
              <w:rPr>
                <w:rFonts w:ascii="Arial" w:cs="Arial" w:eastAsia="Arial" w:hAnsi="Arial"/>
                <w:sz w:val="19"/>
                <w:szCs w:val="19"/>
                <w:color w:val="auto"/>
              </w:rPr>
              <w:t>7.75%</w:t>
            </w:r>
          </w:p>
        </w:tc>
        <w:tc>
          <w:tcPr>
            <w:tcW w:w="940" w:type="dxa"/>
            <w:vAlign w:val="bottom"/>
            <w:gridSpan w:val="2"/>
          </w:tcPr>
          <w:p>
            <w:pPr>
              <w:ind w:left="380"/>
              <w:spacing w:after="0"/>
              <w:rPr>
                <w:sz w:val="20"/>
                <w:szCs w:val="20"/>
                <w:color w:val="auto"/>
              </w:rPr>
            </w:pPr>
            <w:r>
              <w:rPr>
                <w:rFonts w:ascii="Arial" w:cs="Arial" w:eastAsia="Arial" w:hAnsi="Arial"/>
                <w:sz w:val="19"/>
                <w:szCs w:val="19"/>
                <w:color w:val="auto"/>
              </w:rPr>
              <w:t>7.75%</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7.75%</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6.43%</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6.65%</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6.94%</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40" w:type="dxa"/>
            <w:vAlign w:val="bottom"/>
            <w:gridSpan w:val="2"/>
            <w:shd w:val="clear" w:color="auto" w:fill="E5FFFF"/>
          </w:tcPr>
          <w:p>
            <w:pPr>
              <w:ind w:left="380"/>
              <w:spacing w:after="0"/>
              <w:rPr>
                <w:sz w:val="20"/>
                <w:szCs w:val="20"/>
                <w:color w:val="auto"/>
              </w:rPr>
            </w:pPr>
            <w:r>
              <w:rPr>
                <w:rFonts w:ascii="Arial" w:cs="Arial" w:eastAsia="Arial" w:hAnsi="Arial"/>
                <w:sz w:val="19"/>
                <w:szCs w:val="19"/>
                <w:color w:val="auto"/>
              </w:rPr>
              <w:t>4.48%</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2.17%</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2.11%</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2.53%</w:t>
            </w:r>
          </w:p>
        </w:tc>
        <w:tc>
          <w:tcPr>
            <w:tcW w:w="20" w:type="dxa"/>
            <w:vAlign w:val="bottom"/>
            <w:shd w:val="clear" w:color="auto" w:fill="E5FFFF"/>
          </w:tcPr>
          <w:p>
            <w:pPr>
              <w:spacing w:after="0"/>
              <w:rPr>
                <w:sz w:val="21"/>
                <w:szCs w:val="21"/>
                <w:color w:val="auto"/>
              </w:rPr>
            </w:pPr>
          </w:p>
        </w:tc>
      </w:tr>
      <w:tr>
        <w:trPr>
          <w:trHeight w:val="188"/>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5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jc w:val="center"/>
              <w:ind w:right="80"/>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8"/>
              </w:rPr>
              <w:t>Benefits</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4"/>
                <w:szCs w:val="14"/>
                <w:color w:val="auto"/>
              </w:rPr>
            </w:pPr>
          </w:p>
        </w:tc>
        <w:tc>
          <w:tcPr>
            <w:tcW w:w="900" w:type="dxa"/>
            <w:vAlign w:val="bottom"/>
            <w:gridSpan w:val="3"/>
          </w:tcPr>
          <w:p>
            <w:pPr>
              <w:jc w:val="right"/>
              <w:ind w:right="8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2015</w:t>
            </w:r>
          </w:p>
        </w:tc>
        <w:tc>
          <w:tcPr>
            <w:tcW w:w="20" w:type="dxa"/>
            <w:vAlign w:val="bottom"/>
          </w:tcPr>
          <w:p>
            <w:pPr>
              <w:spacing w:after="0"/>
              <w:rPr>
                <w:sz w:val="14"/>
                <w:szCs w:val="14"/>
                <w:color w:val="auto"/>
              </w:rPr>
            </w:pPr>
          </w:p>
        </w:tc>
      </w:tr>
      <w:tr>
        <w:trPr>
          <w:trHeight w:val="210"/>
        </w:trPr>
        <w:tc>
          <w:tcPr>
            <w:tcW w:w="500" w:type="dxa"/>
            <w:vAlign w:val="bottom"/>
          </w:tcPr>
          <w:p>
            <w:pPr>
              <w:spacing w:after="0"/>
              <w:rPr>
                <w:sz w:val="18"/>
                <w:szCs w:val="18"/>
                <w:color w:val="auto"/>
              </w:rPr>
            </w:pPr>
          </w:p>
        </w:tc>
        <w:tc>
          <w:tcPr>
            <w:tcW w:w="7480" w:type="dxa"/>
            <w:vAlign w:val="bottom"/>
            <w:gridSpan w:val="5"/>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 December 31:</w:t>
            </w: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3.39%</w:t>
            </w:r>
          </w:p>
        </w:tc>
        <w:tc>
          <w:tcPr>
            <w:tcW w:w="60" w:type="dxa"/>
            <w:vAlign w:val="bottom"/>
          </w:tcPr>
          <w:p>
            <w:pPr>
              <w:spacing w:after="0"/>
              <w:rPr>
                <w:sz w:val="21"/>
                <w:szCs w:val="21"/>
                <w:color w:val="auto"/>
              </w:rPr>
            </w:pPr>
          </w:p>
        </w:tc>
        <w:tc>
          <w:tcPr>
            <w:tcW w:w="900" w:type="dxa"/>
            <w:vAlign w:val="bottom"/>
            <w:gridSpan w:val="3"/>
          </w:tcPr>
          <w:p>
            <w:pPr>
              <w:jc w:val="center"/>
              <w:ind w:left="209"/>
              <w:spacing w:after="0"/>
              <w:rPr>
                <w:sz w:val="20"/>
                <w:szCs w:val="20"/>
                <w:color w:val="auto"/>
              </w:rPr>
            </w:pPr>
            <w:r>
              <w:rPr>
                <w:rFonts w:ascii="Arial" w:cs="Arial" w:eastAsia="Arial" w:hAnsi="Arial"/>
                <w:sz w:val="19"/>
                <w:szCs w:val="19"/>
                <w:color w:val="auto"/>
              </w:rPr>
              <w:t>3.65%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3.80%</w:t>
            </w:r>
          </w:p>
        </w:tc>
        <w:tc>
          <w:tcPr>
            <w:tcW w:w="2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8120" w:type="dxa"/>
            <w:vAlign w:val="bottom"/>
            <w:gridSpan w:val="6"/>
            <w:shd w:val="clear" w:color="auto" w:fill="E5FFFF"/>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 cost for years ended December</w:t>
            </w: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500" w:type="dxa"/>
            <w:vAlign w:val="bottom"/>
          </w:tcPr>
          <w:p>
            <w:pPr>
              <w:spacing w:after="0"/>
              <w:rPr>
                <w:sz w:val="22"/>
                <w:szCs w:val="22"/>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rate(1)</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3.60%</w:t>
            </w:r>
          </w:p>
        </w:tc>
        <w:tc>
          <w:tcPr>
            <w:tcW w:w="60" w:type="dxa"/>
            <w:vAlign w:val="bottom"/>
          </w:tcPr>
          <w:p>
            <w:pPr>
              <w:spacing w:after="0"/>
              <w:rPr>
                <w:sz w:val="22"/>
                <w:szCs w:val="22"/>
                <w:color w:val="auto"/>
              </w:rPr>
            </w:pPr>
          </w:p>
        </w:tc>
        <w:tc>
          <w:tcPr>
            <w:tcW w:w="900" w:type="dxa"/>
            <w:vAlign w:val="bottom"/>
            <w:gridSpan w:val="3"/>
          </w:tcPr>
          <w:p>
            <w:pPr>
              <w:jc w:val="center"/>
              <w:ind w:left="209"/>
              <w:spacing w:after="0"/>
              <w:rPr>
                <w:sz w:val="20"/>
                <w:szCs w:val="20"/>
                <w:color w:val="auto"/>
              </w:rPr>
            </w:pPr>
            <w:r>
              <w:rPr>
                <w:rFonts w:ascii="Arial" w:cs="Arial" w:eastAsia="Arial" w:hAnsi="Arial"/>
                <w:sz w:val="19"/>
                <w:szCs w:val="19"/>
                <w:color w:val="auto"/>
              </w:rPr>
              <w:t>3.80%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3.45%</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right="780" w:hanging="338"/>
        <w:spacing w:after="0" w:line="253" w:lineRule="auto"/>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Discount rate was 3.65% for 1/1/17 through 2/28/17. Rate was changed to 3.60% for the remainder of 2017 due to Plan remeasurement as of 3/1/17.</w:t>
      </w:r>
    </w:p>
    <w:p>
      <w:pPr>
        <w:spacing w:after="0" w:line="80" w:lineRule="exact"/>
        <w:rPr>
          <w:sz w:val="20"/>
          <w:szCs w:val="20"/>
          <w:color w:val="auto"/>
        </w:rPr>
      </w:pPr>
    </w:p>
    <w:p>
      <w:pPr>
        <w:ind w:right="120" w:firstLine="357"/>
        <w:spacing w:after="0" w:line="242" w:lineRule="auto"/>
        <w:rPr>
          <w:sz w:val="20"/>
          <w:szCs w:val="20"/>
          <w:color w:val="auto"/>
        </w:rPr>
      </w:pPr>
      <w:r>
        <w:rPr>
          <w:rFonts w:ascii="Arial" w:cs="Arial" w:eastAsia="Arial" w:hAnsi="Arial"/>
          <w:sz w:val="19"/>
          <w:szCs w:val="19"/>
          <w:color w:val="auto"/>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right="360"/>
        <w:spacing w:after="0" w:line="245" w:lineRule="auto"/>
        <w:rPr>
          <w:sz w:val="20"/>
          <w:szCs w:val="20"/>
          <w:color w:val="auto"/>
        </w:rPr>
      </w:pPr>
      <w:r>
        <w:rPr>
          <w:rFonts w:ascii="Arial" w:cs="Arial" w:eastAsia="Arial" w:hAnsi="Arial"/>
          <w:sz w:val="19"/>
          <w:szCs w:val="19"/>
          <w:color w:val="auto"/>
        </w:rPr>
        <w:t>weighted-average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87" w:lineRule="exact"/>
        <w:rPr>
          <w:sz w:val="20"/>
          <w:szCs w:val="20"/>
          <w:color w:val="auto"/>
        </w:rPr>
      </w:pPr>
    </w:p>
    <w:p>
      <w:pPr>
        <w:ind w:firstLine="357"/>
        <w:spacing w:after="0" w:line="239" w:lineRule="auto"/>
        <w:rPr>
          <w:sz w:val="20"/>
          <w:szCs w:val="20"/>
          <w:color w:val="auto"/>
        </w:rPr>
      </w:pPr>
      <w:r>
        <w:rPr>
          <w:rFonts w:ascii="Arial" w:cs="Arial" w:eastAsia="Arial" w:hAnsi="Arial"/>
          <w:sz w:val="19"/>
          <w:szCs w:val="19"/>
          <w:color w:val="auto"/>
        </w:rPr>
        <w:t>During the fourth quarter of 2015 we changed the methodology used to estimate the service and interest cost components of net periodic benefit (income) cost for our significant pension plans. Previously, we estimated such cost components utilizing a single weighted -average discount rate derived from the yield curve used to measure the pension benefit obligation. The new methodology utilizes a full yield curve approach in the estimation of these cost components by applying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The change did not affect the measurement of our pension obligation and was applied prospectively as a change in estimate. For our U.S. pension plans, the single weighted average spot rates used to determine service and interest costs for 2018 are 3.77% and 3.27%.</w:t>
      </w:r>
    </w:p>
    <w:p>
      <w:pPr>
        <w:spacing w:after="0" w:line="95" w:lineRule="exact"/>
        <w:rPr>
          <w:sz w:val="20"/>
          <w:szCs w:val="20"/>
          <w:color w:val="auto"/>
        </w:rPr>
      </w:pPr>
    </w:p>
    <w:p>
      <w:pPr>
        <w:ind w:right="180" w:firstLine="357"/>
        <w:spacing w:after="0" w:line="245" w:lineRule="auto"/>
        <w:rPr>
          <w:sz w:val="20"/>
          <w:szCs w:val="20"/>
          <w:color w:val="auto"/>
        </w:rPr>
      </w:pPr>
      <w:r>
        <w:rPr>
          <w:rFonts w:ascii="Arial" w:cs="Arial" w:eastAsia="Arial" w:hAnsi="Arial"/>
          <w:sz w:val="19"/>
          <w:szCs w:val="19"/>
          <w:color w:val="auto"/>
        </w:rPr>
        <w:t>Our expected rate of return on U.S. plan assets of 7.75% is a long-term rate based on historical plan asset returns over varying long-term periods combined with current market conditions and broad asset mix considerations. We review the expected rate of return on an annual basis and revise it as appropriate.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non-U.S. benefit plans actuarial assumptions reflect economic and market factors relevant to each country.</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130" w:lineRule="exact"/>
        <w:rPr>
          <w:sz w:val="20"/>
          <w:szCs w:val="20"/>
          <w:color w:val="auto"/>
        </w:rPr>
      </w:pPr>
    </w:p>
    <w:p>
      <w:pPr>
        <w:ind w:right="380" w:firstLine="357"/>
        <w:spacing w:after="0" w:line="246" w:lineRule="auto"/>
        <w:rPr>
          <w:sz w:val="20"/>
          <w:szCs w:val="20"/>
          <w:color w:val="auto"/>
        </w:rPr>
      </w:pPr>
      <w:r>
        <w:rPr>
          <w:rFonts w:ascii="Arial" w:cs="Arial" w:eastAsia="Arial" w:hAnsi="Arial"/>
          <w:sz w:val="19"/>
          <w:szCs w:val="19"/>
          <w:color w:val="auto"/>
        </w:rPr>
        <w:t>The following amounts relate to our significant pension plans with accumulated benefit obligations exceeding the fair value of plan assets.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spacing w:after="0" w:line="169" w:lineRule="exact"/>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08"/>
              <w:spacing w:after="0" w:line="169" w:lineRule="exact"/>
              <w:rPr>
                <w:sz w:val="20"/>
                <w:szCs w:val="20"/>
                <w:color w:val="auto"/>
              </w:rPr>
            </w:pPr>
            <w:r>
              <w:rPr>
                <w:rFonts w:ascii="Arial" w:cs="Arial" w:eastAsia="Arial" w:hAnsi="Arial"/>
                <w:sz w:val="16"/>
                <w:szCs w:val="16"/>
                <w:b w:val="1"/>
                <w:bCs w:val="1"/>
                <w:color w:val="auto"/>
              </w:rPr>
              <w:t>Non-U.S. Plans</w:t>
            </w:r>
          </w:p>
        </w:tc>
      </w:tr>
      <w:tr>
        <w:trPr>
          <w:trHeight w:val="169"/>
        </w:trPr>
        <w:tc>
          <w:tcPr>
            <w:tcW w:w="6320" w:type="dxa"/>
            <w:vAlign w:val="bottom"/>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0"/>
              <w:spacing w:after="0" w:line="169" w:lineRule="exact"/>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2016</w:t>
            </w:r>
          </w:p>
        </w:tc>
      </w:tr>
      <w:tr>
        <w:trPr>
          <w:trHeight w:val="237"/>
        </w:trPr>
        <w:tc>
          <w:tcPr>
            <w:tcW w:w="6320" w:type="dxa"/>
            <w:vAlign w:val="bottom"/>
            <w:shd w:val="clear" w:color="auto" w:fill="E5FFFF"/>
          </w:tcPr>
          <w:p>
            <w:pPr>
              <w:spacing w:after="0"/>
              <w:rPr>
                <w:sz w:val="20"/>
                <w:szCs w:val="20"/>
                <w:color w:val="auto"/>
              </w:rPr>
            </w:pPr>
            <w:r>
              <w:rPr>
                <w:rFonts w:ascii="Arial" w:cs="Arial" w:eastAsia="Arial" w:hAnsi="Arial"/>
                <w:sz w:val="19"/>
                <w:szCs w:val="19"/>
                <w:color w:val="auto"/>
              </w:rPr>
              <w:t>Projected benefit obligation</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$ 371</w:t>
            </w:r>
          </w:p>
        </w:tc>
        <w:tc>
          <w:tcPr>
            <w:tcW w:w="5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ind w:left="80"/>
              <w:spacing w:after="0"/>
              <w:rPr>
                <w:sz w:val="20"/>
                <w:szCs w:val="20"/>
                <w:color w:val="auto"/>
              </w:rPr>
            </w:pPr>
            <w:r>
              <w:rPr>
                <w:rFonts w:ascii="Arial" w:cs="Arial" w:eastAsia="Arial" w:hAnsi="Arial"/>
                <w:sz w:val="19"/>
                <w:szCs w:val="19"/>
                <w:color w:val="auto"/>
              </w:rPr>
              <w:t>17,414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1,082</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2,294</w:t>
            </w:r>
          </w:p>
        </w:tc>
      </w:tr>
      <w:tr>
        <w:trPr>
          <w:trHeight w:val="243"/>
        </w:trPr>
        <w:tc>
          <w:tcPr>
            <w:tcW w:w="6320" w:type="dxa"/>
            <w:vAlign w:val="bottom"/>
          </w:tcPr>
          <w:p>
            <w:pPr>
              <w:spacing w:after="0"/>
              <w:rPr>
                <w:sz w:val="20"/>
                <w:szCs w:val="20"/>
                <w:color w:val="auto"/>
              </w:rPr>
            </w:pPr>
            <w:r>
              <w:rPr>
                <w:rFonts w:ascii="Arial" w:cs="Arial" w:eastAsia="Arial" w:hAnsi="Arial"/>
                <w:sz w:val="19"/>
                <w:szCs w:val="19"/>
                <w:color w:val="auto"/>
              </w:rPr>
              <w:t>Accumulated benefit obligation</w:t>
            </w:r>
          </w:p>
        </w:tc>
        <w:tc>
          <w:tcPr>
            <w:tcW w:w="520" w:type="dxa"/>
            <w:vAlign w:val="bottom"/>
          </w:tcPr>
          <w:p>
            <w:pPr>
              <w:jc w:val="right"/>
              <w:spacing w:after="0"/>
              <w:rPr>
                <w:sz w:val="20"/>
                <w:szCs w:val="20"/>
                <w:color w:val="auto"/>
              </w:rPr>
            </w:pPr>
            <w:r>
              <w:rPr>
                <w:rFonts w:ascii="Arial" w:cs="Arial" w:eastAsia="Arial" w:hAnsi="Arial"/>
                <w:sz w:val="19"/>
                <w:szCs w:val="19"/>
                <w:color w:val="auto"/>
              </w:rPr>
              <w:t>$ 360</w:t>
            </w:r>
          </w:p>
        </w:tc>
        <w:tc>
          <w:tcPr>
            <w:tcW w:w="580" w:type="dxa"/>
            <w:vAlign w:val="bottom"/>
            <w:gridSpan w:val="3"/>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tcPr>
          <w:p>
            <w:pPr>
              <w:ind w:left="80"/>
              <w:spacing w:after="0"/>
              <w:rPr>
                <w:sz w:val="20"/>
                <w:szCs w:val="20"/>
                <w:color w:val="auto"/>
              </w:rPr>
            </w:pPr>
            <w:r>
              <w:rPr>
                <w:rFonts w:ascii="Arial" w:cs="Arial" w:eastAsia="Arial" w:hAnsi="Arial"/>
                <w:sz w:val="19"/>
                <w:szCs w:val="19"/>
                <w:color w:val="auto"/>
              </w:rPr>
              <w:t>17,263</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1,018</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2,220</w:t>
            </w:r>
          </w:p>
        </w:tc>
      </w:tr>
      <w:tr>
        <w:trPr>
          <w:trHeight w:val="243"/>
        </w:trPr>
        <w:tc>
          <w:tcPr>
            <w:tcW w:w="6320" w:type="dxa"/>
            <w:vAlign w:val="bottom"/>
            <w:shd w:val="clear" w:color="auto" w:fill="E5FFFF"/>
          </w:tcPr>
          <w:p>
            <w:pPr>
              <w:spacing w:after="0"/>
              <w:rPr>
                <w:sz w:val="20"/>
                <w:szCs w:val="20"/>
                <w:color w:val="auto"/>
              </w:rPr>
            </w:pPr>
            <w:r>
              <w:rPr>
                <w:rFonts w:ascii="Arial" w:cs="Arial" w:eastAsia="Arial" w:hAnsi="Arial"/>
                <w:sz w:val="19"/>
                <w:szCs w:val="19"/>
                <w:color w:val="auto"/>
              </w:rPr>
              <w:t>Fair value of plan assets</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gridSpan w:val="3"/>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ind w:left="80"/>
              <w:spacing w:after="0"/>
              <w:rPr>
                <w:sz w:val="20"/>
                <w:szCs w:val="20"/>
                <w:color w:val="auto"/>
              </w:rPr>
            </w:pPr>
            <w:r>
              <w:rPr>
                <w:rFonts w:ascii="Arial" w:cs="Arial" w:eastAsia="Arial" w:hAnsi="Arial"/>
                <w:sz w:val="19"/>
                <w:szCs w:val="19"/>
                <w:color w:val="auto"/>
              </w:rPr>
              <w:t>16,814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269</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1,552</w:t>
            </w:r>
          </w:p>
        </w:tc>
      </w:tr>
    </w:tbl>
    <w:p>
      <w:pPr>
        <w:spacing w:after="0" w:line="108" w:lineRule="exact"/>
        <w:rPr>
          <w:sz w:val="20"/>
          <w:szCs w:val="20"/>
          <w:color w:val="auto"/>
        </w:rPr>
      </w:pPr>
    </w:p>
    <w:p>
      <w:pPr>
        <w:ind w:right="300" w:firstLine="357"/>
        <w:spacing w:after="0" w:line="253" w:lineRule="auto"/>
        <w:rPr>
          <w:sz w:val="20"/>
          <w:szCs w:val="20"/>
          <w:color w:val="auto"/>
        </w:rPr>
      </w:pPr>
      <w:r>
        <w:rPr>
          <w:rFonts w:ascii="Arial" w:cs="Arial" w:eastAsia="Arial" w:hAnsi="Arial"/>
          <w:sz w:val="19"/>
          <w:szCs w:val="19"/>
          <w:color w:val="auto"/>
        </w:rPr>
        <w:t>Accumulated benefit obligation for our U.S. defined benefit pension plans were $ 18.1 billion and $17.3 billion and for our Non-U.S. defined benefit pension plans were $6.9 billion and $6.4 billion at December 31, 2017 and 2016.</w:t>
      </w:r>
    </w:p>
    <w:p>
      <w:pPr>
        <w:spacing w:after="0" w:line="80" w:lineRule="exact"/>
        <w:rPr>
          <w:sz w:val="20"/>
          <w:szCs w:val="20"/>
          <w:color w:val="auto"/>
        </w:rPr>
      </w:pPr>
    </w:p>
    <w:p>
      <w:pPr>
        <w:ind w:right="100" w:firstLine="357"/>
        <w:spacing w:after="0" w:line="239" w:lineRule="auto"/>
        <w:rPr>
          <w:sz w:val="20"/>
          <w:szCs w:val="20"/>
          <w:color w:val="auto"/>
        </w:rPr>
      </w:pPr>
      <w:r>
        <w:rPr>
          <w:rFonts w:ascii="Arial" w:cs="Arial" w:eastAsia="Arial" w:hAnsi="Arial"/>
          <w:sz w:val="19"/>
          <w:szCs w:val="19"/>
          <w:color w:val="auto"/>
        </w:rPr>
        <w:t>Our asset investment strategy for our U.S. pension plans focuses on maintaining a diversified portfolio using various asset classes in order to achieve our long-term investment objectives on a risk adjusted basis. Our actual invested positions in various securities change over time based on short and longer-term investment opportunities. To achieve our objectives, we have established long-term target allocations as follows: 60%-70% equity securities, 10%-20% fixed income securities and cash, 5%-15%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93" w:lineRule="exact"/>
        <w:rPr>
          <w:sz w:val="20"/>
          <w:szCs w:val="20"/>
          <w:color w:val="auto"/>
        </w:rPr>
      </w:pPr>
    </w:p>
    <w:p>
      <w:pPr>
        <w:ind w:right="740" w:firstLine="357"/>
        <w:spacing w:after="0" w:line="253" w:lineRule="auto"/>
        <w:rPr>
          <w:sz w:val="20"/>
          <w:szCs w:val="20"/>
          <w:color w:val="auto"/>
        </w:rPr>
      </w:pPr>
      <w:r>
        <w:rPr>
          <w:rFonts w:ascii="Arial" w:cs="Arial" w:eastAsia="Arial" w:hAnsi="Arial"/>
          <w:sz w:val="19"/>
          <w:szCs w:val="19"/>
          <w:color w:val="auto"/>
        </w:rPr>
        <w:t>Our non-U.S. pension assets are typically managed by decentralized fiduciary committees with the Honeywell Corporate Investments group providing funding and investment guidance. Our non-U.S.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auto"/>
        </w:rPr>
        <w:t>investment policies are different for each country as local regulations, funding requirements, and financial and tax considerations are part of the funding and investment allocation process in each country.</w:t>
      </w:r>
    </w:p>
    <w:p>
      <w:pPr>
        <w:spacing w:after="0" w:line="80" w:lineRule="exact"/>
        <w:rPr>
          <w:sz w:val="20"/>
          <w:szCs w:val="20"/>
          <w:color w:val="auto"/>
        </w:rPr>
      </w:pPr>
    </w:p>
    <w:p>
      <w:pPr>
        <w:ind w:right="220" w:firstLine="357"/>
        <w:spacing w:after="0" w:line="242" w:lineRule="auto"/>
        <w:rPr>
          <w:sz w:val="20"/>
          <w:szCs w:val="20"/>
          <w:color w:val="auto"/>
        </w:rPr>
      </w:pPr>
      <w:r>
        <w:rPr>
          <w:rFonts w:ascii="Arial" w:cs="Arial" w:eastAsia="Arial" w:hAnsi="Arial"/>
          <w:sz w:val="19"/>
          <w:szCs w:val="19"/>
          <w:color w:val="auto"/>
        </w:rPr>
        <w:t>In accordance with ASU 2015-07, “Fair Value Measurement (Topic 820)”,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fair values of both our U.S. and non-U.S. pension plans assets by asset category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Plans</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44"/>
              <w:spacing w:after="0" w:line="169" w:lineRule="exact"/>
              <w:rPr>
                <w:sz w:val="20"/>
                <w:szCs w:val="20"/>
                <w:color w:val="auto"/>
              </w:rPr>
            </w:pPr>
            <w:r>
              <w:rPr>
                <w:rFonts w:ascii="Arial" w:cs="Arial" w:eastAsia="Arial" w:hAnsi="Arial"/>
                <w:sz w:val="16"/>
                <w:szCs w:val="16"/>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6"/>
                <w:szCs w:val="16"/>
                <w:b w:val="1"/>
                <w:bCs w:val="1"/>
                <w:color w:val="auto"/>
                <w:w w:val="99"/>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2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76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2,832</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2,832</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equities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3,573</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3,573</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Non-U.S. equities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2,631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2,618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265</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265</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919</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428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428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5,052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5,052</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742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742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752</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597</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597</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17,799</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10,207</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6,243</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1,349</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2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Hedge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Commingled Funds</w:t>
            </w:r>
          </w:p>
        </w:tc>
        <w:tc>
          <w:tcPr>
            <w:tcW w:w="2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27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18,985</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60" w:type="dxa"/>
            <w:vAlign w:val="bottom"/>
            <w:vMerge w:val="restart"/>
          </w:tcPr>
          <w:p>
            <w:pPr>
              <w:jc w:val="right"/>
              <w:ind w:right="1083"/>
              <w:spacing w:after="0"/>
              <w:rPr>
                <w:sz w:val="20"/>
                <w:szCs w:val="20"/>
                <w:color w:val="auto"/>
              </w:rPr>
            </w:pPr>
            <w:r>
              <w:rPr>
                <w:rFonts w:ascii="Arial" w:cs="Arial" w:eastAsia="Arial" w:hAnsi="Arial"/>
                <w:sz w:val="19"/>
                <w:szCs w:val="19"/>
                <w:color w:val="auto"/>
              </w:rPr>
              <w:t>80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w w:val="97"/>
              </w:rPr>
              <w:t>U.S. Plans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ind w:left="40"/>
              <w:spacing w:after="0" w:line="169" w:lineRule="exact"/>
              <w:rPr>
                <w:sz w:val="20"/>
                <w:szCs w:val="20"/>
                <w:color w:val="auto"/>
              </w:rPr>
            </w:pPr>
            <w:r>
              <w:rPr>
                <w:rFonts w:ascii="Arial" w:cs="Arial" w:eastAsia="Arial" w:hAnsi="Arial"/>
                <w:sz w:val="16"/>
                <w:szCs w:val="16"/>
                <w:b w:val="1"/>
                <w:bCs w:val="1"/>
                <w:color w:val="auto"/>
              </w:rPr>
              <w:t>December 31, 2016</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5"/>
          </w:tcPr>
          <w:p>
            <w:pPr>
              <w:ind w:left="80"/>
              <w:spacing w:after="0" w:line="169"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960" w:type="dxa"/>
            <w:vAlign w:val="bottom"/>
            <w:gridSpan w:val="5"/>
          </w:tcPr>
          <w:p>
            <w:pPr>
              <w:spacing w:after="0" w:line="169"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4"/>
                <w:szCs w:val="14"/>
                <w:color w:val="auto"/>
              </w:rPr>
            </w:pPr>
          </w:p>
        </w:tc>
        <w:tc>
          <w:tcPr>
            <w:tcW w:w="1020" w:type="dxa"/>
            <w:vAlign w:val="bottom"/>
            <w:gridSpan w:val="4"/>
          </w:tcPr>
          <w:p>
            <w:pPr>
              <w:ind w:left="40"/>
              <w:spacing w:after="0" w:line="169"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4"/>
                <w:szCs w:val="14"/>
                <w:color w:val="auto"/>
              </w:rPr>
            </w:pPr>
          </w:p>
        </w:tc>
        <w:tc>
          <w:tcPr>
            <w:tcW w:w="740" w:type="dxa"/>
            <w:vAlign w:val="bottom"/>
            <w:gridSpan w:val="2"/>
          </w:tcPr>
          <w:p>
            <w:pPr>
              <w:jc w:val="right"/>
              <w:ind w:right="6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2700" w:type="dxa"/>
            <w:vAlign w:val="bottom"/>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9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gridSpan w:val="3"/>
          </w:tcPr>
          <w:p>
            <w:pPr>
              <w:jc w:val="right"/>
              <w:spacing w:after="0"/>
              <w:rPr>
                <w:sz w:val="20"/>
                <w:szCs w:val="20"/>
                <w:color w:val="auto"/>
              </w:rPr>
            </w:pPr>
            <w:r>
              <w:rPr>
                <w:rFonts w:ascii="Arial" w:cs="Arial" w:eastAsia="Arial" w:hAnsi="Arial"/>
                <w:sz w:val="19"/>
                <w:szCs w:val="19"/>
                <w:color w:val="auto"/>
              </w:rPr>
              <w:t>2,140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2,140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2"/>
          </w:tcPr>
          <w:p>
            <w:pPr>
              <w:jc w:val="right"/>
              <w:ind w:right="21"/>
              <w:spacing w:after="0"/>
              <w:rPr>
                <w:sz w:val="20"/>
                <w:szCs w:val="20"/>
                <w:color w:val="auto"/>
              </w:rPr>
            </w:pPr>
            <w:r>
              <w:rPr>
                <w:rFonts w:ascii="Arial" w:cs="Arial" w:eastAsia="Arial" w:hAnsi="Arial"/>
                <w:sz w:val="19"/>
                <w:szCs w:val="19"/>
                <w:color w:val="auto"/>
                <w:w w:val="94"/>
              </w:rPr>
              <w:t>$</w:t>
            </w:r>
          </w:p>
        </w:tc>
        <w:tc>
          <w:tcPr>
            <w:tcW w:w="900" w:type="dxa"/>
            <w:vAlign w:val="bottom"/>
            <w:gridSpan w:val="3"/>
          </w:tcPr>
          <w:p>
            <w:pPr>
              <w:jc w:val="right"/>
              <w:ind w:right="380"/>
              <w:spacing w:after="0"/>
              <w:rPr>
                <w:sz w:val="20"/>
                <w:szCs w:val="20"/>
                <w:color w:val="auto"/>
              </w:rPr>
            </w:pPr>
            <w:r>
              <w:rPr>
                <w:rFonts w:ascii="Arial" w:cs="Arial" w:eastAsia="Arial" w:hAnsi="Arial"/>
                <w:sz w:val="19"/>
                <w:szCs w:val="19"/>
                <w:color w:val="auto"/>
              </w:rPr>
              <w:t>—</w:t>
            </w:r>
          </w:p>
        </w:tc>
        <w:tc>
          <w:tcPr>
            <w:tcW w:w="260" w:type="dxa"/>
            <w:vAlign w:val="bottom"/>
            <w:gridSpan w:val="2"/>
          </w:tcPr>
          <w:p>
            <w:pPr>
              <w:jc w:val="right"/>
              <w:ind w:right="61"/>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equities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3,583</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3,583</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Non-U.S. equities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9"/>
                <w:szCs w:val="19"/>
                <w:color w:val="auto"/>
              </w:rPr>
              <w:t>2,069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2,037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1,306</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1,306</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305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305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4,366</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4,366</w:t>
            </w: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617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609</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38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609</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664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664</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700" w:type="dxa"/>
            <w:vAlign w:val="bottom"/>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spacing w:after="0"/>
              <w:rPr>
                <w:sz w:val="21"/>
                <w:szCs w:val="21"/>
                <w:color w:val="auto"/>
              </w:rPr>
            </w:pPr>
          </w:p>
        </w:tc>
        <w:tc>
          <w:tcPr>
            <w:tcW w:w="7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15,869</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9,269</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5,327</w:t>
            </w: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E5FFFF"/>
          </w:tcPr>
          <w:p>
            <w:pPr>
              <w:jc w:val="right"/>
              <w:ind w:right="61"/>
              <w:spacing w:after="0"/>
              <w:rPr>
                <w:sz w:val="20"/>
                <w:szCs w:val="20"/>
                <w:color w:val="auto"/>
              </w:rPr>
            </w:pPr>
            <w:r>
              <w:rPr>
                <w:rFonts w:ascii="Arial" w:cs="Arial" w:eastAsia="Arial" w:hAnsi="Arial"/>
                <w:sz w:val="19"/>
                <w:szCs w:val="19"/>
                <w:color w:val="auto"/>
                <w:w w:val="94"/>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1,273</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815</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9"/>
                <w:szCs w:val="19"/>
                <w:color w:val="auto"/>
              </w:rPr>
              <w:t>110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Hedge funds</w:t>
            </w:r>
          </w:p>
        </w:tc>
        <w:tc>
          <w:tcPr>
            <w:tcW w:w="270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0"/>
                <w:szCs w:val="20"/>
                <w:color w:val="auto"/>
              </w:rPr>
            </w:pPr>
            <w:r>
              <w:rPr>
                <w:rFonts w:ascii="Arial" w:cs="Arial" w:eastAsia="Arial" w:hAnsi="Arial"/>
                <w:sz w:val="19"/>
                <w:szCs w:val="19"/>
                <w:color w:val="auto"/>
              </w:rPr>
              <w:t>Total assets at fair value</w:t>
            </w:r>
          </w:p>
        </w:tc>
        <w:tc>
          <w:tcPr>
            <w:tcW w:w="29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gridSpan w:val="3"/>
          </w:tcPr>
          <w:p>
            <w:pPr>
              <w:jc w:val="right"/>
              <w:spacing w:after="0"/>
              <w:rPr>
                <w:sz w:val="20"/>
                <w:szCs w:val="20"/>
                <w:color w:val="auto"/>
              </w:rPr>
            </w:pPr>
            <w:r>
              <w:rPr>
                <w:rFonts w:ascii="Arial" w:cs="Arial" w:eastAsia="Arial" w:hAnsi="Arial"/>
                <w:sz w:val="19"/>
                <w:szCs w:val="19"/>
                <w:color w:val="auto"/>
              </w:rPr>
              <w:t>16,814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8"/>
            <w:vMerge w:val="restart"/>
          </w:tcPr>
          <w:p>
            <w:pPr>
              <w:ind w:left="180"/>
              <w:spacing w:after="0"/>
              <w:rPr>
                <w:sz w:val="20"/>
                <w:szCs w:val="20"/>
                <w:color w:val="auto"/>
              </w:rPr>
            </w:pPr>
            <w:r>
              <w:rPr>
                <w:rFonts w:ascii="Arial" w:cs="Arial" w:eastAsia="Arial" w:hAnsi="Arial"/>
                <w:sz w:val="16"/>
                <w:szCs w:val="16"/>
                <w:b w:val="1"/>
                <w:bCs w:val="1"/>
                <w:color w:val="auto"/>
              </w:rPr>
              <w:t>Non-U.S. Plans</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8"/>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ind w:left="40"/>
              <w:spacing w:after="0" w:line="169" w:lineRule="exact"/>
              <w:rPr>
                <w:sz w:val="20"/>
                <w:szCs w:val="20"/>
                <w:color w:val="auto"/>
              </w:rPr>
            </w:pPr>
            <w:r>
              <w:rPr>
                <w:rFonts w:ascii="Arial" w:cs="Arial" w:eastAsia="Arial" w:hAnsi="Arial"/>
                <w:sz w:val="16"/>
                <w:szCs w:val="16"/>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ind w:left="40"/>
              <w:spacing w:after="0" w:line="169"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100"/>
              <w:spacing w:after="0" w:line="169" w:lineRule="exact"/>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4"/>
                <w:szCs w:val="14"/>
                <w:color w:val="auto"/>
              </w:rPr>
            </w:pPr>
          </w:p>
        </w:tc>
        <w:tc>
          <w:tcPr>
            <w:tcW w:w="740" w:type="dxa"/>
            <w:vAlign w:val="bottom"/>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27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auto"/>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equities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573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Arial" w:cs="Arial" w:eastAsia="Arial" w:hAnsi="Arial"/>
                <w:sz w:val="19"/>
                <w:szCs w:val="19"/>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9"/>
                <w:szCs w:val="19"/>
                <w:color w:val="auto"/>
              </w:rPr>
              <w:t>420</w:t>
            </w:r>
          </w:p>
        </w:tc>
        <w:tc>
          <w:tcPr>
            <w:tcW w:w="22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Arial" w:cs="Arial" w:eastAsia="Arial" w:hAnsi="Arial"/>
                <w:sz w:val="19"/>
                <w:szCs w:val="19"/>
                <w:color w:val="auto"/>
                <w:w w:val="94"/>
              </w:rPr>
              <w:t>$</w:t>
            </w: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153</w:t>
            </w:r>
          </w:p>
        </w:tc>
        <w:tc>
          <w:tcPr>
            <w:tcW w:w="2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equities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2,801</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2,702</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238</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238</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28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1,685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1,685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1,364</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0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1,364</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9"/>
                <w:szCs w:val="19"/>
                <w:color w:val="auto"/>
              </w:rPr>
              <w:t>47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157</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0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157</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52</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300"/>
              <w:spacing w:after="0"/>
              <w:rPr>
                <w:sz w:val="20"/>
                <w:szCs w:val="20"/>
                <w:color w:val="auto"/>
              </w:rPr>
            </w:pPr>
            <w:r>
              <w:rPr>
                <w:rFonts w:ascii="Arial" w:cs="Arial" w:eastAsia="Arial" w:hAnsi="Arial"/>
                <w:sz w:val="19"/>
                <w:szCs w:val="19"/>
                <w:color w:val="auto"/>
              </w:rPr>
              <w:t>—</w:t>
            </w: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149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149</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7,066</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80" w:type="dxa"/>
            <w:vAlign w:val="bottom"/>
            <w:gridSpan w:val="2"/>
            <w:shd w:val="clear" w:color="auto" w:fill="E5FFFF"/>
          </w:tcPr>
          <w:p>
            <w:pPr>
              <w:ind w:left="40"/>
              <w:spacing w:after="0"/>
              <w:rPr>
                <w:sz w:val="20"/>
                <w:szCs w:val="20"/>
                <w:color w:val="auto"/>
              </w:rPr>
            </w:pPr>
            <w:r>
              <w:rPr>
                <w:rFonts w:ascii="Arial" w:cs="Arial" w:eastAsia="Arial" w:hAnsi="Arial"/>
                <w:sz w:val="19"/>
                <w:szCs w:val="19"/>
                <w:color w:val="auto"/>
              </w:rPr>
              <w:t>$</w:t>
            </w:r>
          </w:p>
        </w:tc>
        <w:tc>
          <w:tcPr>
            <w:tcW w:w="5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757</w:t>
            </w:r>
          </w:p>
        </w:tc>
        <w:tc>
          <w:tcPr>
            <w:tcW w:w="220" w:type="dxa"/>
            <w:vAlign w:val="bottom"/>
            <w:shd w:val="clear" w:color="auto" w:fill="E5FFFF"/>
          </w:tcPr>
          <w:p>
            <w:pPr>
              <w:spacing w:after="0"/>
              <w:rPr>
                <w:sz w:val="21"/>
                <w:szCs w:val="21"/>
                <w:color w:val="auto"/>
              </w:rPr>
            </w:pPr>
          </w:p>
        </w:tc>
        <w:tc>
          <w:tcPr>
            <w:tcW w:w="220" w:type="dxa"/>
            <w:vAlign w:val="bottom"/>
            <w:gridSpan w:val="2"/>
            <w:shd w:val="clear" w:color="auto" w:fill="E5FFFF"/>
          </w:tcPr>
          <w:p>
            <w:pPr>
              <w:ind w:left="100"/>
              <w:spacing w:after="0"/>
              <w:rPr>
                <w:sz w:val="20"/>
                <w:szCs w:val="20"/>
                <w:color w:val="auto"/>
              </w:rPr>
            </w:pPr>
            <w:r>
              <w:rPr>
                <w:rFonts w:ascii="Arial" w:cs="Arial" w:eastAsia="Arial" w:hAnsi="Arial"/>
                <w:sz w:val="19"/>
                <w:szCs w:val="19"/>
                <w:color w:val="auto"/>
                <w:w w:val="94"/>
              </w:rPr>
              <w:t>$</w:t>
            </w:r>
          </w:p>
        </w:tc>
        <w:tc>
          <w:tcPr>
            <w:tcW w:w="6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6,129</w:t>
            </w:r>
          </w:p>
        </w:tc>
        <w:tc>
          <w:tcPr>
            <w:tcW w:w="22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29</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56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27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7,151</w:t>
            </w:r>
          </w:p>
        </w:tc>
        <w:tc>
          <w:tcPr>
            <w:tcW w:w="1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700" w:type="dxa"/>
            <w:vAlign w:val="bottom"/>
            <w:vMerge w:val="restart"/>
          </w:tcPr>
          <w:p>
            <w:pPr>
              <w:jc w:val="right"/>
              <w:ind w:right="1223"/>
              <w:spacing w:after="0"/>
              <w:rPr>
                <w:sz w:val="20"/>
                <w:szCs w:val="20"/>
                <w:color w:val="auto"/>
              </w:rPr>
            </w:pPr>
            <w:r>
              <w:rPr>
                <w:rFonts w:ascii="Arial" w:cs="Arial" w:eastAsia="Arial" w:hAnsi="Arial"/>
                <w:sz w:val="19"/>
                <w:szCs w:val="19"/>
                <w:color w:val="auto"/>
              </w:rPr>
              <w:t>81</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7"/>
          </w:tcPr>
          <w:p>
            <w:pPr>
              <w:jc w:val="right"/>
              <w:ind w:right="263"/>
              <w:spacing w:after="0"/>
              <w:rPr>
                <w:sz w:val="20"/>
                <w:szCs w:val="20"/>
                <w:color w:val="auto"/>
              </w:rPr>
            </w:pPr>
            <w:r>
              <w:rPr>
                <w:rFonts w:ascii="Arial" w:cs="Arial" w:eastAsia="Arial" w:hAnsi="Arial"/>
                <w:sz w:val="16"/>
                <w:szCs w:val="16"/>
                <w:b w:val="1"/>
                <w:bCs w:val="1"/>
                <w:color w:val="auto"/>
              </w:rPr>
              <w:t>Non-U.S. Plans</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right"/>
              <w:ind w:right="123"/>
              <w:spacing w:after="0" w:line="169" w:lineRule="exact"/>
              <w:rPr>
                <w:sz w:val="20"/>
                <w:szCs w:val="20"/>
                <w:color w:val="auto"/>
              </w:rPr>
            </w:pPr>
            <w:r>
              <w:rPr>
                <w:rFonts w:ascii="Arial" w:cs="Arial" w:eastAsia="Arial" w:hAnsi="Arial"/>
                <w:sz w:val="16"/>
                <w:szCs w:val="16"/>
                <w:b w:val="1"/>
                <w:bCs w:val="1"/>
                <w:color w:val="auto"/>
              </w:rPr>
              <w:t>December 31, 2016</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69"/>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81"/>
              <w:spacing w:after="0" w:line="169" w:lineRule="exact"/>
              <w:rPr>
                <w:sz w:val="20"/>
                <w:szCs w:val="20"/>
                <w:color w:val="auto"/>
              </w:rPr>
            </w:pPr>
            <w:r>
              <w:rPr>
                <w:rFonts w:ascii="Arial" w:cs="Arial" w:eastAsia="Arial" w:hAnsi="Arial"/>
                <w:sz w:val="16"/>
                <w:szCs w:val="16"/>
                <w:b w:val="1"/>
                <w:bCs w:val="1"/>
                <w:color w:val="auto"/>
                <w:w w:val="99"/>
              </w:rPr>
              <w:t>Total</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100"/>
              <w:spacing w:after="0" w:line="169" w:lineRule="exact"/>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43"/>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r>
      <w:tr>
        <w:trPr>
          <w:trHeight w:val="210"/>
        </w:trPr>
        <w:tc>
          <w:tcPr>
            <w:tcW w:w="65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Equities:</w:t>
            </w:r>
          </w:p>
        </w:tc>
        <w:tc>
          <w:tcPr>
            <w:tcW w:w="14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r>
      <w:tr>
        <w:trPr>
          <w:trHeight w:val="243"/>
        </w:trPr>
        <w:tc>
          <w:tcPr>
            <w:tcW w:w="6500" w:type="dxa"/>
            <w:vAlign w:val="bottom"/>
          </w:tcPr>
          <w:p>
            <w:pPr>
              <w:ind w:left="360"/>
              <w:spacing w:after="0"/>
              <w:rPr>
                <w:sz w:val="20"/>
                <w:szCs w:val="20"/>
                <w:color w:val="auto"/>
              </w:rPr>
            </w:pPr>
            <w:r>
              <w:rPr>
                <w:rFonts w:ascii="Arial" w:cs="Arial" w:eastAsia="Arial" w:hAnsi="Arial"/>
                <w:sz w:val="19"/>
                <w:szCs w:val="19"/>
                <w:color w:val="auto"/>
              </w:rPr>
              <w:t>U.S. equities</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650</w:t>
            </w:r>
          </w:p>
        </w:tc>
        <w:tc>
          <w:tcPr>
            <w:tcW w:w="480" w:type="dxa"/>
            <w:vAlign w:val="bottom"/>
            <w:gridSpan w:val="3"/>
          </w:tcPr>
          <w:p>
            <w:pPr>
              <w:jc w:val="center"/>
              <w:ind w:left="268"/>
              <w:spacing w:after="0"/>
              <w:rPr>
                <w:sz w:val="20"/>
                <w:szCs w:val="20"/>
                <w:color w:val="auto"/>
              </w:rPr>
            </w:pPr>
            <w:r>
              <w:rPr>
                <w:rFonts w:ascii="Arial" w:cs="Arial" w:eastAsia="Arial" w:hAnsi="Arial"/>
                <w:sz w:val="19"/>
                <w:szCs w:val="19"/>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525</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125</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equities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2,153</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219</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1,934</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9"/>
                <w:szCs w:val="19"/>
                <w:color w:val="auto"/>
              </w:rPr>
              <w:t>Fixed income: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146</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146</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1,530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1,530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1,220</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1,220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9"/>
                <w:szCs w:val="19"/>
                <w:color w:val="auto"/>
              </w:rPr>
              <w:t>18</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18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152</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152</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19</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w:t>
            </w:r>
          </w:p>
        </w:tc>
      </w:tr>
      <w:tr>
        <w:trPr>
          <w:trHeight w:val="250"/>
        </w:trPr>
        <w:tc>
          <w:tcPr>
            <w:tcW w:w="650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124</w:t>
            </w: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6,035</w:t>
            </w:r>
          </w:p>
        </w:tc>
        <w:tc>
          <w:tcPr>
            <w:tcW w:w="480" w:type="dxa"/>
            <w:vAlign w:val="bottom"/>
            <w:gridSpan w:val="3"/>
            <w:shd w:val="clear" w:color="auto" w:fill="E5FFFF"/>
          </w:tcPr>
          <w:p>
            <w:pPr>
              <w:jc w:val="center"/>
              <w:ind w:left="268"/>
              <w:spacing w:after="0"/>
              <w:rPr>
                <w:sz w:val="20"/>
                <w:szCs w:val="20"/>
                <w:color w:val="auto"/>
              </w:rPr>
            </w:pPr>
            <w:r>
              <w:rPr>
                <w:rFonts w:ascii="Arial" w:cs="Arial" w:eastAsia="Arial" w:hAnsi="Arial"/>
                <w:sz w:val="19"/>
                <w:szCs w:val="19"/>
                <w:color w:val="auto"/>
              </w:rPr>
              <w:t>$</w:t>
            </w:r>
          </w:p>
        </w:tc>
        <w:tc>
          <w:tcPr>
            <w:tcW w:w="5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890</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4,998</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w:t>
            </w:r>
          </w:p>
        </w:tc>
      </w:tr>
      <w:tr>
        <w:trPr>
          <w:trHeight w:val="223"/>
        </w:trPr>
        <w:tc>
          <w:tcPr>
            <w:tcW w:w="6500" w:type="dxa"/>
            <w:vAlign w:val="bottom"/>
          </w:tcPr>
          <w:p>
            <w:pPr>
              <w:spacing w:after="0"/>
              <w:rPr>
                <w:sz w:val="20"/>
                <w:szCs w:val="20"/>
                <w:color w:val="auto"/>
              </w:rPr>
            </w:pPr>
            <w:r>
              <w:rPr>
                <w:rFonts w:ascii="Arial" w:cs="Arial" w:eastAsia="Arial" w:hAnsi="Arial"/>
                <w:sz w:val="19"/>
                <w:szCs w:val="19"/>
                <w:color w:val="auto"/>
              </w:rPr>
              <w:t>Investments measured at NAV:</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r>
      <w:tr>
        <w:trPr>
          <w:trHeight w:val="250"/>
        </w:trPr>
        <w:tc>
          <w:tcPr>
            <w:tcW w:w="6500" w:type="dxa"/>
            <w:vAlign w:val="bottom"/>
          </w:tcPr>
          <w:p>
            <w:pPr>
              <w:ind w:left="360"/>
              <w:spacing w:after="0"/>
              <w:rPr>
                <w:sz w:val="20"/>
                <w:szCs w:val="20"/>
                <w:color w:val="auto"/>
              </w:rPr>
            </w:pPr>
            <w:r>
              <w:rPr>
                <w:rFonts w:ascii="Arial" w:cs="Arial" w:eastAsia="Arial" w:hAnsi="Arial"/>
                <w:sz w:val="19"/>
                <w:szCs w:val="19"/>
                <w:color w:val="auto"/>
              </w:rPr>
              <w:t>Real estate funds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52</w:t>
            </w: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Total assets at fair value</w:t>
            </w:r>
          </w:p>
        </w:tc>
        <w:tc>
          <w:tcPr>
            <w:tcW w:w="14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6,120</w:t>
            </w:r>
          </w:p>
        </w:tc>
        <w:tc>
          <w:tcPr>
            <w:tcW w:w="4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r>
      <w:tr>
        <w:trPr>
          <w:trHeight w:val="20"/>
        </w:trPr>
        <w:tc>
          <w:tcPr>
            <w:tcW w:w="7440" w:type="dxa"/>
            <w:vAlign w:val="bottom"/>
            <w:gridSpan w:val="3"/>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1"/>
        </w:trPr>
        <w:tc>
          <w:tcPr>
            <w:tcW w:w="10360" w:type="dxa"/>
            <w:vAlign w:val="bottom"/>
            <w:gridSpan w:val="17"/>
          </w:tcPr>
          <w:p>
            <w:pPr>
              <w:ind w:left="360"/>
              <w:spacing w:after="0"/>
              <w:rPr>
                <w:sz w:val="20"/>
                <w:szCs w:val="20"/>
                <w:color w:val="auto"/>
              </w:rPr>
            </w:pPr>
            <w:r>
              <w:rPr>
                <w:rFonts w:ascii="Arial" w:cs="Arial" w:eastAsia="Arial" w:hAnsi="Arial"/>
                <w:sz w:val="19"/>
                <w:szCs w:val="19"/>
                <w:color w:val="auto"/>
              </w:rPr>
              <w:t>The following table summarizes changes in the fair value of Level 3 assets for both U.S. and Non-U.S. plans: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0"/>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8"/>
          </w:tcPr>
          <w:p>
            <w:pPr>
              <w:ind w:left="780"/>
              <w:spacing w:after="0"/>
              <w:rPr>
                <w:sz w:val="20"/>
                <w:szCs w:val="20"/>
                <w:color w:val="auto"/>
              </w:rPr>
            </w:pPr>
            <w:r>
              <w:rPr>
                <w:rFonts w:ascii="Arial" w:cs="Arial" w:eastAsia="Arial" w:hAnsi="Arial"/>
                <w:sz w:val="16"/>
                <w:szCs w:val="16"/>
                <w:b w:val="1"/>
                <w:bCs w:val="1"/>
                <w:color w:val="auto"/>
              </w:rPr>
              <w:t>U.S. Plans</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center"/>
              <w:ind w:right="163"/>
              <w:spacing w:after="0"/>
              <w:rPr>
                <w:sz w:val="20"/>
                <w:szCs w:val="20"/>
                <w:color w:val="auto"/>
              </w:rPr>
            </w:pPr>
            <w:r>
              <w:rPr>
                <w:rFonts w:ascii="Arial" w:cs="Arial" w:eastAsia="Arial" w:hAnsi="Arial"/>
                <w:sz w:val="16"/>
                <w:szCs w:val="16"/>
                <w:b w:val="1"/>
                <w:bCs w:val="1"/>
                <w:color w:val="auto"/>
                <w:w w:val="97"/>
              </w:rPr>
              <w:t>Non-U.S. Plans</w:t>
            </w:r>
          </w:p>
        </w:tc>
      </w:tr>
      <w:tr>
        <w:trPr>
          <w:trHeight w:val="155"/>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3"/>
              <w:spacing w:after="0" w:line="155" w:lineRule="exact"/>
              <w:rPr>
                <w:sz w:val="20"/>
                <w:szCs w:val="20"/>
                <w:color w:val="auto"/>
              </w:rPr>
            </w:pPr>
            <w:r>
              <w:rPr>
                <w:rFonts w:ascii="Arial" w:cs="Arial" w:eastAsia="Arial" w:hAnsi="Arial"/>
                <w:sz w:val="16"/>
                <w:szCs w:val="16"/>
                <w:b w:val="1"/>
                <w:bCs w:val="1"/>
                <w:color w:val="auto"/>
              </w:rPr>
              <w:t>Direct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43"/>
              <w:spacing w:after="0" w:line="176" w:lineRule="exact"/>
              <w:rPr>
                <w:sz w:val="20"/>
                <w:szCs w:val="20"/>
                <w:color w:val="auto"/>
              </w:rPr>
            </w:pPr>
            <w:r>
              <w:rPr>
                <w:rFonts w:ascii="Arial" w:cs="Arial" w:eastAsia="Arial" w:hAnsi="Arial"/>
                <w:sz w:val="16"/>
                <w:szCs w:val="16"/>
                <w:b w:val="1"/>
                <w:bCs w:val="1"/>
                <w:color w:val="auto"/>
              </w:rPr>
              <w:t>Private</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6"/>
          </w:tcPr>
          <w:p>
            <w:pPr>
              <w:jc w:val="center"/>
              <w:ind w:right="120"/>
              <w:spacing w:after="0" w:line="176" w:lineRule="exact"/>
              <w:rPr>
                <w:sz w:val="20"/>
                <w:szCs w:val="20"/>
                <w:color w:val="auto"/>
              </w:rPr>
            </w:pPr>
            <w:r>
              <w:rPr>
                <w:rFonts w:ascii="Arial" w:cs="Arial" w:eastAsia="Arial" w:hAnsi="Arial"/>
                <w:sz w:val="16"/>
                <w:szCs w:val="16"/>
                <w:b w:val="1"/>
                <w:bCs w:val="1"/>
                <w:color w:val="auto"/>
                <w:w w:val="97"/>
              </w:rPr>
              <w:t>Real Estate</w:t>
            </w:r>
          </w:p>
        </w:tc>
        <w:tc>
          <w:tcPr>
            <w:tcW w:w="180" w:type="dxa"/>
            <w:vAlign w:val="bottom"/>
          </w:tcPr>
          <w:p>
            <w:pPr>
              <w:spacing w:after="0"/>
              <w:rPr>
                <w:sz w:val="15"/>
                <w:szCs w:val="15"/>
                <w:color w:val="auto"/>
              </w:rPr>
            </w:pPr>
          </w:p>
        </w:tc>
        <w:tc>
          <w:tcPr>
            <w:tcW w:w="940" w:type="dxa"/>
            <w:vAlign w:val="bottom"/>
            <w:gridSpan w:val="4"/>
          </w:tcPr>
          <w:p>
            <w:pPr>
              <w:jc w:val="right"/>
              <w:ind w:right="263"/>
              <w:spacing w:after="0" w:line="176" w:lineRule="exact"/>
              <w:rPr>
                <w:sz w:val="20"/>
                <w:szCs w:val="20"/>
                <w:color w:val="auto"/>
              </w:rPr>
            </w:pPr>
            <w:r>
              <w:rPr>
                <w:rFonts w:ascii="Arial" w:cs="Arial" w:eastAsia="Arial" w:hAnsi="Arial"/>
                <w:sz w:val="16"/>
                <w:szCs w:val="16"/>
                <w:b w:val="1"/>
                <w:bCs w:val="1"/>
                <w:color w:val="auto"/>
              </w:rPr>
              <w:t>Private</w:t>
            </w:r>
          </w:p>
        </w:tc>
        <w:tc>
          <w:tcPr>
            <w:tcW w:w="1060" w:type="dxa"/>
            <w:vAlign w:val="bottom"/>
            <w:gridSpan w:val="3"/>
          </w:tcPr>
          <w:p>
            <w:pPr>
              <w:jc w:val="right"/>
              <w:ind w:right="3"/>
              <w:spacing w:after="0" w:line="176" w:lineRule="exact"/>
              <w:rPr>
                <w:sz w:val="20"/>
                <w:szCs w:val="20"/>
                <w:color w:val="auto"/>
              </w:rPr>
            </w:pPr>
            <w:r>
              <w:rPr>
                <w:rFonts w:ascii="Arial" w:cs="Arial" w:eastAsia="Arial" w:hAnsi="Arial"/>
                <w:sz w:val="16"/>
                <w:szCs w:val="16"/>
                <w:b w:val="1"/>
                <w:bCs w:val="1"/>
                <w:color w:val="auto"/>
              </w:rPr>
              <w:t>Real Estate</w:t>
            </w:r>
          </w:p>
        </w:tc>
      </w:tr>
      <w:tr>
        <w:trPr>
          <w:trHeight w:val="190"/>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8"/>
              </w:rPr>
              <w:t>Investments</w:t>
            </w:r>
          </w:p>
        </w:tc>
        <w:tc>
          <w:tcPr>
            <w:tcW w:w="1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4"/>
          </w:tcPr>
          <w:p>
            <w:pPr>
              <w:jc w:val="center"/>
              <w:ind w:right="65"/>
              <w:spacing w:after="0"/>
              <w:rPr>
                <w:sz w:val="20"/>
                <w:szCs w:val="20"/>
                <w:color w:val="auto"/>
              </w:rPr>
            </w:pPr>
            <w:r>
              <w:rPr>
                <w:rFonts w:ascii="Arial" w:cs="Arial" w:eastAsia="Arial" w:hAnsi="Arial"/>
                <w:sz w:val="16"/>
                <w:szCs w:val="16"/>
                <w:b w:val="1"/>
                <w:bCs w:val="1"/>
                <w:color w:val="auto"/>
                <w:w w:val="98"/>
              </w:rPr>
              <w:t>Properties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Funds</w:t>
            </w:r>
          </w:p>
        </w:tc>
        <w:tc>
          <w:tcPr>
            <w:tcW w:w="300" w:type="dxa"/>
            <w:vAlign w:val="bottom"/>
          </w:tcPr>
          <w:p>
            <w:pPr>
              <w:spacing w:after="0"/>
              <w:rPr>
                <w:sz w:val="16"/>
                <w:szCs w:val="16"/>
                <w:color w:val="auto"/>
              </w:rPr>
            </w:pPr>
          </w:p>
        </w:tc>
        <w:tc>
          <w:tcPr>
            <w:tcW w:w="10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6"/>
                <w:szCs w:val="16"/>
                <w:b w:val="1"/>
                <w:bCs w:val="1"/>
                <w:color w:val="auto"/>
              </w:rPr>
              <w:t>Funds</w:t>
            </w:r>
          </w:p>
        </w:tc>
      </w:tr>
      <w:tr>
        <w:trPr>
          <w:trHeight w:val="237"/>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2015</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535</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w w:val="94"/>
              </w:rPr>
              <w:t>626</w:t>
            </w:r>
          </w:p>
        </w:tc>
        <w:tc>
          <w:tcPr>
            <w:tcW w:w="120" w:type="dxa"/>
            <w:vAlign w:val="bottom"/>
            <w:shd w:val="clear" w:color="auto" w:fill="E5FFFF"/>
          </w:tcPr>
          <w:p>
            <w:pPr>
              <w:spacing w:after="0"/>
              <w:rPr>
                <w:sz w:val="20"/>
                <w:szCs w:val="20"/>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0"/>
                <w:szCs w:val="20"/>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0"/>
                <w:szCs w:val="20"/>
                <w:color w:val="auto"/>
              </w:rPr>
            </w:pPr>
          </w:p>
        </w:tc>
        <w:tc>
          <w:tcPr>
            <w:tcW w:w="320" w:type="dxa"/>
            <w:vAlign w:val="bottom"/>
            <w:shd w:val="clear" w:color="auto" w:fill="E5FFFF"/>
          </w:tcPr>
          <w:p>
            <w:pPr>
              <w:jc w:val="center"/>
              <w:ind w:right="109"/>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0"/>
                <w:szCs w:val="20"/>
                <w:color w:val="auto"/>
              </w:rPr>
            </w:pPr>
          </w:p>
        </w:tc>
        <w:tc>
          <w:tcPr>
            <w:tcW w:w="5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152</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11</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(22)</w:t>
            </w:r>
          </w:p>
        </w:tc>
      </w:tr>
      <w:tr>
        <w:trPr>
          <w:trHeight w:val="243"/>
        </w:trPr>
        <w:tc>
          <w:tcPr>
            <w:tcW w:w="650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980" w:type="dxa"/>
            <w:vAlign w:val="bottom"/>
            <w:gridSpan w:val="2"/>
          </w:tcPr>
          <w:p>
            <w:pPr>
              <w:jc w:val="right"/>
              <w:ind w:right="3"/>
              <w:spacing w:after="0"/>
              <w:rPr>
                <w:sz w:val="20"/>
                <w:szCs w:val="20"/>
                <w:color w:val="auto"/>
              </w:rPr>
            </w:pPr>
            <w:r>
              <w:rPr>
                <w:rFonts w:ascii="Arial" w:cs="Arial" w:eastAsia="Arial" w:hAnsi="Arial"/>
                <w:sz w:val="19"/>
                <w:szCs w:val="19"/>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45"/>
              <w:spacing w:after="0"/>
              <w:rPr>
                <w:sz w:val="20"/>
                <w:szCs w:val="20"/>
                <w:color w:val="auto"/>
              </w:rPr>
            </w:pPr>
            <w:r>
              <w:rPr>
                <w:rFonts w:ascii="Arial" w:cs="Arial" w:eastAsia="Arial" w:hAnsi="Arial"/>
                <w:sz w:val="19"/>
                <w:szCs w:val="19"/>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32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3"/>
              <w:spacing w:after="0"/>
              <w:rPr>
                <w:sz w:val="20"/>
                <w:szCs w:val="20"/>
                <w:color w:val="auto"/>
              </w:rPr>
            </w:pPr>
            <w:r>
              <w:rPr>
                <w:rFonts w:ascii="Arial" w:cs="Arial" w:eastAsia="Arial" w:hAnsi="Arial"/>
                <w:sz w:val="19"/>
                <w:szCs w:val="19"/>
                <w:color w:val="auto"/>
              </w:rPr>
              <w:t>(1)</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141</w:t>
            </w:r>
          </w:p>
        </w:tc>
        <w:tc>
          <w:tcPr>
            <w:tcW w:w="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48</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12</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w:t>
            </w:r>
          </w:p>
        </w:tc>
      </w:tr>
      <w:tr>
        <w:trPr>
          <w:trHeight w:val="250"/>
        </w:trPr>
        <w:tc>
          <w:tcPr>
            <w:tcW w:w="650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32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3"/>
              <w:spacing w:after="0"/>
              <w:rPr>
                <w:sz w:val="20"/>
                <w:szCs w:val="20"/>
                <w:color w:val="auto"/>
              </w:rPr>
            </w:pPr>
            <w:r>
              <w:rPr>
                <w:rFonts w:ascii="Arial" w:cs="Arial" w:eastAsia="Arial" w:hAnsi="Arial"/>
                <w:sz w:val="19"/>
                <w:szCs w:val="19"/>
                <w:color w:val="auto"/>
              </w:rPr>
              <w:t>(5)</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2016</w:t>
            </w:r>
          </w:p>
        </w:tc>
        <w:tc>
          <w:tcPr>
            <w:tcW w:w="140" w:type="dxa"/>
            <w:vAlign w:val="bottom"/>
            <w:tcBorders>
              <w:top w:val="single" w:sz="8" w:color="auto"/>
            </w:tcBorders>
            <w:shd w:val="clear" w:color="auto" w:fill="E5FFFF"/>
          </w:tcPr>
          <w:p>
            <w:pPr>
              <w:spacing w:after="0"/>
              <w:rPr>
                <w:sz w:val="21"/>
                <w:szCs w:val="21"/>
                <w:color w:val="auto"/>
              </w:rPr>
            </w:pPr>
          </w:p>
        </w:tc>
        <w:tc>
          <w:tcPr>
            <w:tcW w:w="980" w:type="dxa"/>
            <w:vAlign w:val="bottom"/>
            <w:tcBorders>
              <w:top w:val="single" w:sz="8" w:color="auto"/>
            </w:tcBorders>
            <w:gridSpan w:val="2"/>
            <w:shd w:val="clear" w:color="auto" w:fill="E5FFFF"/>
          </w:tcPr>
          <w:p>
            <w:pPr>
              <w:jc w:val="right"/>
              <w:ind w:right="3"/>
              <w:spacing w:after="0"/>
              <w:rPr>
                <w:sz w:val="20"/>
                <w:szCs w:val="20"/>
                <w:color w:val="auto"/>
              </w:rPr>
            </w:pPr>
            <w:r>
              <w:rPr>
                <w:rFonts w:ascii="Arial" w:cs="Arial" w:eastAsia="Arial" w:hAnsi="Arial"/>
                <w:sz w:val="19"/>
                <w:szCs w:val="19"/>
                <w:color w:val="auto"/>
              </w:rPr>
              <w:t>609</w:t>
            </w:r>
          </w:p>
        </w:tc>
        <w:tc>
          <w:tcPr>
            <w:tcW w:w="100" w:type="dxa"/>
            <w:vAlign w:val="bottom"/>
            <w:tcBorders>
              <w:top w:val="single" w:sz="8" w:color="auto"/>
            </w:tcBorders>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tcBorders>
              <w:top w:val="single" w:sz="8" w:color="auto"/>
            </w:tcBorders>
            <w:shd w:val="clear" w:color="auto" w:fill="E5FFFF"/>
          </w:tcPr>
          <w:p>
            <w:pPr>
              <w:spacing w:after="0"/>
              <w:rPr>
                <w:sz w:val="21"/>
                <w:szCs w:val="21"/>
                <w:color w:val="auto"/>
              </w:rPr>
            </w:pPr>
          </w:p>
        </w:tc>
        <w:tc>
          <w:tcPr>
            <w:tcW w:w="40" w:type="dxa"/>
            <w:vAlign w:val="bottom"/>
            <w:tcBorders>
              <w:top w:val="single" w:sz="8" w:color="auto"/>
            </w:tcBorders>
            <w:shd w:val="clear" w:color="auto" w:fill="E5FFFF"/>
          </w:tcPr>
          <w:p>
            <w:pPr>
              <w:spacing w:after="0"/>
              <w:rPr>
                <w:sz w:val="21"/>
                <w:szCs w:val="21"/>
                <w:color w:val="auto"/>
              </w:rPr>
            </w:pPr>
          </w:p>
        </w:tc>
        <w:tc>
          <w:tcPr>
            <w:tcW w:w="300" w:type="dxa"/>
            <w:vAlign w:val="bottom"/>
            <w:tcBorders>
              <w:top w:val="single" w:sz="8" w:color="auto"/>
            </w:tcBorders>
            <w:shd w:val="clear" w:color="auto" w:fill="E5FFFF"/>
          </w:tcPr>
          <w:p>
            <w:pPr>
              <w:spacing w:after="0"/>
              <w:rPr>
                <w:sz w:val="21"/>
                <w:szCs w:val="21"/>
                <w:color w:val="auto"/>
              </w:rPr>
            </w:pPr>
          </w:p>
        </w:tc>
        <w:tc>
          <w:tcPr>
            <w:tcW w:w="140" w:type="dxa"/>
            <w:vAlign w:val="bottom"/>
            <w:tcBorders>
              <w:top w:val="single" w:sz="8" w:color="auto"/>
            </w:tcBorders>
            <w:shd w:val="clear" w:color="auto" w:fill="E5FFFF"/>
          </w:tcPr>
          <w:p>
            <w:pPr>
              <w:spacing w:after="0"/>
              <w:rPr>
                <w:sz w:val="21"/>
                <w:szCs w:val="21"/>
                <w:color w:val="auto"/>
              </w:rPr>
            </w:pPr>
          </w:p>
        </w:tc>
        <w:tc>
          <w:tcPr>
            <w:tcW w:w="460" w:type="dxa"/>
            <w:vAlign w:val="bottom"/>
            <w:tcBorders>
              <w:top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w w:val="94"/>
              </w:rPr>
              <w:t>664</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tcBorders>
              <w:top w:val="single" w:sz="8" w:color="auto"/>
            </w:tcBorders>
            <w:shd w:val="clear" w:color="auto" w:fill="E5FFFF"/>
          </w:tcPr>
          <w:p>
            <w:pPr>
              <w:spacing w:after="0"/>
              <w:rPr>
                <w:sz w:val="21"/>
                <w:szCs w:val="21"/>
                <w:color w:val="auto"/>
              </w:rPr>
            </w:pPr>
          </w:p>
        </w:tc>
        <w:tc>
          <w:tcPr>
            <w:tcW w:w="120" w:type="dxa"/>
            <w:vAlign w:val="bottom"/>
            <w:tcBorders>
              <w:top w:val="single" w:sz="8" w:color="auto"/>
            </w:tcBorders>
            <w:shd w:val="clear" w:color="auto" w:fill="E5FFFF"/>
          </w:tcPr>
          <w:p>
            <w:pPr>
              <w:spacing w:after="0"/>
              <w:rPr>
                <w:sz w:val="21"/>
                <w:szCs w:val="21"/>
                <w:color w:val="auto"/>
              </w:rPr>
            </w:pPr>
          </w:p>
        </w:tc>
        <w:tc>
          <w:tcPr>
            <w:tcW w:w="380" w:type="dxa"/>
            <w:vAlign w:val="bottom"/>
            <w:tcBorders>
              <w:top w:val="single" w:sz="8" w:color="auto"/>
            </w:tcBorders>
            <w:shd w:val="clear" w:color="auto" w:fill="E5FFFF"/>
          </w:tcPr>
          <w:p>
            <w:pPr>
              <w:jc w:val="right"/>
              <w:ind w:right="25"/>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1"/>
                <w:szCs w:val="21"/>
                <w:color w:val="auto"/>
              </w:rPr>
            </w:pPr>
          </w:p>
        </w:tc>
        <w:tc>
          <w:tcPr>
            <w:tcW w:w="320" w:type="dxa"/>
            <w:vAlign w:val="bottom"/>
            <w:tcBorders>
              <w:top w:val="single" w:sz="8" w:color="auto"/>
            </w:tcBorders>
            <w:shd w:val="clear" w:color="auto" w:fill="E5FFFF"/>
          </w:tcPr>
          <w:p>
            <w:pPr>
              <w:spacing w:after="0"/>
              <w:rPr>
                <w:sz w:val="21"/>
                <w:szCs w:val="21"/>
                <w:color w:val="auto"/>
              </w:rPr>
            </w:pPr>
          </w:p>
        </w:tc>
        <w:tc>
          <w:tcPr>
            <w:tcW w:w="180" w:type="dxa"/>
            <w:vAlign w:val="bottom"/>
            <w:tcBorders>
              <w:top w:val="single" w:sz="8" w:color="auto"/>
            </w:tcBorders>
            <w:shd w:val="clear" w:color="auto" w:fill="E5FFFF"/>
          </w:tcPr>
          <w:p>
            <w:pPr>
              <w:spacing w:after="0"/>
              <w:rPr>
                <w:sz w:val="21"/>
                <w:szCs w:val="21"/>
                <w:color w:val="auto"/>
              </w:rPr>
            </w:pPr>
          </w:p>
        </w:tc>
        <w:tc>
          <w:tcPr>
            <w:tcW w:w="56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124</w:t>
            </w:r>
          </w:p>
        </w:tc>
      </w:tr>
      <w:tr>
        <w:trPr>
          <w:trHeight w:val="216"/>
        </w:trPr>
        <w:tc>
          <w:tcPr>
            <w:tcW w:w="650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3"/>
        </w:trPr>
        <w:tc>
          <w:tcPr>
            <w:tcW w:w="65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33</w:t>
            </w:r>
          </w:p>
        </w:tc>
        <w:tc>
          <w:tcPr>
            <w:tcW w:w="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2</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26</w:t>
            </w:r>
          </w:p>
        </w:tc>
      </w:tr>
      <w:tr>
        <w:trPr>
          <w:trHeight w:val="243"/>
        </w:trPr>
        <w:tc>
          <w:tcPr>
            <w:tcW w:w="650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980" w:type="dxa"/>
            <w:vAlign w:val="bottom"/>
            <w:gridSpan w:val="2"/>
          </w:tcPr>
          <w:p>
            <w:pPr>
              <w:jc w:val="right"/>
              <w:ind w:right="3"/>
              <w:spacing w:after="0"/>
              <w:rPr>
                <w:sz w:val="20"/>
                <w:szCs w:val="20"/>
                <w:color w:val="auto"/>
              </w:rPr>
            </w:pPr>
            <w:r>
              <w:rPr>
                <w:rFonts w:ascii="Arial" w:cs="Arial" w:eastAsia="Arial" w:hAnsi="Arial"/>
                <w:sz w:val="19"/>
                <w:szCs w:val="19"/>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jc w:val="right"/>
              <w:ind w:right="45"/>
              <w:spacing w:after="0"/>
              <w:rPr>
                <w:sz w:val="20"/>
                <w:szCs w:val="20"/>
                <w:color w:val="auto"/>
              </w:rPr>
            </w:pPr>
            <w:r>
              <w:rPr>
                <w:rFonts w:ascii="Arial" w:cs="Arial" w:eastAsia="Arial" w:hAnsi="Arial"/>
                <w:sz w:val="19"/>
                <w:szCs w:val="19"/>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323"/>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63"/>
              <w:spacing w:after="0"/>
              <w:rPr>
                <w:sz w:val="20"/>
                <w:szCs w:val="20"/>
                <w:color w:val="auto"/>
              </w:rPr>
            </w:pPr>
            <w:r>
              <w:rPr>
                <w:rFonts w:ascii="Arial" w:cs="Arial" w:eastAsia="Arial" w:hAnsi="Arial"/>
                <w:sz w:val="19"/>
                <w:szCs w:val="19"/>
                <w:color w:val="auto"/>
              </w:rPr>
              <w:t>—</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148</w:t>
            </w:r>
          </w:p>
        </w:tc>
        <w:tc>
          <w:tcPr>
            <w:tcW w:w="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18</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6</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w:t>
            </w:r>
          </w:p>
        </w:tc>
      </w:tr>
      <w:tr>
        <w:trPr>
          <w:trHeight w:val="250"/>
        </w:trPr>
        <w:tc>
          <w:tcPr>
            <w:tcW w:w="650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(89)</w:t>
            </w:r>
          </w:p>
        </w:tc>
        <w:tc>
          <w:tcPr>
            <w:tcW w:w="1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(1)</w:t>
            </w:r>
          </w:p>
        </w:tc>
      </w:tr>
      <w:tr>
        <w:trPr>
          <w:trHeight w:val="243"/>
        </w:trPr>
        <w:tc>
          <w:tcPr>
            <w:tcW w:w="65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2017</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80" w:type="dxa"/>
            <w:vAlign w:val="bottom"/>
            <w:gridSpan w:val="2"/>
            <w:shd w:val="clear" w:color="auto" w:fill="E5FFFF"/>
          </w:tcPr>
          <w:p>
            <w:pPr>
              <w:jc w:val="right"/>
              <w:ind w:right="3"/>
              <w:spacing w:after="0"/>
              <w:rPr>
                <w:sz w:val="20"/>
                <w:szCs w:val="20"/>
                <w:color w:val="auto"/>
              </w:rPr>
            </w:pPr>
            <w:r>
              <w:rPr>
                <w:rFonts w:ascii="Arial" w:cs="Arial" w:eastAsia="Arial" w:hAnsi="Arial"/>
                <w:sz w:val="19"/>
                <w:szCs w:val="19"/>
                <w:color w:val="auto"/>
              </w:rPr>
              <w:t>752</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w w:val="94"/>
              </w:rPr>
              <w:t>597</w:t>
            </w:r>
          </w:p>
        </w:tc>
        <w:tc>
          <w:tcPr>
            <w:tcW w:w="120" w:type="dxa"/>
            <w:vAlign w:val="bottom"/>
            <w:shd w:val="clear" w:color="auto" w:fill="E5FFFF"/>
          </w:tcPr>
          <w:p>
            <w:pPr>
              <w:spacing w:after="0"/>
              <w:rPr>
                <w:sz w:val="21"/>
                <w:szCs w:val="21"/>
                <w:color w:val="auto"/>
              </w:rPr>
            </w:pPr>
          </w:p>
        </w:tc>
        <w:tc>
          <w:tcPr>
            <w:tcW w:w="3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21"/>
                <w:szCs w:val="21"/>
                <w:color w:val="auto"/>
              </w:rPr>
            </w:pPr>
          </w:p>
        </w:tc>
        <w:tc>
          <w:tcPr>
            <w:tcW w:w="3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31</w:t>
            </w:r>
          </w:p>
        </w:tc>
        <w:tc>
          <w:tcPr>
            <w:tcW w:w="300" w:type="dxa"/>
            <w:vAlign w:val="bottom"/>
            <w:shd w:val="clear" w:color="auto" w:fill="E5FFFF"/>
          </w:tcPr>
          <w:p>
            <w:pPr>
              <w:spacing w:after="0"/>
              <w:rPr>
                <w:sz w:val="21"/>
                <w:szCs w:val="21"/>
                <w:color w:val="auto"/>
              </w:rPr>
            </w:pPr>
          </w:p>
        </w:tc>
        <w:tc>
          <w:tcPr>
            <w:tcW w:w="320" w:type="dxa"/>
            <w:vAlign w:val="bottom"/>
            <w:shd w:val="clear" w:color="auto" w:fill="E5FFFF"/>
          </w:tcPr>
          <w:p>
            <w:pPr>
              <w:jc w:val="center"/>
              <w:ind w:right="109"/>
              <w:spacing w:after="0"/>
              <w:rPr>
                <w:sz w:val="20"/>
                <w:szCs w:val="20"/>
                <w:color w:val="auto"/>
              </w:rPr>
            </w:pPr>
            <w:r>
              <w:rPr>
                <w:rFonts w:ascii="Arial" w:cs="Arial" w:eastAsia="Arial" w:hAnsi="Arial"/>
                <w:sz w:val="19"/>
                <w:szCs w:val="19"/>
                <w:color w:val="auto"/>
              </w:rPr>
              <w:t>$</w:t>
            </w: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rPr>
              <w:t>149</w:t>
            </w: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The Company enters into futures contracts to gain exposure to certain markets. Sufficient cash or cash equivalents are held by our pension plans to cover the notional value of the futures contracts. At December 31, 2017 and 2016, our U.S. plans had contracts with notional amounts of $4,188 million and $3,775 million. At December 31, 2017 and 2016, our non-U.S. plans had contracts with notional amounts of $133 million and $55 million. In both our U.S. and non-U.S. pension plans, the notional derivative exposure is primarily related to outstanding equity futures contracts.</w:t>
      </w:r>
    </w:p>
    <w:p>
      <w:pPr>
        <w:spacing w:after="0" w:line="91" w:lineRule="exact"/>
        <w:rPr>
          <w:sz w:val="20"/>
          <w:szCs w:val="20"/>
          <w:color w:val="auto"/>
        </w:rPr>
      </w:pPr>
    </w:p>
    <w:p>
      <w:pPr>
        <w:ind w:right="60" w:firstLine="357"/>
        <w:spacing w:after="0" w:line="245" w:lineRule="auto"/>
        <w:rPr>
          <w:sz w:val="20"/>
          <w:szCs w:val="20"/>
          <w:color w:val="auto"/>
        </w:rPr>
      </w:pPr>
      <w:r>
        <w:rPr>
          <w:rFonts w:ascii="Arial" w:cs="Arial" w:eastAsia="Arial" w:hAnsi="Arial"/>
          <w:sz w:val="19"/>
          <w:szCs w:val="19"/>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310"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Our general funding policy for qualified defined benefit pension plans is to contribute amounts at least sufficient to satisfy regulatory funding standards. In 2017, 2016, and 2015, we were not required to make contributions to our U.S. pension plans and no contributions were made. We are not required to make any contributions to our U.S. pension plans in 2018. In 2017, contributions of $136 million were made to our non-U.S. pension plans to satisfy regulatory funding requirements. In 2018, we expect to make contributions of cash and/or marketable securities of approximately $142 million to our non-U.S. pension plans to satisfy regulatory funding standards. Contributions for both our U.S. and non-U.S. pension plans do not reflect benefits paid directly from Company assets.</w:t>
      </w:r>
    </w:p>
    <w:p>
      <w:pPr>
        <w:spacing w:after="0" w:line="310" w:lineRule="exact"/>
        <w:rPr>
          <w:sz w:val="20"/>
          <w:szCs w:val="20"/>
          <w:color w:val="auto"/>
        </w:rPr>
      </w:pPr>
    </w:p>
    <w:p>
      <w:pPr>
        <w:ind w:right="260" w:firstLine="357"/>
        <w:spacing w:after="0" w:line="246" w:lineRule="auto"/>
        <w:rPr>
          <w:sz w:val="20"/>
          <w:szCs w:val="20"/>
          <w:color w:val="auto"/>
        </w:rPr>
      </w:pPr>
      <w:r>
        <w:rPr>
          <w:rFonts w:ascii="Arial" w:cs="Arial" w:eastAsia="Arial" w:hAnsi="Arial"/>
          <w:sz w:val="19"/>
          <w:szCs w:val="19"/>
          <w:color w:val="auto"/>
        </w:rPr>
        <w:t>Benefit payments, including amounts to be paid from Company assets, and reflecting expected future service, as appropriate, are expected to be paid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U.S. Plans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2018</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1,170</w:t>
            </w:r>
          </w:p>
        </w:tc>
        <w:tc>
          <w:tcPr>
            <w:tcW w:w="740" w:type="dxa"/>
            <w:vAlign w:val="bottom"/>
            <w:gridSpan w:val="3"/>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261</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2019</w:t>
            </w:r>
          </w:p>
        </w:tc>
        <w:tc>
          <w:tcPr>
            <w:tcW w:w="960" w:type="dxa"/>
            <w:vAlign w:val="bottom"/>
          </w:tcPr>
          <w:p>
            <w:pPr>
              <w:jc w:val="right"/>
              <w:spacing w:after="0"/>
              <w:rPr>
                <w:sz w:val="20"/>
                <w:szCs w:val="20"/>
                <w:color w:val="auto"/>
              </w:rPr>
            </w:pPr>
            <w:r>
              <w:rPr>
                <w:rFonts w:ascii="Arial" w:cs="Arial" w:eastAsia="Arial" w:hAnsi="Arial"/>
                <w:sz w:val="19"/>
                <w:szCs w:val="19"/>
                <w:color w:val="auto"/>
              </w:rPr>
              <w:t>1,159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256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2020</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1,165</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264</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2021</w:t>
            </w:r>
          </w:p>
        </w:tc>
        <w:tc>
          <w:tcPr>
            <w:tcW w:w="960" w:type="dxa"/>
            <w:vAlign w:val="bottom"/>
          </w:tcPr>
          <w:p>
            <w:pPr>
              <w:jc w:val="right"/>
              <w:spacing w:after="0"/>
              <w:rPr>
                <w:sz w:val="20"/>
                <w:szCs w:val="20"/>
                <w:color w:val="auto"/>
              </w:rPr>
            </w:pPr>
            <w:r>
              <w:rPr>
                <w:rFonts w:ascii="Arial" w:cs="Arial" w:eastAsia="Arial" w:hAnsi="Arial"/>
                <w:sz w:val="19"/>
                <w:szCs w:val="19"/>
                <w:color w:val="auto"/>
              </w:rPr>
              <w:t>1,169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271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2022</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1,176</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289</w:t>
            </w:r>
          </w:p>
        </w:tc>
        <w:tc>
          <w:tcPr>
            <w:tcW w:w="0" w:type="dxa"/>
            <w:vAlign w:val="bottom"/>
          </w:tcPr>
          <w:p>
            <w:pPr>
              <w:spacing w:after="0"/>
              <w:rPr>
                <w:sz w:val="1"/>
                <w:szCs w:val="1"/>
                <w:color w:val="auto"/>
              </w:rPr>
            </w:pPr>
          </w:p>
        </w:tc>
      </w:tr>
      <w:tr>
        <w:trPr>
          <w:trHeight w:val="261"/>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2023-2027</w:t>
            </w:r>
          </w:p>
        </w:tc>
        <w:tc>
          <w:tcPr>
            <w:tcW w:w="960" w:type="dxa"/>
            <w:vAlign w:val="bottom"/>
          </w:tcPr>
          <w:p>
            <w:pPr>
              <w:jc w:val="right"/>
              <w:spacing w:after="0"/>
              <w:rPr>
                <w:sz w:val="20"/>
                <w:szCs w:val="20"/>
                <w:color w:val="auto"/>
              </w:rPr>
            </w:pPr>
            <w:r>
              <w:rPr>
                <w:rFonts w:ascii="Arial" w:cs="Arial" w:eastAsia="Arial" w:hAnsi="Arial"/>
                <w:sz w:val="19"/>
                <w:szCs w:val="19"/>
                <w:color w:val="auto"/>
              </w:rPr>
              <w:t>5,795</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1,477</w:t>
            </w:r>
          </w:p>
        </w:tc>
        <w:tc>
          <w:tcPr>
            <w:tcW w:w="0" w:type="dxa"/>
            <w:vAlign w:val="bottom"/>
          </w:tcPr>
          <w:p>
            <w:pPr>
              <w:spacing w:after="0"/>
              <w:rPr>
                <w:sz w:val="1"/>
                <w:szCs w:val="1"/>
                <w:color w:val="auto"/>
              </w:rPr>
            </w:pPr>
          </w:p>
        </w:tc>
      </w:tr>
      <w:tr>
        <w:trPr>
          <w:trHeight w:val="527"/>
        </w:trPr>
        <w:tc>
          <w:tcPr>
            <w:tcW w:w="8200" w:type="dxa"/>
            <w:vAlign w:val="bottom"/>
            <w:gridSpan w:val="2"/>
          </w:tcPr>
          <w:p>
            <w:pPr>
              <w:spacing w:after="0"/>
              <w:rPr>
                <w:sz w:val="20"/>
                <w:szCs w:val="20"/>
                <w:color w:val="auto"/>
              </w:rPr>
            </w:pPr>
            <w:r>
              <w:rPr>
                <w:rFonts w:ascii="Arial" w:cs="Arial" w:eastAsia="Arial" w:hAnsi="Arial"/>
                <w:sz w:val="19"/>
                <w:szCs w:val="19"/>
                <w:b w:val="1"/>
                <w:bCs w:val="1"/>
                <w:color w:val="auto"/>
              </w:rPr>
              <w:t>Other Postretirement Benefits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101"/>
              <w:spacing w:after="0" w:line="169" w:lineRule="exact"/>
              <w:rPr>
                <w:sz w:val="20"/>
                <w:szCs w:val="20"/>
                <w:color w:val="auto"/>
              </w:rPr>
            </w:pPr>
            <w:r>
              <w:rPr>
                <w:rFonts w:ascii="Arial" w:cs="Arial" w:eastAsia="Arial" w:hAnsi="Arial"/>
                <w:sz w:val="16"/>
                <w:szCs w:val="16"/>
                <w:b w:val="1"/>
                <w:bCs w:val="1"/>
                <w:color w:val="auto"/>
              </w:rPr>
              <w:t>2017</w:t>
            </w:r>
          </w:p>
        </w:tc>
        <w:tc>
          <w:tcPr>
            <w:tcW w:w="1000" w:type="dxa"/>
            <w:vAlign w:val="bottom"/>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7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Assumed health care cost trend rate:</w:t>
            </w:r>
          </w:p>
        </w:tc>
        <w:tc>
          <w:tcPr>
            <w:tcW w:w="9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Health care cost trend rate assumed for next year</w:t>
            </w:r>
          </w:p>
        </w:tc>
        <w:tc>
          <w:tcPr>
            <w:tcW w:w="9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6.50%</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6.50%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Rate that the cost trend rate gradually declines to</w:t>
            </w:r>
          </w:p>
        </w:tc>
        <w:tc>
          <w:tcPr>
            <w:tcW w:w="96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5.00%</w:t>
            </w: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5.00%</w:t>
            </w: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Year that the rate reaches the rate it is assumed to remain at</w:t>
            </w:r>
          </w:p>
        </w:tc>
        <w:tc>
          <w:tcPr>
            <w:tcW w:w="960" w:type="dxa"/>
            <w:vAlign w:val="bottom"/>
          </w:tcPr>
          <w:p>
            <w:pPr>
              <w:spacing w:after="0"/>
              <w:rPr>
                <w:sz w:val="22"/>
                <w:szCs w:val="22"/>
                <w:color w:val="auto"/>
              </w:rPr>
            </w:pPr>
          </w:p>
        </w:tc>
        <w:tc>
          <w:tcPr>
            <w:tcW w:w="740" w:type="dxa"/>
            <w:vAlign w:val="bottom"/>
            <w:gridSpan w:val="3"/>
          </w:tcPr>
          <w:p>
            <w:pPr>
              <w:jc w:val="right"/>
              <w:ind w:right="121"/>
              <w:spacing w:after="0"/>
              <w:rPr>
                <w:sz w:val="20"/>
                <w:szCs w:val="20"/>
                <w:color w:val="auto"/>
              </w:rPr>
            </w:pPr>
            <w:r>
              <w:rPr>
                <w:rFonts w:ascii="Arial" w:cs="Arial" w:eastAsia="Arial" w:hAnsi="Arial"/>
                <w:sz w:val="19"/>
                <w:szCs w:val="19"/>
                <w:color w:val="auto"/>
              </w:rPr>
              <w:t>2023</w:t>
            </w:r>
          </w:p>
        </w:tc>
        <w:tc>
          <w:tcPr>
            <w:tcW w:w="1000" w:type="dxa"/>
            <w:vAlign w:val="bottom"/>
            <w:gridSpan w:val="2"/>
          </w:tcPr>
          <w:p>
            <w:pPr>
              <w:jc w:val="right"/>
              <w:ind w:right="200"/>
              <w:spacing w:after="0"/>
              <w:rPr>
                <w:sz w:val="20"/>
                <w:szCs w:val="20"/>
                <w:color w:val="auto"/>
              </w:rPr>
            </w:pPr>
            <w:r>
              <w:rPr>
                <w:rFonts w:ascii="Arial" w:cs="Arial" w:eastAsia="Arial" w:hAnsi="Arial"/>
                <w:sz w:val="19"/>
                <w:szCs w:val="19"/>
                <w:color w:val="auto"/>
              </w:rPr>
              <w:t>2023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firstLine="357"/>
        <w:spacing w:after="0" w:line="246" w:lineRule="auto"/>
        <w:rPr>
          <w:sz w:val="20"/>
          <w:szCs w:val="20"/>
          <w:color w:val="auto"/>
        </w:rPr>
      </w:pPr>
      <w:r>
        <w:rPr>
          <w:rFonts w:ascii="Arial" w:cs="Arial" w:eastAsia="Arial" w:hAnsi="Arial"/>
          <w:sz w:val="19"/>
          <w:szCs w:val="19"/>
          <w:color w:val="auto"/>
        </w:rPr>
        <w:t>The assumed health care cost trend rate has a significant effect on the amounts reported. A one-percentage-point change in the assumed health care cost trend rate would have the following effects:</w:t>
      </w:r>
    </w:p>
    <w:p>
      <w:pPr>
        <w:spacing w:after="0" w:line="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1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635</wp:posOffset>
            </wp:positionV>
            <wp:extent cx="12350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9020"/>
        <w:spacing w:after="0"/>
        <w:tabs>
          <w:tab w:leader="none" w:pos="10100" w:val="left"/>
        </w:tabs>
        <w:rPr>
          <w:sz w:val="20"/>
          <w:szCs w:val="20"/>
          <w:color w:val="auto"/>
        </w:rPr>
      </w:pPr>
      <w:r>
        <w:rPr>
          <w:rFonts w:ascii="Arial" w:cs="Arial" w:eastAsia="Arial" w:hAnsi="Arial"/>
          <w:sz w:val="16"/>
          <w:szCs w:val="16"/>
          <w:b w:val="1"/>
          <w:bCs w:val="1"/>
          <w:color w:val="auto"/>
        </w:rPr>
        <w:t>Increase</w:t>
      </w:r>
      <w:r>
        <w:rPr>
          <w:sz w:val="20"/>
          <w:szCs w:val="20"/>
          <w:color w:val="auto"/>
        </w:rPr>
        <w:tab/>
      </w:r>
      <w:r>
        <w:rPr>
          <w:rFonts w:ascii="Arial" w:cs="Arial" w:eastAsia="Arial" w:hAnsi="Arial"/>
          <w:sz w:val="16"/>
          <w:szCs w:val="16"/>
          <w:b w:val="1"/>
          <w:bCs w:val="1"/>
          <w:color w:val="auto"/>
        </w:rPr>
        <w:t>Decrease</w:t>
      </w:r>
    </w:p>
    <w:tbl>
      <w:tblPr>
        <w:tblLayout w:type="fixed"/>
        <w:tblInd w:w="500" w:type="dxa"/>
        <w:tblCellMar>
          <w:top w:w="0" w:type="dxa"/>
          <w:left w:w="0" w:type="dxa"/>
          <w:bottom w:w="0" w:type="dxa"/>
          <w:right w:w="0" w:type="dxa"/>
        </w:tblCellMar>
      </w:tblPr>
      <w:tr>
        <w:trPr>
          <w:trHeight w:val="237"/>
        </w:trPr>
        <w:tc>
          <w:tcPr>
            <w:tcW w:w="8460" w:type="dxa"/>
            <w:vAlign w:val="bottom"/>
            <w:shd w:val="clear" w:color="auto" w:fill="E5FFFF"/>
          </w:tcPr>
          <w:p>
            <w:pPr>
              <w:spacing w:after="0"/>
              <w:rPr>
                <w:sz w:val="20"/>
                <w:szCs w:val="20"/>
                <w:color w:val="auto"/>
              </w:rPr>
            </w:pPr>
            <w:r>
              <w:rPr>
                <w:rFonts w:ascii="Arial" w:cs="Arial" w:eastAsia="Arial" w:hAnsi="Arial"/>
                <w:sz w:val="19"/>
                <w:szCs w:val="19"/>
                <w:color w:val="auto"/>
              </w:rPr>
              <w:t>Effect on total of service and interest cost components</w:t>
            </w: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w:t>
            </w:r>
          </w:p>
        </w:tc>
      </w:tr>
      <w:tr>
        <w:trPr>
          <w:trHeight w:val="261"/>
        </w:trPr>
        <w:tc>
          <w:tcPr>
            <w:tcW w:w="8460" w:type="dxa"/>
            <w:vAlign w:val="bottom"/>
          </w:tcPr>
          <w:p>
            <w:pPr>
              <w:spacing w:after="0"/>
              <w:rPr>
                <w:sz w:val="20"/>
                <w:szCs w:val="20"/>
                <w:color w:val="auto"/>
              </w:rPr>
            </w:pPr>
            <w:r>
              <w:rPr>
                <w:rFonts w:ascii="Arial" w:cs="Arial" w:eastAsia="Arial" w:hAnsi="Arial"/>
                <w:sz w:val="19"/>
                <w:szCs w:val="19"/>
                <w:color w:val="auto"/>
              </w:rPr>
              <w:t>Effect on postretirement benefit obligation</w:t>
            </w:r>
          </w:p>
        </w:tc>
        <w:tc>
          <w:tcPr>
            <w:tcW w:w="280" w:type="dxa"/>
            <w:vAlign w:val="bottom"/>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Pr>
          <w:p>
            <w:pPr>
              <w:jc w:val="right"/>
              <w:ind w:right="3"/>
              <w:spacing w:after="0"/>
              <w:rPr>
                <w:sz w:val="20"/>
                <w:szCs w:val="20"/>
                <w:color w:val="auto"/>
              </w:rPr>
            </w:pPr>
            <w:r>
              <w:rPr>
                <w:rFonts w:ascii="Arial" w:cs="Arial" w:eastAsia="Arial" w:hAnsi="Arial"/>
                <w:sz w:val="19"/>
                <w:szCs w:val="19"/>
                <w:color w:val="auto"/>
              </w:rPr>
              <w:t>28</w:t>
            </w:r>
          </w:p>
        </w:tc>
        <w:tc>
          <w:tcPr>
            <w:tcW w:w="5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(22)</w:t>
            </w: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Benefit payments reflecting expected future service, as appropriate, are expected to be paid as follows:</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57" w:right="27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500" w:type="dxa"/>
        <w:tblCellMar>
          <w:top w:w="0" w:type="dxa"/>
          <w:left w:w="0" w:type="dxa"/>
          <w:bottom w:w="0" w:type="dxa"/>
          <w:right w:w="0" w:type="dxa"/>
        </w:tblCellMar>
      </w:tblPr>
      <w:tr>
        <w:trPr>
          <w:trHeight w:val="174"/>
        </w:trPr>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ind w:right="88"/>
              <w:spacing w:after="0" w:line="175" w:lineRule="exact"/>
              <w:rPr>
                <w:sz w:val="20"/>
                <w:szCs w:val="20"/>
                <w:color w:val="auto"/>
              </w:rPr>
            </w:pPr>
            <w:r>
              <w:rPr>
                <w:rFonts w:ascii="Arial" w:cs="Arial" w:eastAsia="Arial" w:hAnsi="Arial"/>
                <w:sz w:val="16"/>
                <w:szCs w:val="16"/>
                <w:b w:val="1"/>
                <w:bCs w:val="1"/>
                <w:color w:val="auto"/>
                <w:w w:val="99"/>
              </w:rPr>
              <w:t>Without Impact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ind w:right="548"/>
              <w:spacing w:after="0" w:line="175" w:lineRule="exact"/>
              <w:rPr>
                <w:sz w:val="20"/>
                <w:szCs w:val="20"/>
                <w:color w:val="auto"/>
              </w:rPr>
            </w:pPr>
            <w:r>
              <w:rPr>
                <w:rFonts w:ascii="Arial" w:cs="Arial" w:eastAsia="Arial" w:hAnsi="Arial"/>
                <w:sz w:val="16"/>
                <w:szCs w:val="16"/>
                <w:b w:val="1"/>
                <w:bCs w:val="1"/>
                <w:color w:val="auto"/>
              </w:rPr>
              <w:t>Net of</w:t>
            </w:r>
          </w:p>
        </w:tc>
      </w:tr>
      <w:tr>
        <w:trPr>
          <w:trHeight w:val="190"/>
        </w:trPr>
        <w:tc>
          <w:tcPr>
            <w:tcW w:w="6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8"/>
              </w:rPr>
              <w:t>Medicare Subsidy</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9"/>
              </w:rPr>
              <w:t>Medicare Subsidy</w:t>
            </w:r>
          </w:p>
        </w:tc>
      </w:tr>
      <w:tr>
        <w:trPr>
          <w:trHeight w:val="237"/>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2018</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67</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62</w:t>
            </w:r>
          </w:p>
        </w:tc>
      </w:tr>
      <w:tr>
        <w:trPr>
          <w:trHeight w:val="243"/>
        </w:trPr>
        <w:tc>
          <w:tcPr>
            <w:tcW w:w="6680" w:type="dxa"/>
            <w:vAlign w:val="bottom"/>
          </w:tcPr>
          <w:p>
            <w:pPr>
              <w:spacing w:after="0"/>
              <w:rPr>
                <w:sz w:val="20"/>
                <w:szCs w:val="20"/>
                <w:color w:val="auto"/>
              </w:rPr>
            </w:pPr>
            <w:r>
              <w:rPr>
                <w:rFonts w:ascii="Arial" w:cs="Arial" w:eastAsia="Arial" w:hAnsi="Arial"/>
                <w:sz w:val="19"/>
                <w:szCs w:val="19"/>
                <w:color w:val="auto"/>
              </w:rPr>
              <w:t>2019</w:t>
            </w: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62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57</w:t>
            </w:r>
          </w:p>
        </w:tc>
      </w:tr>
      <w:tr>
        <w:trPr>
          <w:trHeight w:val="243"/>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2020</w:t>
            </w: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58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53</w:t>
            </w:r>
          </w:p>
        </w:tc>
      </w:tr>
      <w:tr>
        <w:trPr>
          <w:trHeight w:val="243"/>
        </w:trPr>
        <w:tc>
          <w:tcPr>
            <w:tcW w:w="6680" w:type="dxa"/>
            <w:vAlign w:val="bottom"/>
          </w:tcPr>
          <w:p>
            <w:pPr>
              <w:spacing w:after="0"/>
              <w:rPr>
                <w:sz w:val="20"/>
                <w:szCs w:val="20"/>
                <w:color w:val="auto"/>
              </w:rPr>
            </w:pPr>
            <w:r>
              <w:rPr>
                <w:rFonts w:ascii="Arial" w:cs="Arial" w:eastAsia="Arial" w:hAnsi="Arial"/>
                <w:sz w:val="19"/>
                <w:szCs w:val="19"/>
                <w:color w:val="auto"/>
              </w:rPr>
              <w:t>2021</w:t>
            </w: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49</w:t>
            </w:r>
          </w:p>
        </w:tc>
      </w:tr>
      <w:tr>
        <w:trPr>
          <w:trHeight w:val="243"/>
        </w:trPr>
        <w:tc>
          <w:tcPr>
            <w:tcW w:w="6680" w:type="dxa"/>
            <w:vAlign w:val="bottom"/>
            <w:shd w:val="clear" w:color="auto" w:fill="E5FFFF"/>
          </w:tcPr>
          <w:p>
            <w:pPr>
              <w:spacing w:after="0"/>
              <w:rPr>
                <w:sz w:val="20"/>
                <w:szCs w:val="20"/>
                <w:color w:val="auto"/>
              </w:rPr>
            </w:pPr>
            <w:r>
              <w:rPr>
                <w:rFonts w:ascii="Arial" w:cs="Arial" w:eastAsia="Arial" w:hAnsi="Arial"/>
                <w:sz w:val="19"/>
                <w:szCs w:val="19"/>
                <w:color w:val="auto"/>
              </w:rPr>
              <w:t>2022</w:t>
            </w: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50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46</w:t>
            </w:r>
          </w:p>
        </w:tc>
      </w:tr>
      <w:tr>
        <w:trPr>
          <w:trHeight w:val="261"/>
        </w:trPr>
        <w:tc>
          <w:tcPr>
            <w:tcW w:w="6680" w:type="dxa"/>
            <w:vAlign w:val="bottom"/>
          </w:tcPr>
          <w:p>
            <w:pPr>
              <w:spacing w:after="0"/>
              <w:rPr>
                <w:sz w:val="20"/>
                <w:szCs w:val="20"/>
                <w:color w:val="auto"/>
              </w:rPr>
            </w:pPr>
            <w:r>
              <w:rPr>
                <w:rFonts w:ascii="Arial" w:cs="Arial" w:eastAsia="Arial" w:hAnsi="Arial"/>
                <w:sz w:val="19"/>
                <w:szCs w:val="19"/>
                <w:color w:val="auto"/>
              </w:rPr>
              <w:t>2023-2027</w:t>
            </w:r>
          </w:p>
        </w:tc>
        <w:tc>
          <w:tcPr>
            <w:tcW w:w="160" w:type="dxa"/>
            <w:vAlign w:val="bottom"/>
          </w:tcPr>
          <w:p>
            <w:pPr>
              <w:spacing w:after="0"/>
              <w:rPr>
                <w:sz w:val="22"/>
                <w:szCs w:val="22"/>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161</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145</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 Segment Financial Data</w:t>
      </w:r>
    </w:p>
    <w:p>
      <w:pPr>
        <w:spacing w:after="0" w:line="130" w:lineRule="exact"/>
        <w:rPr>
          <w:sz w:val="20"/>
          <w:szCs w:val="20"/>
          <w:color w:val="auto"/>
        </w:rPr>
      </w:pPr>
    </w:p>
    <w:p>
      <w:pPr>
        <w:ind w:right="380" w:firstLine="357"/>
        <w:spacing w:after="0" w:line="245" w:lineRule="auto"/>
        <w:rPr>
          <w:sz w:val="20"/>
          <w:szCs w:val="20"/>
          <w:color w:val="auto"/>
        </w:rPr>
      </w:pPr>
      <w:r>
        <w:rPr>
          <w:rFonts w:ascii="Arial" w:cs="Arial" w:eastAsia="Arial" w:hAnsi="Arial"/>
          <w:sz w:val="19"/>
          <w:szCs w:val="19"/>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87" w:lineRule="exact"/>
        <w:rPr>
          <w:sz w:val="20"/>
          <w:szCs w:val="20"/>
          <w:color w:val="auto"/>
        </w:rPr>
      </w:pPr>
    </w:p>
    <w:p>
      <w:pPr>
        <w:ind w:right="40" w:firstLine="357"/>
        <w:spacing w:after="0" w:line="242" w:lineRule="auto"/>
        <w:rPr>
          <w:sz w:val="20"/>
          <w:szCs w:val="20"/>
          <w:color w:val="auto"/>
        </w:rPr>
      </w:pPr>
      <w:r>
        <w:rPr>
          <w:rFonts w:ascii="Arial" w:cs="Arial" w:eastAsia="Arial" w:hAnsi="Arial"/>
          <w:sz w:val="19"/>
          <w:szCs w:val="19"/>
          <w:color w:val="auto"/>
        </w:rPr>
        <w:t>Honeywell’s senior management evaluates segment performance based on segment profit. Segment profit is measured as segment income (loss) before taxes excluding general corporate unallocated expense, other income (expense), interest and other financial charges, stock compensation expenses, pension and other postretirement benefits (expense), stock compensation expense and repositioning and other charges.</w:t>
      </w:r>
    </w:p>
    <w:p>
      <w:pPr>
        <w:spacing w:after="0" w:line="78" w:lineRule="exact"/>
        <w:rPr>
          <w:sz w:val="20"/>
          <w:szCs w:val="20"/>
          <w:color w:val="auto"/>
        </w:rPr>
      </w:pPr>
    </w:p>
    <w:p>
      <w:pPr>
        <w:jc w:val="both"/>
        <w:ind w:right="980" w:firstLine="357"/>
        <w:spacing w:after="0" w:line="253" w:lineRule="auto"/>
        <w:rPr>
          <w:sz w:val="20"/>
          <w:szCs w:val="20"/>
          <w:color w:val="auto"/>
        </w:rPr>
      </w:pPr>
      <w:r>
        <w:rPr>
          <w:rFonts w:ascii="Arial" w:cs="Arial" w:eastAsia="Arial" w:hAnsi="Arial"/>
          <w:sz w:val="19"/>
          <w:szCs w:val="19"/>
          <w:color w:val="auto"/>
        </w:rPr>
        <w:t>Effective October 2017, the Company realigned the Smart Energy business, previously part of the Home and Building Technologies segment, into the Process Solutions business within the Performance Materials and Technologies segment.</w:t>
      </w:r>
    </w:p>
    <w:p>
      <w:pPr>
        <w:spacing w:after="0" w:line="8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Effective July 2016, the Company realigned the business units comprising its Automation and Control Solutions reporting segment by forming two new reportable operating segments: Home and Building Technologies and Safety and Productivity Solutions.</w:t>
      </w:r>
    </w:p>
    <w:p>
      <w:pPr>
        <w:spacing w:after="0" w:line="80" w:lineRule="exact"/>
        <w:rPr>
          <w:sz w:val="20"/>
          <w:szCs w:val="20"/>
          <w:color w:val="auto"/>
        </w:rPr>
      </w:pPr>
    </w:p>
    <w:p>
      <w:pPr>
        <w:ind w:right="380" w:firstLine="357"/>
        <w:spacing w:after="0" w:line="253" w:lineRule="auto"/>
        <w:rPr>
          <w:sz w:val="20"/>
          <w:szCs w:val="20"/>
          <w:color w:val="auto"/>
        </w:rPr>
      </w:pPr>
      <w:r>
        <w:rPr>
          <w:rFonts w:ascii="Arial" w:cs="Arial" w:eastAsia="Arial" w:hAnsi="Arial"/>
          <w:sz w:val="19"/>
          <w:szCs w:val="19"/>
          <w:color w:val="auto"/>
        </w:rPr>
        <w:t>These realignments have no impact on the Company’s historical consolidated financial position, results of operations or cash flows. Prior period amounts have been reclassified to conform to current period segment presentation.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center"/>
              <w:ind w:right="44"/>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Net Sales</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line="216" w:lineRule="exact"/>
              <w:rPr>
                <w:sz w:val="20"/>
                <w:szCs w:val="20"/>
                <w:color w:val="auto"/>
              </w:rPr>
            </w:pPr>
            <w:r>
              <w:rPr>
                <w:rFonts w:ascii="Arial" w:cs="Arial" w:eastAsia="Arial" w:hAnsi="Arial"/>
                <w:sz w:val="19"/>
                <w:szCs w:val="19"/>
                <w:color w:val="auto"/>
              </w:rPr>
              <w:t>Aerospace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10,067</w:t>
            </w:r>
          </w:p>
        </w:tc>
        <w:tc>
          <w:tcPr>
            <w:tcW w:w="46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9,926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10,379</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Service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4,712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4,825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4,858</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14,779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14,751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15,237</w:t>
            </w:r>
          </w:p>
        </w:tc>
        <w:tc>
          <w:tcPr>
            <w:tcW w:w="0" w:type="dxa"/>
            <w:vAlign w:val="bottom"/>
          </w:tcPr>
          <w:p>
            <w:pPr>
              <w:spacing w:after="0"/>
              <w:rPr>
                <w:sz w:val="1"/>
                <w:szCs w:val="1"/>
                <w:color w:val="auto"/>
              </w:rPr>
            </w:pPr>
          </w:p>
        </w:tc>
      </w:tr>
      <w:tr>
        <w:trPr>
          <w:trHeight w:val="216"/>
        </w:trPr>
        <w:tc>
          <w:tcPr>
            <w:tcW w:w="8180" w:type="dxa"/>
            <w:vAlign w:val="bottom"/>
          </w:tcPr>
          <w:p>
            <w:pPr>
              <w:spacing w:after="0" w:line="216" w:lineRule="exact"/>
              <w:rPr>
                <w:sz w:val="20"/>
                <w:szCs w:val="20"/>
                <w:color w:val="auto"/>
              </w:rPr>
            </w:pPr>
            <w:r>
              <w:rPr>
                <w:rFonts w:ascii="Arial" w:cs="Arial" w:eastAsia="Arial" w:hAnsi="Arial"/>
                <w:sz w:val="19"/>
                <w:szCs w:val="19"/>
                <w:color w:val="auto"/>
              </w:rPr>
              <w:t>Home and Building Technologies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8,396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8,250</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7,850</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Service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1,240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1,176</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9,777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9,490</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9,026</w:t>
            </w:r>
          </w:p>
        </w:tc>
        <w:tc>
          <w:tcPr>
            <w:tcW w:w="0" w:type="dxa"/>
            <w:vAlign w:val="bottom"/>
          </w:tcPr>
          <w:p>
            <w:pPr>
              <w:spacing w:after="0"/>
              <w:rPr>
                <w:sz w:val="1"/>
                <w:szCs w:val="1"/>
                <w:color w:val="auto"/>
              </w:rPr>
            </w:pPr>
          </w:p>
        </w:tc>
      </w:tr>
      <w:tr>
        <w:trPr>
          <w:trHeight w:val="216"/>
        </w:trPr>
        <w:tc>
          <w:tcPr>
            <w:tcW w:w="8180" w:type="dxa"/>
            <w:vAlign w:val="bottom"/>
          </w:tcPr>
          <w:p>
            <w:pPr>
              <w:spacing w:after="0" w:line="216" w:lineRule="exact"/>
              <w:rPr>
                <w:sz w:val="20"/>
                <w:szCs w:val="20"/>
                <w:color w:val="auto"/>
              </w:rPr>
            </w:pPr>
            <w:r>
              <w:rPr>
                <w:rFonts w:ascii="Arial" w:cs="Arial" w:eastAsia="Arial" w:hAnsi="Arial"/>
                <w:sz w:val="19"/>
                <w:szCs w:val="19"/>
                <w:color w:val="auto"/>
              </w:rPr>
              <w:t>Performance Materials and Technologies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8,521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8,725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7,809</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Service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1,801</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10,339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10,436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9,610</w:t>
            </w:r>
          </w:p>
        </w:tc>
        <w:tc>
          <w:tcPr>
            <w:tcW w:w="0" w:type="dxa"/>
            <w:vAlign w:val="bottom"/>
          </w:tcPr>
          <w:p>
            <w:pPr>
              <w:spacing w:after="0"/>
              <w:rPr>
                <w:sz w:val="1"/>
                <w:szCs w:val="1"/>
                <w:color w:val="auto"/>
              </w:rPr>
            </w:pPr>
          </w:p>
        </w:tc>
      </w:tr>
      <w:tr>
        <w:trPr>
          <w:trHeight w:val="216"/>
        </w:trPr>
        <w:tc>
          <w:tcPr>
            <w:tcW w:w="8180" w:type="dxa"/>
            <w:vAlign w:val="bottom"/>
          </w:tcPr>
          <w:p>
            <w:pPr>
              <w:spacing w:after="0" w:line="216" w:lineRule="exact"/>
              <w:rPr>
                <w:sz w:val="20"/>
                <w:szCs w:val="20"/>
                <w:color w:val="auto"/>
              </w:rPr>
            </w:pPr>
            <w:r>
              <w:rPr>
                <w:rFonts w:ascii="Arial" w:cs="Arial" w:eastAsia="Arial" w:hAnsi="Arial"/>
                <w:sz w:val="19"/>
                <w:szCs w:val="19"/>
                <w:color w:val="auto"/>
              </w:rPr>
              <w:t>Safety and Productivity Solutions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5,333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4,461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4,657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Service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51</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5,639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4,625</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4,708</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40,534</w:t>
            </w:r>
          </w:p>
        </w:tc>
        <w:tc>
          <w:tcPr>
            <w:tcW w:w="1180" w:type="dxa"/>
            <w:vAlign w:val="bottom"/>
            <w:gridSpan w:val="3"/>
          </w:tcPr>
          <w:p>
            <w:pPr>
              <w:jc w:val="right"/>
              <w:spacing w:after="0"/>
              <w:rPr>
                <w:sz w:val="20"/>
                <w:szCs w:val="20"/>
                <w:color w:val="auto"/>
              </w:rPr>
            </w:pPr>
            <w:r>
              <w:rPr>
                <w:rFonts w:ascii="Arial" w:cs="Arial" w:eastAsia="Arial" w:hAnsi="Arial"/>
                <w:sz w:val="19"/>
                <w:szCs w:val="19"/>
                <w:color w:val="auto"/>
              </w:rPr>
              <w:t>$ 39,302</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38,581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Depreciation and amortization</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279</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275</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267</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Home and Building Technologies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441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399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286</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1,115</w:t>
            </w:r>
          </w:p>
        </w:tc>
        <w:tc>
          <w:tcPr>
            <w:tcW w:w="46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1,030</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883</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9"/>
                <w:szCs w:val="19"/>
                <w:color w:val="auto"/>
              </w:rPr>
              <w:t>Segment Profit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Aerospace</w:t>
            </w: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3,288</w:t>
            </w:r>
          </w:p>
        </w:tc>
        <w:tc>
          <w:tcPr>
            <w:tcW w:w="46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2,991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3,218</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Home and Building Technologies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1,650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1,621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1,492</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2,112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2,010</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Safety and Productivity Solutions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852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680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746</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7,690</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7,186</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7,256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Capital expenditures</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380</w:t>
            </w:r>
          </w:p>
        </w:tc>
        <w:tc>
          <w:tcPr>
            <w:tcW w:w="460" w:type="dxa"/>
            <w:vAlign w:val="bottom"/>
            <w:gridSpan w:val="2"/>
          </w:tcPr>
          <w:p>
            <w:pPr>
              <w:ind w:left="30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331</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314</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Home and Building Technologies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473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481</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128</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1,095</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1,073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Total Assets</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11,769</w:t>
            </w:r>
          </w:p>
        </w:tc>
        <w:tc>
          <w:tcPr>
            <w:tcW w:w="1180" w:type="dxa"/>
            <w:vAlign w:val="bottom"/>
            <w:gridSpan w:val="3"/>
          </w:tcPr>
          <w:p>
            <w:pPr>
              <w:ind w:left="300"/>
              <w:spacing w:after="0"/>
              <w:rPr>
                <w:sz w:val="20"/>
                <w:szCs w:val="20"/>
                <w:color w:val="auto"/>
              </w:rPr>
            </w:pPr>
            <w:r>
              <w:rPr>
                <w:rFonts w:ascii="Arial" w:cs="Arial" w:eastAsia="Arial" w:hAnsi="Arial"/>
                <w:sz w:val="19"/>
                <w:szCs w:val="19"/>
                <w:color w:val="auto"/>
              </w:rPr>
              <w:t>$ 11,426</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11,235</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Home and Building Technologies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10,592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10,392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10,464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17,203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15,835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15,185</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Safety and Productivity Solutions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8,951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7,006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Arial" w:cs="Arial" w:eastAsia="Arial" w:hAnsi="Arial"/>
                <w:sz w:val="19"/>
                <w:szCs w:val="19"/>
                <w:color w:val="auto"/>
              </w:rPr>
              <w:t>Corporate</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10,367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7,542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5,426</w:t>
            </w:r>
          </w:p>
        </w:tc>
        <w:tc>
          <w:tcPr>
            <w:tcW w:w="0" w:type="dxa"/>
            <w:vAlign w:val="bottom"/>
          </w:tcPr>
          <w:p>
            <w:pPr>
              <w:spacing w:after="0"/>
              <w:rPr>
                <w:sz w:val="1"/>
                <w:szCs w:val="1"/>
                <w:color w:val="auto"/>
              </w:rPr>
            </w:pPr>
          </w:p>
        </w:tc>
      </w:tr>
      <w:tr>
        <w:trPr>
          <w:trHeight w:val="243"/>
        </w:trPr>
        <w:tc>
          <w:tcPr>
            <w:tcW w:w="81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59,387</w:t>
            </w:r>
          </w:p>
        </w:tc>
        <w:tc>
          <w:tcPr>
            <w:tcW w:w="1180" w:type="dxa"/>
            <w:vAlign w:val="bottom"/>
            <w:gridSpan w:val="3"/>
            <w:shd w:val="clear" w:color="auto" w:fill="E5FFFF"/>
          </w:tcPr>
          <w:p>
            <w:pPr>
              <w:ind w:left="300"/>
              <w:spacing w:after="0"/>
              <w:rPr>
                <w:sz w:val="20"/>
                <w:szCs w:val="20"/>
                <w:color w:val="auto"/>
              </w:rPr>
            </w:pPr>
            <w:r>
              <w:rPr>
                <w:rFonts w:ascii="Arial" w:cs="Arial" w:eastAsia="Arial" w:hAnsi="Arial"/>
                <w:sz w:val="19"/>
                <w:szCs w:val="19"/>
                <w:color w:val="auto"/>
              </w:rPr>
              <w:t>$ 54,146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49,316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are as follows:</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480" w:type="dxa"/>
            <w:vAlign w:val="bottom"/>
          </w:tcPr>
          <w:p>
            <w:pPr>
              <w:spacing w:after="0"/>
              <w:rPr>
                <w:sz w:val="14"/>
                <w:szCs w:val="14"/>
                <w:color w:val="auto"/>
              </w:rPr>
            </w:pPr>
          </w:p>
        </w:tc>
        <w:tc>
          <w:tcPr>
            <w:tcW w:w="7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$ 7,690</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$ 7,186</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$ 7,256</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Other income (expense)(1)</w:t>
            </w:r>
          </w:p>
        </w:tc>
        <w:tc>
          <w:tcPr>
            <w:tcW w:w="760" w:type="dxa"/>
            <w:vAlign w:val="bottom"/>
          </w:tcPr>
          <w:p>
            <w:pPr>
              <w:jc w:val="right"/>
              <w:spacing w:after="0"/>
              <w:rPr>
                <w:sz w:val="20"/>
                <w:szCs w:val="20"/>
                <w:color w:val="auto"/>
              </w:rPr>
            </w:pPr>
            <w:r>
              <w:rPr>
                <w:rFonts w:ascii="Arial" w:cs="Arial" w:eastAsia="Arial" w:hAnsi="Arial"/>
                <w:sz w:val="19"/>
                <w:szCs w:val="19"/>
                <w:color w:val="auto"/>
              </w:rPr>
              <w:t>28</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71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38</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Interest and other financial charges</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(338)</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(310)</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Stock compensation expense(2)</w:t>
            </w:r>
          </w:p>
        </w:tc>
        <w:tc>
          <w:tcPr>
            <w:tcW w:w="760" w:type="dxa"/>
            <w:vAlign w:val="bottom"/>
          </w:tcPr>
          <w:p>
            <w:pPr>
              <w:jc w:val="right"/>
              <w:spacing w:after="0"/>
              <w:rPr>
                <w:sz w:val="20"/>
                <w:szCs w:val="20"/>
                <w:color w:val="auto"/>
              </w:rPr>
            </w:pPr>
            <w:r>
              <w:rPr>
                <w:rFonts w:ascii="Arial" w:cs="Arial" w:eastAsia="Arial" w:hAnsi="Arial"/>
                <w:sz w:val="19"/>
                <w:szCs w:val="19"/>
                <w:color w:val="auto"/>
              </w:rPr>
              <w:t>(176)</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(184)</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(175)</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Pension ongoing income (expense)(2)</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713</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430</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Pension mark-to-market expense(2)</w:t>
            </w:r>
          </w:p>
        </w:tc>
        <w:tc>
          <w:tcPr>
            <w:tcW w:w="760" w:type="dxa"/>
            <w:vAlign w:val="bottom"/>
          </w:tcPr>
          <w:p>
            <w:pPr>
              <w:jc w:val="right"/>
              <w:spacing w:after="0"/>
              <w:rPr>
                <w:sz w:val="20"/>
                <w:szCs w:val="20"/>
                <w:color w:val="auto"/>
              </w:rPr>
            </w:pPr>
            <w:r>
              <w:rPr>
                <w:rFonts w:ascii="Arial" w:cs="Arial" w:eastAsia="Arial" w:hAnsi="Arial"/>
                <w:sz w:val="19"/>
                <w:szCs w:val="19"/>
                <w:color w:val="auto"/>
              </w:rPr>
              <w:t>(87)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(273)</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(67)</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Other postretirement income (expense)(2)</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w:t>
            </w:r>
          </w:p>
        </w:tc>
      </w:tr>
      <w:tr>
        <w:trPr>
          <w:trHeight w:val="250"/>
        </w:trPr>
        <w:tc>
          <w:tcPr>
            <w:tcW w:w="7480" w:type="dxa"/>
            <w:vAlign w:val="bottom"/>
          </w:tcPr>
          <w:p>
            <w:pPr>
              <w:spacing w:after="0"/>
              <w:rPr>
                <w:sz w:val="20"/>
                <w:szCs w:val="20"/>
                <w:color w:val="auto"/>
              </w:rPr>
            </w:pPr>
            <w:r>
              <w:rPr>
                <w:rFonts w:ascii="Arial" w:cs="Arial" w:eastAsia="Arial" w:hAnsi="Arial"/>
                <w:sz w:val="19"/>
                <w:szCs w:val="19"/>
                <w:color w:val="auto"/>
              </w:rPr>
              <w:t>Repositioning and other charges(2)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(971)</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(648)</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(546)</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Income before taxes</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$ 6,902</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$ 6,447</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$ 6,586</w:t>
            </w: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tabs>
          <w:tab w:leader="none" w:pos="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Equity income (loss) of affiliated companies is included in Segment Profit.</w:t>
      </w:r>
    </w:p>
    <w:p>
      <w:pPr>
        <w:spacing w:after="0" w:line="92" w:lineRule="exact"/>
        <w:rPr>
          <w:rFonts w:ascii="Arial" w:cs="Arial" w:eastAsia="Arial" w:hAnsi="Arial"/>
          <w:sz w:val="19"/>
          <w:szCs w:val="19"/>
          <w:color w:val="auto"/>
        </w:rPr>
      </w:pPr>
    </w:p>
    <w:p>
      <w:pPr>
        <w:ind w:left="420" w:hanging="338"/>
        <w:spacing w:after="0"/>
        <w:tabs>
          <w:tab w:leader="none" w:pos="4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 Geographic Areas—Financial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Net Sales(1)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Long-lived Assets(2)</w:t>
            </w:r>
          </w:p>
        </w:tc>
        <w:tc>
          <w:tcPr>
            <w:tcW w:w="6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527"/>
              <w:spacing w:after="0" w:line="169" w:lineRule="exact"/>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0"/>
              <w:spacing w:after="0" w:line="169" w:lineRule="exact"/>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15"/>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7"/>
              <w:spacing w:after="0" w:line="169" w:lineRule="exact"/>
              <w:rPr>
                <w:sz w:val="20"/>
                <w:szCs w:val="20"/>
                <w:color w:val="auto"/>
              </w:rPr>
            </w:pPr>
            <w:r>
              <w:rPr>
                <w:rFonts w:ascii="Arial" w:cs="Arial" w:eastAsia="Arial" w:hAnsi="Arial"/>
                <w:sz w:val="16"/>
                <w:szCs w:val="16"/>
                <w:b w:val="1"/>
                <w:bCs w:val="1"/>
                <w:color w:val="auto"/>
              </w:rPr>
              <w:t>2015</w:t>
            </w:r>
          </w:p>
        </w:tc>
      </w:tr>
      <w:tr>
        <w:trPr>
          <w:trHeight w:val="237"/>
        </w:trPr>
        <w:tc>
          <w:tcPr>
            <w:tcW w:w="500" w:type="dxa"/>
            <w:vAlign w:val="bottom"/>
          </w:tcPr>
          <w:p>
            <w:pPr>
              <w:spacing w:after="0"/>
              <w:rPr>
                <w:sz w:val="20"/>
                <w:szCs w:val="20"/>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United States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22,722</w:t>
            </w:r>
          </w:p>
        </w:tc>
        <w:tc>
          <w:tcPr>
            <w:tcW w:w="48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22,652</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23,771</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$ 3,604</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$ 3,744</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3,939</w:t>
            </w:r>
          </w:p>
        </w:tc>
      </w:tr>
      <w:tr>
        <w:trPr>
          <w:trHeight w:val="243"/>
        </w:trPr>
        <w:tc>
          <w:tcPr>
            <w:tcW w:w="50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9"/>
                <w:szCs w:val="19"/>
                <w:color w:val="auto"/>
              </w:rPr>
              <w:t>Europe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10,400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9,966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8,674</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927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741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746</w:t>
            </w:r>
          </w:p>
        </w:tc>
      </w:tr>
      <w:tr>
        <w:trPr>
          <w:trHeight w:val="243"/>
        </w:trPr>
        <w:tc>
          <w:tcPr>
            <w:tcW w:w="500" w:type="dxa"/>
            <w:vAlign w:val="bottom"/>
          </w:tcPr>
          <w:p>
            <w:pPr>
              <w:spacing w:after="0"/>
              <w:rPr>
                <w:sz w:val="21"/>
                <w:szCs w:val="21"/>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International</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7,412</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6,684</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6,136</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1,395</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1,308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1,104</w:t>
            </w:r>
          </w:p>
        </w:tc>
      </w:tr>
      <w:tr>
        <w:trPr>
          <w:trHeight w:val="250"/>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40,534</w:t>
            </w:r>
          </w:p>
        </w:tc>
        <w:tc>
          <w:tcPr>
            <w:tcW w:w="48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39,302</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38,581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$ 5,926</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$ 5,793</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5,789</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162" w:lineRule="exact"/>
        <w:rPr>
          <w:sz w:val="20"/>
          <w:szCs w:val="20"/>
          <w:color w:val="auto"/>
        </w:rPr>
      </w:pPr>
    </w:p>
    <w:p>
      <w:pPr>
        <w:jc w:val="both"/>
        <w:ind w:left="420" w:right="140" w:hanging="338"/>
        <w:spacing w:after="0" w:line="245" w:lineRule="auto"/>
        <w:tabs>
          <w:tab w:leader="none" w:pos="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Sales between geographic areas approximate market and are not significant. Net sales are classified according to their country of origin. Included in United States net sales are export sales of $4,974 million, $5,290 million and $5,526 million in 2017, 2016 and 2015.</w:t>
      </w:r>
    </w:p>
    <w:p>
      <w:pPr>
        <w:spacing w:after="0" w:line="73" w:lineRule="exact"/>
        <w:rPr>
          <w:rFonts w:ascii="Arial" w:cs="Arial" w:eastAsia="Arial" w:hAnsi="Arial"/>
          <w:sz w:val="19"/>
          <w:szCs w:val="19"/>
          <w:color w:val="auto"/>
        </w:rPr>
      </w:pPr>
    </w:p>
    <w:p>
      <w:pPr>
        <w:ind w:left="420" w:hanging="338"/>
        <w:spacing w:after="0"/>
        <w:tabs>
          <w:tab w:leader="none" w:pos="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Long-lived assets are comprised of property, plant and equipment - net.</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 Supplemental Cash Flow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45"/>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5"/>
              <w:spacing w:after="0" w:line="169" w:lineRule="exact"/>
              <w:rPr>
                <w:sz w:val="20"/>
                <w:szCs w:val="20"/>
                <w:color w:val="auto"/>
              </w:rPr>
            </w:pPr>
            <w:r>
              <w:rPr>
                <w:rFonts w:ascii="Arial" w:cs="Arial" w:eastAsia="Arial" w:hAnsi="Arial"/>
                <w:sz w:val="16"/>
                <w:szCs w:val="16"/>
                <w:b w:val="1"/>
                <w:bCs w:val="1"/>
                <w:color w:val="auto"/>
              </w:rPr>
              <w:t>2015</w:t>
            </w:r>
          </w:p>
        </w:tc>
        <w:tc>
          <w:tcPr>
            <w:tcW w:w="520" w:type="dxa"/>
            <w:vAlign w:val="bottom"/>
          </w:tcPr>
          <w:p>
            <w:pPr>
              <w:spacing w:after="0"/>
              <w:rPr>
                <w:sz w:val="14"/>
                <w:szCs w:val="14"/>
                <w:color w:val="auto"/>
              </w:rPr>
            </w:pPr>
          </w:p>
        </w:tc>
      </w:tr>
      <w:tr>
        <w:trPr>
          <w:trHeight w:val="210"/>
        </w:trPr>
        <w:tc>
          <w:tcPr>
            <w:tcW w:w="500" w:type="dxa"/>
            <w:vAlign w:val="bottom"/>
          </w:tcPr>
          <w:p>
            <w:pPr>
              <w:spacing w:after="0"/>
              <w:rPr>
                <w:sz w:val="18"/>
                <w:szCs w:val="18"/>
                <w:color w:val="auto"/>
              </w:rPr>
            </w:pPr>
          </w:p>
        </w:tc>
        <w:tc>
          <w:tcPr>
            <w:tcW w:w="74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Payments for repositioning and other charges:</w:t>
            </w: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480" w:type="dxa"/>
            <w:vAlign w:val="bottom"/>
          </w:tcPr>
          <w:p>
            <w:pPr>
              <w:ind w:left="360"/>
              <w:spacing w:after="0" w:line="216" w:lineRule="exact"/>
              <w:rPr>
                <w:sz w:val="20"/>
                <w:szCs w:val="20"/>
                <w:color w:val="auto"/>
              </w:rPr>
            </w:pPr>
            <w:r>
              <w:rPr>
                <w:rFonts w:ascii="Arial" w:cs="Arial" w:eastAsia="Arial" w:hAnsi="Arial"/>
                <w:sz w:val="19"/>
                <w:szCs w:val="19"/>
                <w:color w:val="auto"/>
              </w:rPr>
              <w:t>Severance and exit cost payments</w:t>
            </w:r>
          </w:p>
        </w:tc>
        <w:tc>
          <w:tcPr>
            <w:tcW w:w="1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600" w:type="dxa"/>
            <w:vAlign w:val="bottom"/>
          </w:tcPr>
          <w:p>
            <w:pPr>
              <w:jc w:val="right"/>
              <w:spacing w:after="0" w:line="216" w:lineRule="exact"/>
              <w:rPr>
                <w:sz w:val="20"/>
                <w:szCs w:val="20"/>
                <w:color w:val="auto"/>
              </w:rPr>
            </w:pPr>
            <w:r>
              <w:rPr>
                <w:rFonts w:ascii="Arial" w:cs="Arial" w:eastAsia="Arial" w:hAnsi="Arial"/>
                <w:sz w:val="19"/>
                <w:szCs w:val="19"/>
                <w:color w:val="auto"/>
              </w:rPr>
              <w:t>(177)</w:t>
            </w:r>
          </w:p>
        </w:tc>
        <w:tc>
          <w:tcPr>
            <w:tcW w:w="4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w:t>
            </w:r>
          </w:p>
        </w:tc>
        <w:tc>
          <w:tcPr>
            <w:tcW w:w="600" w:type="dxa"/>
            <w:vAlign w:val="bottom"/>
          </w:tcPr>
          <w:p>
            <w:pPr>
              <w:jc w:val="right"/>
              <w:spacing w:after="0" w:line="216" w:lineRule="exact"/>
              <w:rPr>
                <w:sz w:val="20"/>
                <w:szCs w:val="20"/>
                <w:color w:val="auto"/>
              </w:rPr>
            </w:pPr>
            <w:r>
              <w:rPr>
                <w:rFonts w:ascii="Arial" w:cs="Arial" w:eastAsia="Arial" w:hAnsi="Arial"/>
                <w:sz w:val="19"/>
                <w:szCs w:val="19"/>
                <w:color w:val="auto"/>
              </w:rPr>
              <w:t>(228)</w:t>
            </w:r>
          </w:p>
        </w:tc>
        <w:tc>
          <w:tcPr>
            <w:tcW w:w="48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w:t>
            </w:r>
          </w:p>
        </w:tc>
        <w:tc>
          <w:tcPr>
            <w:tcW w:w="620" w:type="dxa"/>
            <w:vAlign w:val="bottom"/>
          </w:tcPr>
          <w:p>
            <w:pPr>
              <w:jc w:val="right"/>
              <w:spacing w:after="0" w:line="216" w:lineRule="exact"/>
              <w:rPr>
                <w:sz w:val="20"/>
                <w:szCs w:val="20"/>
                <w:color w:val="auto"/>
              </w:rPr>
            </w:pPr>
            <w:r>
              <w:rPr>
                <w:rFonts w:ascii="Arial" w:cs="Arial" w:eastAsia="Arial" w:hAnsi="Arial"/>
                <w:sz w:val="19"/>
                <w:szCs w:val="19"/>
                <w:color w:val="auto"/>
              </w:rPr>
              <w:t>(118)</w:t>
            </w:r>
          </w:p>
        </w:tc>
        <w:tc>
          <w:tcPr>
            <w:tcW w:w="5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74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Environmental payments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(228)</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(273)</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7480" w:type="dxa"/>
            <w:vAlign w:val="bottom"/>
          </w:tcPr>
          <w:p>
            <w:pPr>
              <w:ind w:left="360"/>
              <w:spacing w:after="0"/>
              <w:rPr>
                <w:sz w:val="20"/>
                <w:szCs w:val="20"/>
                <w:color w:val="auto"/>
              </w:rPr>
            </w:pPr>
            <w:r>
              <w:rPr>
                <w:rFonts w:ascii="Arial" w:cs="Arial" w:eastAsia="Arial" w:hAnsi="Arial"/>
                <w:sz w:val="19"/>
                <w:szCs w:val="19"/>
                <w:color w:val="auto"/>
              </w:rPr>
              <w:t>Insurance receipts for asbestos related liabilities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63</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74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Asbestos related liability payments</w:t>
            </w: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(212)</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(209)</w:t>
            </w:r>
          </w:p>
        </w:tc>
        <w:tc>
          <w:tcPr>
            <w:tcW w:w="520" w:type="dxa"/>
            <w:vAlign w:val="bottom"/>
          </w:tcPr>
          <w:p>
            <w:pPr>
              <w:spacing w:after="0"/>
              <w:rPr>
                <w:sz w:val="21"/>
                <w:szCs w:val="21"/>
                <w:color w:val="auto"/>
              </w:rPr>
            </w:pPr>
          </w:p>
        </w:tc>
      </w:tr>
      <w:tr>
        <w:trPr>
          <w:trHeight w:val="223"/>
        </w:trPr>
        <w:tc>
          <w:tcPr>
            <w:tcW w:w="5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(628)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(625)</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(537)</w:t>
            </w:r>
          </w:p>
        </w:tc>
        <w:tc>
          <w:tcPr>
            <w:tcW w:w="52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Interest paid, net of amounts capitalized</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306</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329</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310</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7480" w:type="dxa"/>
            <w:vAlign w:val="bottom"/>
          </w:tcPr>
          <w:p>
            <w:pPr>
              <w:spacing w:after="0"/>
              <w:rPr>
                <w:sz w:val="20"/>
                <w:szCs w:val="20"/>
                <w:color w:val="auto"/>
              </w:rPr>
            </w:pPr>
            <w:r>
              <w:rPr>
                <w:rFonts w:ascii="Arial" w:cs="Arial" w:eastAsia="Arial" w:hAnsi="Arial"/>
                <w:sz w:val="19"/>
                <w:szCs w:val="19"/>
                <w:color w:val="auto"/>
              </w:rPr>
              <w:t>Income taxes paid, net of refunds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1,751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1,142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1,192</w:t>
            </w:r>
          </w:p>
        </w:tc>
        <w:tc>
          <w:tcPr>
            <w:tcW w:w="52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74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Non-cash investing and financing activities:</w:t>
            </w: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7480" w:type="dxa"/>
            <w:vAlign w:val="bottom"/>
          </w:tcPr>
          <w:p>
            <w:pPr>
              <w:ind w:left="360"/>
              <w:spacing w:after="0"/>
              <w:rPr>
                <w:sz w:val="20"/>
                <w:szCs w:val="20"/>
                <w:color w:val="auto"/>
              </w:rPr>
            </w:pPr>
            <w:r>
              <w:rPr>
                <w:rFonts w:ascii="Arial" w:cs="Arial" w:eastAsia="Arial" w:hAnsi="Arial"/>
                <w:sz w:val="19"/>
                <w:szCs w:val="19"/>
                <w:color w:val="auto"/>
              </w:rPr>
              <w:t>Common stock contributed to savings plans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172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168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174</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74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Marketable securities contributed to non-U.S. pension plans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w:t>
            </w:r>
          </w:p>
        </w:tc>
        <w:tc>
          <w:tcPr>
            <w:tcW w:w="520" w:type="dxa"/>
            <w:vAlign w:val="bottom"/>
          </w:tcPr>
          <w:p>
            <w:pPr>
              <w:spacing w:after="0"/>
              <w:rPr>
                <w:sz w:val="21"/>
                <w:szCs w:val="21"/>
                <w:color w:val="auto"/>
              </w:rPr>
            </w:pPr>
          </w:p>
        </w:tc>
      </w:tr>
      <w:tr>
        <w:trPr>
          <w:trHeight w:val="342"/>
        </w:trPr>
        <w:tc>
          <w:tcPr>
            <w:tcW w:w="500" w:type="dxa"/>
            <w:vAlign w:val="bottom"/>
          </w:tcPr>
          <w:p>
            <w:pPr>
              <w:spacing w:after="0"/>
              <w:rPr>
                <w:sz w:val="24"/>
                <w:szCs w:val="24"/>
                <w:color w:val="auto"/>
              </w:rPr>
            </w:pPr>
          </w:p>
        </w:tc>
        <w:tc>
          <w:tcPr>
            <w:tcW w:w="7480" w:type="dxa"/>
            <w:vAlign w:val="bottom"/>
          </w:tcPr>
          <w:p>
            <w:pPr>
              <w:ind w:left="5100"/>
              <w:spacing w:after="0"/>
              <w:rPr>
                <w:sz w:val="20"/>
                <w:szCs w:val="20"/>
                <w:color w:val="auto"/>
              </w:rPr>
            </w:pPr>
            <w:r>
              <w:rPr>
                <w:rFonts w:ascii="Arial" w:cs="Arial" w:eastAsia="Arial" w:hAnsi="Arial"/>
                <w:sz w:val="19"/>
                <w:szCs w:val="19"/>
                <w:color w:val="auto"/>
              </w:rPr>
              <w:t>86</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Non-cash operating activities reported within Other of the Consolidated Statement of Cash Flows included the noncurrent portion of the 2017 provisional tax charge of $ 1,737 due to the imposition of the mandatory transition tax on the deemed repatriation of certain undistributed foreign earnings, and within Deferred income taxes the provisional tax charge of $2,094 related to the estimated foreign and state taxes on undistributed earnings of its foreign affiliates (see Note 5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24. Unaudited Quarterly Financial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69"/>
        </w:trPr>
        <w:tc>
          <w:tcPr>
            <w:tcW w:w="12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4"/>
              <w:spacing w:after="0" w:line="169" w:lineRule="exact"/>
              <w:rPr>
                <w:sz w:val="20"/>
                <w:szCs w:val="20"/>
                <w:color w:val="auto"/>
              </w:rPr>
            </w:pPr>
            <w:r>
              <w:rPr>
                <w:rFonts w:ascii="Arial" w:cs="Arial" w:eastAsia="Arial" w:hAnsi="Arial"/>
                <w:sz w:val="16"/>
                <w:szCs w:val="16"/>
                <w:b w:val="1"/>
                <w:bCs w:val="1"/>
                <w:color w:val="auto"/>
              </w:rPr>
              <w:t>Mar. 31</w:t>
            </w:r>
          </w:p>
        </w:tc>
        <w:tc>
          <w:tcPr>
            <w:tcW w:w="3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b w:val="1"/>
                <w:bCs w:val="1"/>
                <w:color w:val="auto"/>
              </w:rPr>
              <w:t>June 30</w:t>
            </w:r>
          </w:p>
        </w:tc>
        <w:tc>
          <w:tcPr>
            <w:tcW w:w="3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6"/>
              <w:spacing w:after="0" w:line="169" w:lineRule="exact"/>
              <w:rPr>
                <w:sz w:val="20"/>
                <w:szCs w:val="20"/>
                <w:color w:val="auto"/>
              </w:rPr>
            </w:pPr>
            <w:r>
              <w:rPr>
                <w:rFonts w:ascii="Arial" w:cs="Arial" w:eastAsia="Arial" w:hAnsi="Arial"/>
                <w:sz w:val="16"/>
                <w:szCs w:val="16"/>
                <w:b w:val="1"/>
                <w:bCs w:val="1"/>
                <w:color w:val="auto"/>
              </w:rPr>
              <w:t>Sept. 30</w:t>
            </w:r>
          </w:p>
        </w:tc>
        <w:tc>
          <w:tcPr>
            <w:tcW w:w="3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20"/>
              <w:spacing w:after="0" w:line="169" w:lineRule="exact"/>
              <w:rPr>
                <w:sz w:val="20"/>
                <w:szCs w:val="20"/>
                <w:color w:val="auto"/>
              </w:rPr>
            </w:pPr>
            <w:r>
              <w:rPr>
                <w:rFonts w:ascii="Arial" w:cs="Arial" w:eastAsia="Arial" w:hAnsi="Arial"/>
                <w:sz w:val="16"/>
                <w:szCs w:val="16"/>
                <w:b w:val="1"/>
                <w:bCs w:val="1"/>
                <w:color w:val="auto"/>
              </w:rPr>
              <w:t>Dec. 31(3)</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5"/>
              <w:spacing w:after="0" w:line="169" w:lineRule="exact"/>
              <w:rPr>
                <w:sz w:val="20"/>
                <w:szCs w:val="20"/>
                <w:color w:val="auto"/>
              </w:rPr>
            </w:pPr>
            <w:r>
              <w:rPr>
                <w:rFonts w:ascii="Arial" w:cs="Arial" w:eastAsia="Arial" w:hAnsi="Arial"/>
                <w:sz w:val="16"/>
                <w:szCs w:val="16"/>
                <w:b w:val="1"/>
                <w:bCs w:val="1"/>
                <w:color w:val="auto"/>
              </w:rPr>
              <w:t>Year</w:t>
            </w:r>
          </w:p>
        </w:tc>
      </w:tr>
      <w:tr>
        <w:trPr>
          <w:trHeight w:val="237"/>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9,492</w:t>
            </w:r>
          </w:p>
        </w:tc>
        <w:tc>
          <w:tcPr>
            <w:tcW w:w="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$ 10,078</w:t>
            </w:r>
          </w:p>
        </w:tc>
        <w:tc>
          <w:tcPr>
            <w:tcW w:w="6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20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10,121</w:t>
            </w:r>
          </w:p>
        </w:tc>
        <w:tc>
          <w:tcPr>
            <w:tcW w:w="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10,843</w:t>
            </w:r>
          </w:p>
        </w:tc>
        <w:tc>
          <w:tcPr>
            <w:tcW w:w="50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40,534</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3,136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3,228</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3,248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3,347</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12,959</w:t>
            </w:r>
          </w:p>
        </w:tc>
      </w:tr>
      <w:tr>
        <w:trPr>
          <w:trHeight w:val="243"/>
        </w:trPr>
        <w:tc>
          <w:tcPr>
            <w:tcW w:w="57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(loss) attributable to Honeywell</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1,326</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1,392</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1,348</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(2,411)</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1,655</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Earnings (loss) per common share—basic(1)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1.82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1.77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2.17</w:t>
            </w:r>
          </w:p>
        </w:tc>
      </w:tr>
      <w:tr>
        <w:trPr>
          <w:trHeight w:val="243"/>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(loss) per common share—assuming dilution(1)(2)</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1.80</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(3.18)</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2.14</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Cash dividends per common share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0.6650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0.6650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0.6650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0.7450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2.74</w:t>
            </w:r>
          </w:p>
        </w:tc>
      </w:tr>
      <w:tr>
        <w:trPr>
          <w:trHeight w:val="216"/>
        </w:trPr>
        <w:tc>
          <w:tcPr>
            <w:tcW w:w="5700" w:type="dxa"/>
            <w:vAlign w:val="bottom"/>
            <w:gridSpan w:val="2"/>
            <w:shd w:val="clear" w:color="auto" w:fill="E5FFFF"/>
          </w:tcPr>
          <w:p>
            <w:pPr>
              <w:spacing w:after="0" w:line="216" w:lineRule="exact"/>
              <w:rPr>
                <w:sz w:val="20"/>
                <w:szCs w:val="20"/>
                <w:color w:val="auto"/>
              </w:rPr>
            </w:pPr>
            <w:r>
              <w:rPr>
                <w:rFonts w:ascii="Arial" w:cs="Arial" w:eastAsia="Arial" w:hAnsi="Arial"/>
                <w:sz w:val="19"/>
                <w:szCs w:val="19"/>
                <w:color w:val="auto"/>
              </w:rPr>
              <w:t>Market price per common share</w:t>
            </w: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43"/>
        </w:trPr>
        <w:tc>
          <w:tcPr>
            <w:tcW w:w="5700" w:type="dxa"/>
            <w:vAlign w:val="bottom"/>
            <w:gridSpan w:val="2"/>
          </w:tcPr>
          <w:p>
            <w:pPr>
              <w:ind w:left="360"/>
              <w:spacing w:after="0"/>
              <w:rPr>
                <w:sz w:val="20"/>
                <w:szCs w:val="20"/>
                <w:color w:val="auto"/>
              </w:rPr>
            </w:pPr>
            <w:r>
              <w:rPr>
                <w:rFonts w:ascii="Arial" w:cs="Arial" w:eastAsia="Arial" w:hAnsi="Arial"/>
                <w:sz w:val="19"/>
                <w:szCs w:val="19"/>
                <w:color w:val="auto"/>
              </w:rPr>
              <w:t>High</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127.25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135.84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141.75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155.96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155.96</w:t>
            </w:r>
          </w:p>
        </w:tc>
      </w:tr>
      <w:tr>
        <w:trPr>
          <w:trHeight w:val="243"/>
        </w:trPr>
        <w:tc>
          <w:tcPr>
            <w:tcW w:w="57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Low</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116.18</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122.50</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133.37</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142.55</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116.18</w:t>
            </w:r>
          </w:p>
        </w:tc>
      </w:tr>
      <w:tr>
        <w:trPr>
          <w:trHeight w:val="203"/>
        </w:trPr>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9"/>
        </w:trPr>
        <w:tc>
          <w:tcPr>
            <w:tcW w:w="12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w w:val="97"/>
              </w:rPr>
              <w:t>Mar. 31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w w:val="97"/>
              </w:rPr>
              <w:t>Sept.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9"/>
              </w:rPr>
              <w:t>Dec. 31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6"/>
                <w:szCs w:val="16"/>
                <w:b w:val="1"/>
                <w:bCs w:val="1"/>
                <w:color w:val="auto"/>
              </w:rPr>
              <w:t>Year</w:t>
            </w:r>
          </w:p>
        </w:tc>
      </w:tr>
      <w:tr>
        <w:trPr>
          <w:trHeight w:val="237"/>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9,522</w:t>
            </w:r>
          </w:p>
        </w:tc>
        <w:tc>
          <w:tcPr>
            <w:tcW w:w="220" w:type="dxa"/>
            <w:vAlign w:val="bottom"/>
            <w:shd w:val="clear" w:color="auto" w:fill="E5FFFF"/>
          </w:tcPr>
          <w:p>
            <w:pPr>
              <w:spacing w:after="0"/>
              <w:rPr>
                <w:sz w:val="20"/>
                <w:szCs w:val="20"/>
                <w:color w:val="auto"/>
              </w:rPr>
            </w:pPr>
          </w:p>
        </w:tc>
        <w:tc>
          <w:tcPr>
            <w:tcW w:w="94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  9,991</w:t>
            </w:r>
          </w:p>
        </w:tc>
        <w:tc>
          <w:tcPr>
            <w:tcW w:w="240" w:type="dxa"/>
            <w:vAlign w:val="bottom"/>
            <w:shd w:val="clear" w:color="auto" w:fill="E5FFFF"/>
          </w:tcPr>
          <w:p>
            <w:pPr>
              <w:spacing w:after="0"/>
              <w:rPr>
                <w:sz w:val="20"/>
                <w:szCs w:val="20"/>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9,804</w:t>
            </w:r>
          </w:p>
        </w:tc>
        <w:tc>
          <w:tcPr>
            <w:tcW w:w="220" w:type="dxa"/>
            <w:vAlign w:val="bottom"/>
            <w:shd w:val="clear" w:color="auto" w:fill="E5FFFF"/>
          </w:tcPr>
          <w:p>
            <w:pPr>
              <w:spacing w:after="0"/>
              <w:rPr>
                <w:sz w:val="20"/>
                <w:szCs w:val="20"/>
                <w:color w:val="auto"/>
              </w:rPr>
            </w:pPr>
          </w:p>
        </w:tc>
        <w:tc>
          <w:tcPr>
            <w:tcW w:w="220" w:type="dxa"/>
            <w:vAlign w:val="bottom"/>
            <w:gridSpan w:val="2"/>
            <w:shd w:val="clear" w:color="auto" w:fill="E5FFFF"/>
          </w:tcPr>
          <w:p>
            <w:pPr>
              <w:ind w:left="8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9,985</w:t>
            </w:r>
          </w:p>
        </w:tc>
        <w:tc>
          <w:tcPr>
            <w:tcW w:w="50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39,302</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2,975</w:t>
            </w:r>
          </w:p>
        </w:tc>
        <w:tc>
          <w:tcPr>
            <w:tcW w:w="2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9"/>
                <w:szCs w:val="19"/>
                <w:color w:val="auto"/>
              </w:rPr>
              <w:t>3,170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2,901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3,106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12,152</w:t>
            </w:r>
          </w:p>
        </w:tc>
      </w:tr>
      <w:tr>
        <w:trPr>
          <w:trHeight w:val="243"/>
        </w:trPr>
        <w:tc>
          <w:tcPr>
            <w:tcW w:w="57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attributable to Honeywell</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1,216</w:t>
            </w:r>
          </w:p>
        </w:tc>
        <w:tc>
          <w:tcPr>
            <w:tcW w:w="2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1,319</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1,240</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1,034</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4,809</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Earnings per common share—basic</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1.58</w:t>
            </w:r>
          </w:p>
        </w:tc>
        <w:tc>
          <w:tcPr>
            <w:tcW w:w="2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9"/>
                <w:szCs w:val="19"/>
                <w:color w:val="auto"/>
              </w:rPr>
              <w:t>1.73</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1.62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6.29</w:t>
            </w:r>
          </w:p>
        </w:tc>
      </w:tr>
      <w:tr>
        <w:trPr>
          <w:trHeight w:val="243"/>
        </w:trPr>
        <w:tc>
          <w:tcPr>
            <w:tcW w:w="57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common share—assuming dilution</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1.56</w:t>
            </w:r>
          </w:p>
        </w:tc>
        <w:tc>
          <w:tcPr>
            <w:tcW w:w="2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1.70</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1.60</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6.20</w:t>
            </w:r>
          </w:p>
        </w:tc>
      </w:tr>
      <w:tr>
        <w:trPr>
          <w:trHeight w:val="243"/>
        </w:trPr>
        <w:tc>
          <w:tcPr>
            <w:tcW w:w="5700" w:type="dxa"/>
            <w:vAlign w:val="bottom"/>
            <w:gridSpan w:val="2"/>
          </w:tcPr>
          <w:p>
            <w:pPr>
              <w:spacing w:after="0"/>
              <w:rPr>
                <w:sz w:val="20"/>
                <w:szCs w:val="20"/>
                <w:color w:val="auto"/>
              </w:rPr>
            </w:pPr>
            <w:r>
              <w:rPr>
                <w:rFonts w:ascii="Arial" w:cs="Arial" w:eastAsia="Arial" w:hAnsi="Arial"/>
                <w:sz w:val="19"/>
                <w:szCs w:val="19"/>
                <w:color w:val="auto"/>
              </w:rPr>
              <w:t>Cash dividends per common share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0.5950</w:t>
            </w:r>
          </w:p>
        </w:tc>
        <w:tc>
          <w:tcPr>
            <w:tcW w:w="2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9"/>
                <w:szCs w:val="19"/>
                <w:color w:val="auto"/>
              </w:rPr>
              <w:t>0.5950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0.5950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0.6650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2.45</w:t>
            </w:r>
          </w:p>
        </w:tc>
      </w:tr>
      <w:tr>
        <w:trPr>
          <w:trHeight w:val="216"/>
        </w:trPr>
        <w:tc>
          <w:tcPr>
            <w:tcW w:w="5700" w:type="dxa"/>
            <w:vAlign w:val="bottom"/>
            <w:gridSpan w:val="2"/>
            <w:shd w:val="clear" w:color="auto" w:fill="E5FFFF"/>
          </w:tcPr>
          <w:p>
            <w:pPr>
              <w:spacing w:after="0" w:line="216" w:lineRule="exact"/>
              <w:rPr>
                <w:sz w:val="20"/>
                <w:szCs w:val="20"/>
                <w:color w:val="auto"/>
              </w:rPr>
            </w:pPr>
            <w:r>
              <w:rPr>
                <w:rFonts w:ascii="Arial" w:cs="Arial" w:eastAsia="Arial" w:hAnsi="Arial"/>
                <w:sz w:val="19"/>
                <w:szCs w:val="19"/>
                <w:color w:val="auto"/>
              </w:rPr>
              <w:t>Market price per common share</w:t>
            </w: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43"/>
        </w:trPr>
        <w:tc>
          <w:tcPr>
            <w:tcW w:w="5700" w:type="dxa"/>
            <w:vAlign w:val="bottom"/>
            <w:gridSpan w:val="2"/>
          </w:tcPr>
          <w:p>
            <w:pPr>
              <w:ind w:left="360"/>
              <w:spacing w:after="0"/>
              <w:rPr>
                <w:sz w:val="20"/>
                <w:szCs w:val="20"/>
                <w:color w:val="auto"/>
              </w:rPr>
            </w:pPr>
            <w:r>
              <w:rPr>
                <w:rFonts w:ascii="Arial" w:cs="Arial" w:eastAsia="Arial" w:hAnsi="Arial"/>
                <w:sz w:val="19"/>
                <w:szCs w:val="19"/>
                <w:color w:val="auto"/>
              </w:rPr>
              <w:t>High</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9"/>
                <w:szCs w:val="19"/>
                <w:color w:val="auto"/>
              </w:rPr>
              <w:t>113.23</w:t>
            </w:r>
          </w:p>
        </w:tc>
        <w:tc>
          <w:tcPr>
            <w:tcW w:w="22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9"/>
                <w:szCs w:val="19"/>
                <w:color w:val="auto"/>
              </w:rPr>
              <w:t>117.32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119.88</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118.09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119.88</w:t>
            </w:r>
          </w:p>
        </w:tc>
      </w:tr>
      <w:tr>
        <w:trPr>
          <w:trHeight w:val="243"/>
        </w:trPr>
        <w:tc>
          <w:tcPr>
            <w:tcW w:w="57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Low</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96.24</w:t>
            </w:r>
          </w:p>
        </w:tc>
        <w:tc>
          <w:tcPr>
            <w:tcW w:w="220" w:type="dxa"/>
            <w:vAlign w:val="bottom"/>
            <w:shd w:val="clear" w:color="auto" w:fill="E5FFFF"/>
          </w:tcPr>
          <w:p>
            <w:pPr>
              <w:spacing w:after="0"/>
              <w:rPr>
                <w:sz w:val="21"/>
                <w:szCs w:val="21"/>
                <w:color w:val="auto"/>
              </w:rPr>
            </w:pPr>
          </w:p>
        </w:tc>
        <w:tc>
          <w:tcPr>
            <w:tcW w:w="940" w:type="dxa"/>
            <w:vAlign w:val="bottom"/>
            <w:gridSpan w:val="3"/>
            <w:shd w:val="clear" w:color="auto" w:fill="E5FFFF"/>
          </w:tcPr>
          <w:p>
            <w:pPr>
              <w:jc w:val="right"/>
              <w:ind w:right="40"/>
              <w:spacing w:after="0"/>
              <w:rPr>
                <w:sz w:val="20"/>
                <w:szCs w:val="20"/>
                <w:color w:val="auto"/>
              </w:rPr>
            </w:pPr>
            <w:r>
              <w:rPr>
                <w:rFonts w:ascii="Arial" w:cs="Arial" w:eastAsia="Arial" w:hAnsi="Arial"/>
                <w:sz w:val="19"/>
                <w:szCs w:val="19"/>
                <w:color w:val="auto"/>
              </w:rPr>
              <w:t>111.46</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111.60</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105.78</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96.24</w:t>
            </w:r>
          </w:p>
        </w:tc>
      </w:tr>
      <w:tr>
        <w:trPr>
          <w:trHeight w:val="149"/>
        </w:trPr>
        <w:tc>
          <w:tcPr>
            <w:tcW w:w="1260" w:type="dxa"/>
            <w:vAlign w:val="bottom"/>
            <w:tcBorders>
              <w:bottom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bl>
    <w:p>
      <w:pPr>
        <w:spacing w:after="0" w:line="162" w:lineRule="exact"/>
        <w:rPr>
          <w:sz w:val="20"/>
          <w:szCs w:val="20"/>
          <w:color w:val="auto"/>
        </w:rPr>
      </w:pPr>
    </w:p>
    <w:p>
      <w:pPr>
        <w:ind w:left="420" w:right="200" w:hanging="338"/>
        <w:spacing w:after="0" w:line="253" w:lineRule="auto"/>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Total for the full year may differ from the sum of the individual quarters due to the requirement to use weighted average shares each quarter, which may fluctuate with share repurchases and share issuances, and due to the impact of losses in a quarter.</w:t>
      </w:r>
    </w:p>
    <w:p>
      <w:pPr>
        <w:spacing w:after="0" w:line="66" w:lineRule="exact"/>
        <w:rPr>
          <w:rFonts w:ascii="Arial" w:cs="Arial" w:eastAsia="Arial" w:hAnsi="Arial"/>
          <w:sz w:val="19"/>
          <w:szCs w:val="19"/>
          <w:color w:val="auto"/>
        </w:rPr>
      </w:pPr>
    </w:p>
    <w:p>
      <w:pPr>
        <w:ind w:left="420" w:right="520" w:hanging="338"/>
        <w:spacing w:after="0" w:line="253" w:lineRule="auto"/>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Due to a loss for the quarter ended December 31, 2017, no incremental shares were included because the effect would be antidilutive.</w:t>
      </w:r>
    </w:p>
    <w:p>
      <w:pPr>
        <w:spacing w:after="0" w:line="66" w:lineRule="exact"/>
        <w:rPr>
          <w:rFonts w:ascii="Arial" w:cs="Arial" w:eastAsia="Arial" w:hAnsi="Arial"/>
          <w:sz w:val="19"/>
          <w:szCs w:val="19"/>
          <w:color w:val="auto"/>
        </w:rPr>
      </w:pPr>
    </w:p>
    <w:p>
      <w:pPr>
        <w:ind w:left="420" w:right="440" w:hanging="338"/>
        <w:spacing w:after="0" w:line="245" w:lineRule="auto"/>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For the quarter ended December 31, 2017 Net income (loss) attributable to Honeywell, Earnings (loss) per common share - basic and Earnings (loss) per common share - assuming dilution were impacted by the Tax Cuts and Jobs Act; see Note 5 Income Taxes for further details.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90" w:name="page91"/>
    <w:bookmarkEnd w:id="90"/>
    <w:p>
      <w:pPr>
        <w:ind w:left="30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4"/>
          <w:szCs w:val="14"/>
          <w:b w:val="1"/>
          <w:bCs w:val="1"/>
          <w:color w:val="auto"/>
        </w:rPr>
        <w:t>O THE</w:t>
      </w:r>
      <w:r>
        <w:rPr>
          <w:rFonts w:ascii="Arial" w:cs="Arial" w:eastAsia="Arial" w:hAnsi="Arial"/>
          <w:sz w:val="19"/>
          <w:szCs w:val="19"/>
          <w:b w:val="1"/>
          <w:bCs w:val="1"/>
          <w:color w:val="auto"/>
        </w:rPr>
        <w:t xml:space="preserve"> S</w:t>
      </w:r>
      <w:r>
        <w:rPr>
          <w:rFonts w:ascii="Arial" w:cs="Arial" w:eastAsia="Arial" w:hAnsi="Arial"/>
          <w:sz w:val="14"/>
          <w:szCs w:val="14"/>
          <w:b w:val="1"/>
          <w:bCs w:val="1"/>
          <w:color w:val="auto"/>
        </w:rPr>
        <w:t>HAREOWNERS AND THE</w:t>
      </w:r>
      <w:r>
        <w:rPr>
          <w:rFonts w:ascii="Arial" w:cs="Arial" w:eastAsia="Arial" w:hAnsi="Arial"/>
          <w:sz w:val="19"/>
          <w:szCs w:val="19"/>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9"/>
          <w:szCs w:val="19"/>
          <w:b w:val="1"/>
          <w:bCs w:val="1"/>
          <w:color w:val="auto"/>
        </w:rPr>
        <w:t xml:space="preserve"> D</w:t>
      </w:r>
      <w:r>
        <w:rPr>
          <w:rFonts w:ascii="Arial" w:cs="Arial" w:eastAsia="Arial" w:hAnsi="Arial"/>
          <w:sz w:val="14"/>
          <w:szCs w:val="14"/>
          <w:b w:val="1"/>
          <w:bCs w:val="1"/>
          <w:color w:val="auto"/>
        </w:rPr>
        <w:t>IRECTORS OF</w:t>
      </w:r>
      <w:r>
        <w:rPr>
          <w:rFonts w:ascii="Arial" w:cs="Arial" w:eastAsia="Arial" w:hAnsi="Arial"/>
          <w:sz w:val="19"/>
          <w:szCs w:val="19"/>
          <w:b w:val="1"/>
          <w:bCs w:val="1"/>
          <w:color w:val="auto"/>
        </w:rPr>
        <w:t xml:space="preserve"> H</w:t>
      </w:r>
      <w:r>
        <w:rPr>
          <w:rFonts w:ascii="Arial" w:cs="Arial" w:eastAsia="Arial" w:hAnsi="Arial"/>
          <w:sz w:val="14"/>
          <w:szCs w:val="14"/>
          <w:b w:val="1"/>
          <w:bCs w:val="1"/>
          <w:color w:val="auto"/>
        </w:rPr>
        <w:t>ONEYWELL</w:t>
      </w:r>
      <w:r>
        <w:rPr>
          <w:rFonts w:ascii="Arial" w:cs="Arial" w:eastAsia="Arial" w:hAnsi="Arial"/>
          <w:sz w:val="19"/>
          <w:szCs w:val="19"/>
          <w:b w:val="1"/>
          <w:bCs w:val="1"/>
          <w:color w:val="auto"/>
        </w:rPr>
        <w:t xml:space="preserve"> I</w:t>
      </w:r>
      <w:r>
        <w:rPr>
          <w:rFonts w:ascii="Arial" w:cs="Arial" w:eastAsia="Arial" w:hAnsi="Arial"/>
          <w:sz w:val="14"/>
          <w:szCs w:val="14"/>
          <w:b w:val="1"/>
          <w:bCs w:val="1"/>
          <w:color w:val="auto"/>
        </w:rPr>
        <w:t>NTERNATIONAL</w:t>
      </w:r>
      <w:r>
        <w:rPr>
          <w:rFonts w:ascii="Arial" w:cs="Arial" w:eastAsia="Arial" w:hAnsi="Arial"/>
          <w:sz w:val="19"/>
          <w:szCs w:val="19"/>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9"/>
          <w:szCs w:val="19"/>
          <w:b w:val="1"/>
          <w:bCs w:val="1"/>
          <w:color w:val="auto"/>
        </w:rPr>
        <w:t>.</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Opinions on the Financial Statements and Internal Control over Financial Reporting</w:t>
      </w:r>
    </w:p>
    <w:p>
      <w:pPr>
        <w:spacing w:after="0" w:line="116"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 xml:space="preserve">We have audited the accompanying consolidated balance sheets of Honeywell International Inc. and subsidiaries (the “Company”) as of December 31, 2017 and 2016, and the related consolidated statements of operations, comprehensive income, shareholders’ equity, and cash flows, for each of the three years in the period ended December 31, 2017, and the related notes (collectively referred to as the “financial statements”). We also have audited the Company’s internal control over financial reporting as of December 31, 2017, based on criteria established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xml:space="preserve"> issued by the Committee of Sponsoring Organizations of the Treadway Commission (COSO).</w:t>
      </w:r>
    </w:p>
    <w:p>
      <w:pPr>
        <w:spacing w:after="0" w:line="94" w:lineRule="exact"/>
        <w:rPr>
          <w:sz w:val="20"/>
          <w:szCs w:val="20"/>
          <w:color w:val="auto"/>
        </w:rPr>
      </w:pPr>
    </w:p>
    <w:p>
      <w:pPr>
        <w:ind w:right="40" w:firstLine="357"/>
        <w:spacing w:after="0" w:line="241" w:lineRule="auto"/>
        <w:rPr>
          <w:sz w:val="20"/>
          <w:szCs w:val="20"/>
          <w:color w:val="auto"/>
        </w:rPr>
      </w:pPr>
      <w:r>
        <w:rPr>
          <w:rFonts w:ascii="Arial" w:cs="Arial" w:eastAsia="Arial" w:hAnsi="Arial"/>
          <w:sz w:val="19"/>
          <w:szCs w:val="19"/>
          <w:color w:val="auto"/>
        </w:rPr>
        <w:t xml:space="preserve">In our opinion, the financial statements referred to above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xml:space="preserve"> issued by COSO.</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Opinions</w:t>
      </w:r>
    </w:p>
    <w:p>
      <w:pPr>
        <w:spacing w:after="0" w:line="130"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87" w:lineRule="exact"/>
        <w:rPr>
          <w:sz w:val="20"/>
          <w:szCs w:val="20"/>
          <w:color w:val="auto"/>
        </w:rPr>
      </w:pPr>
    </w:p>
    <w:p>
      <w:pPr>
        <w:ind w:right="20" w:firstLine="357"/>
        <w:spacing w:after="0" w:line="239" w:lineRule="auto"/>
        <w:rPr>
          <w:sz w:val="20"/>
          <w:szCs w:val="20"/>
          <w:color w:val="auto"/>
        </w:rPr>
      </w:pPr>
      <w:r>
        <w:rPr>
          <w:rFonts w:ascii="Arial" w:cs="Arial" w:eastAsia="Arial" w:hAnsi="Arial"/>
          <w:sz w:val="19"/>
          <w:szCs w:val="19"/>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Definition and Limitations of Internal Control over Financial Reporting</w:t>
      </w:r>
    </w:p>
    <w:p>
      <w:pPr>
        <w:spacing w:after="0" w:line="130" w:lineRule="exact"/>
        <w:rPr>
          <w:sz w:val="20"/>
          <w:szCs w:val="20"/>
          <w:color w:val="auto"/>
        </w:rPr>
      </w:pPr>
    </w:p>
    <w:p>
      <w:pPr>
        <w:ind w:right="140" w:firstLine="357"/>
        <w:spacing w:after="0" w:line="242"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1" w:name="page92"/>
    <w:bookmarkEnd w:id="91"/>
    <w:p>
      <w:pPr>
        <w:ind w:right="40"/>
        <w:spacing w:after="0" w:line="241" w:lineRule="auto"/>
        <w:rPr>
          <w:sz w:val="20"/>
          <w:szCs w:val="20"/>
          <w:color w:val="auto"/>
        </w:rPr>
      </w:pPr>
      <w:r>
        <w:rPr>
          <w:rFonts w:ascii="Arial" w:cs="Arial" w:eastAsia="Arial" w:hAnsi="Arial"/>
          <w:sz w:val="19"/>
          <w:szCs w:val="19"/>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ind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Parsippany, New Jersey</w:t>
      </w:r>
    </w:p>
    <w:p>
      <w:pPr>
        <w:spacing w:after="0"/>
        <w:rPr>
          <w:sz w:val="20"/>
          <w:szCs w:val="20"/>
          <w:color w:val="auto"/>
        </w:rPr>
      </w:pPr>
      <w:r>
        <w:rPr>
          <w:rFonts w:ascii="Arial" w:cs="Arial" w:eastAsia="Arial" w:hAnsi="Arial"/>
          <w:sz w:val="19"/>
          <w:szCs w:val="19"/>
          <w:color w:val="auto"/>
        </w:rPr>
        <w:t>February 9, 2018</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2014.</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91" w:right="359" w:bottom="1440" w:gutter="0" w:footer="0" w:header="0"/>
        </w:sectPr>
      </w:pPr>
    </w:p>
    <w:bookmarkStart w:id="92" w:name="page93"/>
    <w:bookmarkEnd w:id="92"/>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147" w:lineRule="exact"/>
        <w:rPr>
          <w:sz w:val="20"/>
          <w:szCs w:val="20"/>
          <w:color w:val="auto"/>
        </w:rPr>
      </w:pPr>
    </w:p>
    <w:p>
      <w:pPr>
        <w:ind w:firstLine="357"/>
        <w:spacing w:after="0"/>
        <w:rPr>
          <w:sz w:val="20"/>
          <w:szCs w:val="20"/>
          <w:color w:val="auto"/>
        </w:rPr>
      </w:pPr>
      <w:r>
        <w:rPr>
          <w:rFonts w:ascii="Arial" w:cs="Arial" w:eastAsia="Arial" w:hAnsi="Arial"/>
          <w:sz w:val="19"/>
          <w:szCs w:val="19"/>
          <w:color w:val="auto"/>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2017.</w:t>
      </w:r>
    </w:p>
    <w:p>
      <w:pPr>
        <w:spacing w:after="0" w:line="80" w:lineRule="exact"/>
        <w:rPr>
          <w:sz w:val="20"/>
          <w:szCs w:val="20"/>
          <w:color w:val="auto"/>
        </w:rPr>
      </w:pPr>
    </w:p>
    <w:p>
      <w:pPr>
        <w:ind w:right="20" w:firstLine="357"/>
        <w:spacing w:after="0" w:line="242" w:lineRule="auto"/>
        <w:rPr>
          <w:sz w:val="20"/>
          <w:szCs w:val="20"/>
          <w:color w:val="auto"/>
        </w:rPr>
      </w:pPr>
      <w:r>
        <w:rPr>
          <w:rFonts w:ascii="Arial" w:cs="Arial" w:eastAsia="Arial" w:hAnsi="Arial"/>
          <w:sz w:val="19"/>
          <w:szCs w:val="19"/>
          <w:color w:val="auto"/>
        </w:rPr>
        <w:t>Our management, with the participation of our CEO and CFO, evaluated the effectiveness of our disclosure controls and procedures (as defined in Rules 13a-15(e) or 15d-15(e) promulgated under the Exchange Act) at December 31, 2017. Based on these evaluations, our CEO and CFO concluded that our disclosure controls and procedures required by paragraph (b) of Rules 13a-15 or 15d-15 were effective as of December 31, 2017.</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Management’s Report on Internal Control Over Financial Reporting</w:t>
      </w:r>
    </w:p>
    <w:p>
      <w:pPr>
        <w:spacing w:after="0" w:line="130" w:lineRule="exact"/>
        <w:rPr>
          <w:sz w:val="20"/>
          <w:szCs w:val="20"/>
          <w:color w:val="auto"/>
        </w:rPr>
      </w:pPr>
    </w:p>
    <w:p>
      <w:pPr>
        <w:ind w:right="100" w:firstLine="357"/>
        <w:spacing w:after="0" w:line="241" w:lineRule="auto"/>
        <w:rPr>
          <w:sz w:val="20"/>
          <w:szCs w:val="20"/>
          <w:color w:val="auto"/>
        </w:rPr>
      </w:pPr>
      <w:r>
        <w:rPr>
          <w:rFonts w:ascii="Arial" w:cs="Arial" w:eastAsia="Arial" w:hAnsi="Arial"/>
          <w:sz w:val="19"/>
          <w:szCs w:val="19"/>
          <w:color w:val="auto"/>
        </w:rPr>
        <w:t>Honeywell management is responsible for establishing and maintaining adequate internal control over financial reporting and for its assessment of the effectiveness of internal control over financial reporting as defined in Rules 13a-15(f)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w:t>
      </w:r>
    </w:p>
    <w:p>
      <w:pPr>
        <w:spacing w:after="0" w:line="106" w:lineRule="exact"/>
        <w:rPr>
          <w:sz w:val="20"/>
          <w:szCs w:val="20"/>
          <w:color w:val="auto"/>
        </w:rPr>
      </w:pPr>
    </w:p>
    <w:p>
      <w:pPr>
        <w:jc w:val="both"/>
        <w:ind w:right="400" w:firstLine="357"/>
        <w:spacing w:after="0" w:line="245" w:lineRule="auto"/>
        <w:rPr>
          <w:sz w:val="20"/>
          <w:szCs w:val="20"/>
          <w:color w:val="auto"/>
        </w:rPr>
      </w:pPr>
      <w:r>
        <w:rPr>
          <w:rFonts w:ascii="Arial" w:cs="Arial" w:eastAsia="Arial" w:hAnsi="Arial"/>
          <w:sz w:val="19"/>
          <w:szCs w:val="19"/>
          <w:color w:val="auto"/>
        </w:rPr>
        <w:t xml:space="preserve">Management assessed the effectiveness of Honeywell’s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w:t>
      </w:r>
    </w:p>
    <w:p>
      <w:pPr>
        <w:spacing w:after="0" w:line="87" w:lineRule="exact"/>
        <w:rPr>
          <w:sz w:val="20"/>
          <w:szCs w:val="20"/>
          <w:color w:val="auto"/>
        </w:rPr>
      </w:pPr>
    </w:p>
    <w:p>
      <w:pPr>
        <w:ind w:right="80" w:firstLine="357"/>
        <w:spacing w:after="0" w:line="253" w:lineRule="auto"/>
        <w:rPr>
          <w:sz w:val="20"/>
          <w:szCs w:val="20"/>
          <w:color w:val="auto"/>
        </w:rPr>
      </w:pPr>
      <w:r>
        <w:rPr>
          <w:rFonts w:ascii="Arial" w:cs="Arial" w:eastAsia="Arial" w:hAnsi="Arial"/>
          <w:sz w:val="19"/>
          <w:szCs w:val="19"/>
          <w:color w:val="auto"/>
        </w:rPr>
        <w:t>Based on this assessment, management determined that Honeywell maintained effective internal control over financial reporting as of December 31, 2017.</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effectiveness of Honeywell’s internal control over financial reporting as of December 31, 2017 has been audited by Deloitte</w:t>
      </w:r>
    </w:p>
    <w:p>
      <w:pPr>
        <w:ind w:right="640" w:firstLine="8"/>
        <w:spacing w:after="0" w:line="253" w:lineRule="auto"/>
        <w:tabs>
          <w:tab w:leader="none" w:pos="183" w:val="left"/>
        </w:tabs>
        <w:numPr>
          <w:ilvl w:val="0"/>
          <w:numId w:val="28"/>
        </w:numPr>
        <w:rPr>
          <w:rFonts w:ascii="Arial" w:cs="Arial" w:eastAsia="Arial" w:hAnsi="Arial"/>
          <w:sz w:val="19"/>
          <w:szCs w:val="19"/>
          <w:color w:val="auto"/>
        </w:rPr>
      </w:pPr>
      <w:r>
        <w:rPr>
          <w:rFonts w:ascii="Arial" w:cs="Arial" w:eastAsia="Arial" w:hAnsi="Arial"/>
          <w:sz w:val="19"/>
          <w:szCs w:val="19"/>
          <w:color w:val="auto"/>
        </w:rPr>
        <w:t>Touche LLP, an independent registered public accounting firm, as stated in their report which is included in Item 8. Financial Statements and Supplementary Data.</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Iran Threat Reduction and Syrian Human Rights Act of 2012</w:t>
      </w:r>
    </w:p>
    <w:p>
      <w:pPr>
        <w:spacing w:after="0" w:line="130" w:lineRule="exact"/>
        <w:rPr>
          <w:sz w:val="20"/>
          <w:szCs w:val="20"/>
          <w:color w:val="auto"/>
        </w:rPr>
      </w:pPr>
    </w:p>
    <w:p>
      <w:pPr>
        <w:ind w:right="120" w:firstLine="357"/>
        <w:spacing w:after="0"/>
        <w:rPr>
          <w:sz w:val="20"/>
          <w:szCs w:val="20"/>
          <w:color w:val="auto"/>
        </w:rPr>
      </w:pPr>
      <w:r>
        <w:rPr>
          <w:rFonts w:ascii="Arial" w:cs="Arial" w:eastAsia="Arial" w:hAnsi="Arial"/>
          <w:sz w:val="19"/>
          <w:szCs w:val="19"/>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fiscal year ended December 31, 2017, including the activities disclosed below, were conducted by our non-U.S. subsidiaries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93" w:name="page94"/>
    <w:bookmarkEnd w:id="93"/>
    <w:p>
      <w:pPr>
        <w:ind w:left="360"/>
        <w:spacing w:after="0"/>
        <w:rPr>
          <w:sz w:val="20"/>
          <w:szCs w:val="20"/>
          <w:color w:val="auto"/>
        </w:rPr>
      </w:pPr>
      <w:r>
        <w:rPr>
          <w:rFonts w:ascii="Arial" w:cs="Arial" w:eastAsia="Arial" w:hAnsi="Arial"/>
          <w:sz w:val="19"/>
          <w:szCs w:val="19"/>
          <w:color w:val="auto"/>
        </w:rPr>
        <w:t>In the fiscal year ended December 31, 2017, the non-U.S. subsidiaries of our UOP business, part of Performance Materials and</w:t>
      </w:r>
    </w:p>
    <w:p>
      <w:pPr>
        <w:spacing w:after="0"/>
        <w:rPr>
          <w:sz w:val="20"/>
          <w:szCs w:val="20"/>
          <w:color w:val="auto"/>
        </w:rPr>
      </w:pPr>
      <w:r>
        <w:rPr>
          <w:rFonts w:ascii="Arial" w:cs="Arial" w:eastAsia="Arial" w:hAnsi="Arial"/>
          <w:sz w:val="19"/>
          <w:szCs w:val="19"/>
          <w:color w:val="auto"/>
        </w:rPr>
        <w:t>Technologies, engaged in the following activities related to Iran’s oil, gas and/or petrochemical sectors:</w:t>
      </w:r>
    </w:p>
    <w:p>
      <w:pPr>
        <w:spacing w:after="0" w:line="92" w:lineRule="exact"/>
        <w:rPr>
          <w:sz w:val="20"/>
          <w:szCs w:val="20"/>
          <w:color w:val="auto"/>
        </w:rPr>
      </w:pPr>
    </w:p>
    <w:p>
      <w:pPr>
        <w:ind w:left="540" w:hanging="168"/>
        <w:spacing w:after="0" w:line="25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Delivered services to Iranian counterparties pursuant to new and existing contracts, which resulted in revenue of approximately $54.2 million (expected total value of these contracts is approximately $81.2 million).</w:t>
      </w:r>
    </w:p>
    <w:p>
      <w:pPr>
        <w:spacing w:after="0" w:line="66" w:lineRule="exact"/>
        <w:rPr>
          <w:rFonts w:ascii="Arial" w:cs="Arial" w:eastAsia="Arial" w:hAnsi="Arial"/>
          <w:sz w:val="19"/>
          <w:szCs w:val="19"/>
          <w:color w:val="auto"/>
        </w:rPr>
      </w:pPr>
    </w:p>
    <w:p>
      <w:pPr>
        <w:jc w:val="both"/>
        <w:ind w:left="540" w:right="640" w:hanging="168"/>
        <w:spacing w:after="0" w:line="25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Sold non-U.S. origin products to non-U.S. third-parties for end-use in Iran pursuant to new and existing contracts, which resulted in revenue of approximately $1.8 million (expected total value of these contracts is approximately $3.5 million).</w:t>
      </w:r>
    </w:p>
    <w:p>
      <w:pPr>
        <w:spacing w:after="0" w:line="80" w:lineRule="exact"/>
        <w:rPr>
          <w:sz w:val="20"/>
          <w:szCs w:val="20"/>
          <w:color w:val="auto"/>
        </w:rPr>
      </w:pPr>
    </w:p>
    <w:p>
      <w:pPr>
        <w:ind w:right="220" w:firstLine="357"/>
        <w:spacing w:after="0" w:line="253" w:lineRule="auto"/>
        <w:rPr>
          <w:sz w:val="20"/>
          <w:szCs w:val="20"/>
          <w:color w:val="auto"/>
        </w:rPr>
      </w:pPr>
      <w:r>
        <w:rPr>
          <w:rFonts w:ascii="Arial" w:cs="Arial" w:eastAsia="Arial" w:hAnsi="Arial"/>
          <w:sz w:val="19"/>
          <w:szCs w:val="19"/>
          <w:color w:val="auto"/>
        </w:rPr>
        <w:t>In the fiscal year ended December 31, 2017, the non-U.S. subsidiaries of our Process Solutions business, part of Performance Materials and Technologies, engaged in the following activities related to Iran’s oil, gas and/or petrochemical sectors:</w:t>
      </w:r>
    </w:p>
    <w:p>
      <w:pPr>
        <w:spacing w:after="0" w:line="53" w:lineRule="exact"/>
        <w:rPr>
          <w:sz w:val="20"/>
          <w:szCs w:val="20"/>
          <w:color w:val="auto"/>
        </w:rPr>
      </w:pPr>
    </w:p>
    <w:p>
      <w:pPr>
        <w:ind w:left="540" w:right="40" w:hanging="168"/>
        <w:spacing w:after="0" w:line="25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Sold non-U.S. origin products to non-U.S. third-parties for end-use in Iran pursuant to new contracts, which resulted in revenue of approximately $1.4 million (expected total value of these contracts is approximately $6.9 million).</w:t>
      </w:r>
    </w:p>
    <w:p>
      <w:pPr>
        <w:spacing w:after="0" w:line="66" w:lineRule="exact"/>
        <w:rPr>
          <w:rFonts w:ascii="Arial" w:cs="Arial" w:eastAsia="Arial" w:hAnsi="Arial"/>
          <w:sz w:val="19"/>
          <w:szCs w:val="19"/>
          <w:color w:val="auto"/>
        </w:rPr>
      </w:pPr>
    </w:p>
    <w:p>
      <w:pPr>
        <w:ind w:left="540" w:right="320" w:hanging="168"/>
        <w:spacing w:after="0" w:line="253" w:lineRule="auto"/>
        <w:tabs>
          <w:tab w:leader="none" w:pos="54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Sold approximately $0.4 million of non-U.S. origin products to distributors (including an Iranian distributor) for use in the gas distribution sector in Iran.</w:t>
      </w:r>
    </w:p>
    <w:p>
      <w:pPr>
        <w:spacing w:after="0" w:line="80" w:lineRule="exact"/>
        <w:rPr>
          <w:sz w:val="20"/>
          <w:szCs w:val="20"/>
          <w:color w:val="auto"/>
        </w:rPr>
      </w:pPr>
    </w:p>
    <w:p>
      <w:pPr>
        <w:jc w:val="both"/>
        <w:ind w:right="260" w:firstLine="357"/>
        <w:spacing w:after="0" w:line="245" w:lineRule="auto"/>
        <w:rPr>
          <w:sz w:val="20"/>
          <w:szCs w:val="20"/>
          <w:color w:val="auto"/>
        </w:rPr>
      </w:pPr>
      <w:r>
        <w:rPr>
          <w:rFonts w:ascii="Arial" w:cs="Arial" w:eastAsia="Arial" w:hAnsi="Arial"/>
          <w:sz w:val="19"/>
          <w:szCs w:val="19"/>
          <w:color w:val="auto"/>
        </w:rPr>
        <w:t>We intend to continue doing business in Iran under General Licenses H and I or under a specific license issued by OFAC, and otherwise in compliance with all applicable laws. Such activities may require additional disclosure pursuant to Section 13(r) of the Act.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PART III.</w:t>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and Executive Officers of the Registrant</w:t>
      </w:r>
    </w:p>
    <w:p>
      <w:pPr>
        <w:spacing w:after="0" w:line="147" w:lineRule="exact"/>
        <w:rPr>
          <w:sz w:val="20"/>
          <w:szCs w:val="20"/>
          <w:color w:val="auto"/>
        </w:rPr>
      </w:pPr>
    </w:p>
    <w:p>
      <w:pPr>
        <w:ind w:right="80" w:firstLine="357"/>
        <w:spacing w:after="0" w:line="241" w:lineRule="auto"/>
        <w:rPr>
          <w:sz w:val="20"/>
          <w:szCs w:val="20"/>
          <w:color w:val="auto"/>
        </w:rPr>
      </w:pPr>
      <w:r>
        <w:rPr>
          <w:rFonts w:ascii="Arial" w:cs="Arial" w:eastAsia="Arial" w:hAnsi="Arial"/>
          <w:sz w:val="19"/>
          <w:szCs w:val="19"/>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2017, and such information is incorporated herein by reference. Certain other information relating to the Executive Officers of Honeywell appears in Part I of this Annual Report on Form 10-K under the heading Executive Officers of the Registrant.</w:t>
      </w:r>
    </w:p>
    <w:p>
      <w:pPr>
        <w:spacing w:after="0" w:line="91" w:lineRule="exact"/>
        <w:rPr>
          <w:sz w:val="20"/>
          <w:szCs w:val="20"/>
          <w:color w:val="auto"/>
        </w:rPr>
      </w:pPr>
    </w:p>
    <w:p>
      <w:pPr>
        <w:ind w:right="260" w:firstLine="357"/>
        <w:spacing w:after="0" w:line="241" w:lineRule="auto"/>
        <w:rPr>
          <w:sz w:val="20"/>
          <w:szCs w:val="20"/>
          <w:color w:val="auto"/>
        </w:rPr>
      </w:pPr>
      <w:r>
        <w:rPr>
          <w:rFonts w:ascii="Arial" w:cs="Arial" w:eastAsia="Arial" w:hAnsi="Arial"/>
          <w:sz w:val="19"/>
          <w:szCs w:val="19"/>
          <w:color w:val="auto"/>
        </w:rPr>
        <w:t>The members of the Audit Committee of our Board of Directors are: George Paz (Chair), Kevin Burke, D. Scott Davis, Linnet Deily, Judd Gregg and Robin L. Washington. The Board has determined that Mr. Paz,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91" w:lineRule="exact"/>
        <w:rPr>
          <w:sz w:val="20"/>
          <w:szCs w:val="20"/>
          <w:color w:val="auto"/>
        </w:rPr>
      </w:pPr>
    </w:p>
    <w:p>
      <w:pPr>
        <w:ind w:right="20" w:firstLine="357"/>
        <w:spacing w:after="0"/>
        <w:rPr>
          <w:sz w:val="20"/>
          <w:szCs w:val="20"/>
          <w:color w:val="auto"/>
        </w:rPr>
      </w:pPr>
      <w:r>
        <w:rPr>
          <w:rFonts w:ascii="Arial" w:cs="Arial" w:eastAsia="Arial" w:hAnsi="Arial"/>
          <w:sz w:val="19"/>
          <w:szCs w:val="19"/>
          <w:color w:val="auto"/>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115 Tabor Road, Morris Plains, New Jersey 07950,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94" w:name="page95"/>
    <w:bookmarkEnd w:id="94"/>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147" w:lineRule="exact"/>
        <w:rPr>
          <w:sz w:val="20"/>
          <w:szCs w:val="20"/>
          <w:color w:val="auto"/>
        </w:rPr>
      </w:pPr>
    </w:p>
    <w:p>
      <w:pPr>
        <w:ind w:right="240" w:firstLine="357"/>
        <w:spacing w:after="0" w:line="253" w:lineRule="auto"/>
        <w:rPr>
          <w:sz w:val="20"/>
          <w:szCs w:val="20"/>
          <w:color w:val="auto"/>
        </w:rPr>
      </w:pPr>
      <w:r>
        <w:rPr>
          <w:rFonts w:ascii="Arial" w:cs="Arial" w:eastAsia="Arial" w:hAnsi="Arial"/>
          <w:sz w:val="19"/>
          <w:szCs w:val="19"/>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ind w:left="960" w:right="460" w:hanging="948"/>
        <w:spacing w:after="0" w:line="280"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64" w:lineRule="exact"/>
        <w:rPr>
          <w:sz w:val="20"/>
          <w:szCs w:val="20"/>
          <w:color w:val="auto"/>
        </w:rPr>
      </w:pPr>
    </w:p>
    <w:p>
      <w:pPr>
        <w:ind w:right="580" w:firstLine="357"/>
        <w:spacing w:after="0" w:line="245" w:lineRule="auto"/>
        <w:rPr>
          <w:sz w:val="20"/>
          <w:szCs w:val="20"/>
          <w:color w:val="auto"/>
        </w:rPr>
      </w:pPr>
      <w:r>
        <w:rPr>
          <w:rFonts w:ascii="Arial" w:cs="Arial" w:eastAsia="Arial" w:hAnsi="Arial"/>
          <w:sz w:val="19"/>
          <w:szCs w:val="19"/>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2017 information about our equity compensation plans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Securities</w:t>
            </w:r>
          </w:p>
        </w:tc>
      </w:tr>
      <w:tr>
        <w:trPr>
          <w:trHeight w:val="176"/>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Number of Shares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Remaining Available for</w:t>
            </w:r>
          </w:p>
        </w:tc>
      </w:tr>
      <w:tr>
        <w:trPr>
          <w:trHeight w:val="176"/>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to be Issued Upon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95"/>
              <w:spacing w:after="0" w:line="176" w:lineRule="exact"/>
              <w:rPr>
                <w:sz w:val="20"/>
                <w:szCs w:val="20"/>
                <w:color w:val="auto"/>
              </w:rPr>
            </w:pPr>
            <w:r>
              <w:rPr>
                <w:rFonts w:ascii="Arial" w:cs="Arial" w:eastAsia="Arial" w:hAnsi="Arial"/>
                <w:sz w:val="16"/>
                <w:szCs w:val="16"/>
                <w:b w:val="1"/>
                <w:bCs w:val="1"/>
                <w:color w:val="auto"/>
                <w:w w:val="98"/>
              </w:rPr>
              <w:t>Weighted-Average</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Future Issuance Under</w:t>
            </w:r>
          </w:p>
        </w:tc>
      </w:tr>
      <w:tr>
        <w:trPr>
          <w:trHeight w:val="176"/>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of</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9"/>
              </w:rPr>
              <w:t>Exercise Price of</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Equity Compensation</w:t>
            </w:r>
          </w:p>
        </w:tc>
      </w:tr>
      <w:tr>
        <w:trPr>
          <w:trHeight w:val="176"/>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Outstanding Options,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7"/>
              </w:rPr>
              <w:t>Outstanding</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Plans (Excluding</w:t>
            </w:r>
          </w:p>
        </w:tc>
      </w:tr>
      <w:tr>
        <w:trPr>
          <w:trHeight w:val="176"/>
        </w:trPr>
        <w:tc>
          <w:tcPr>
            <w:tcW w:w="12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Warrants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ind w:right="75"/>
              <w:spacing w:after="0" w:line="176" w:lineRule="exact"/>
              <w:rPr>
                <w:sz w:val="20"/>
                <w:szCs w:val="20"/>
                <w:color w:val="auto"/>
              </w:rPr>
            </w:pPr>
            <w:r>
              <w:rPr>
                <w:rFonts w:ascii="Arial" w:cs="Arial" w:eastAsia="Arial" w:hAnsi="Arial"/>
                <w:sz w:val="16"/>
                <w:szCs w:val="16"/>
                <w:b w:val="1"/>
                <w:bCs w:val="1"/>
                <w:color w:val="auto"/>
                <w:w w:val="98"/>
              </w:rPr>
              <w:t>Options, Warrants</w:t>
            </w:r>
          </w:p>
        </w:tc>
        <w:tc>
          <w:tcPr>
            <w:tcW w:w="30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 Reflected in</w:t>
            </w:r>
          </w:p>
        </w:tc>
      </w:tr>
      <w:tr>
        <w:trPr>
          <w:trHeight w:val="190"/>
        </w:trPr>
        <w:tc>
          <w:tcPr>
            <w:tcW w:w="12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and Rights</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9"/>
              </w:rPr>
              <w:t>and Rights</w:t>
            </w:r>
          </w:p>
        </w:tc>
        <w:tc>
          <w:tcPr>
            <w:tcW w:w="3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Column (a))</w:t>
            </w:r>
          </w:p>
        </w:tc>
      </w:tr>
      <w:tr>
        <w:trPr>
          <w:trHeight w:val="223"/>
        </w:trPr>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Plan category</w:t>
            </w:r>
          </w:p>
        </w:tc>
        <w:tc>
          <w:tcPr>
            <w:tcW w:w="3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(a)</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75"/>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210"/>
        </w:trPr>
        <w:tc>
          <w:tcPr>
            <w:tcW w:w="4620" w:type="dxa"/>
            <w:vAlign w:val="bottom"/>
            <w:gridSpan w:val="2"/>
            <w:shd w:val="clear" w:color="auto" w:fill="E5FFFF"/>
          </w:tcPr>
          <w:p>
            <w:pPr>
              <w:spacing w:after="0" w:line="210" w:lineRule="exact"/>
              <w:rPr>
                <w:sz w:val="20"/>
                <w:szCs w:val="20"/>
                <w:color w:val="auto"/>
              </w:rPr>
            </w:pPr>
            <w:r>
              <w:rPr>
                <w:rFonts w:ascii="Arial" w:cs="Arial" w:eastAsia="Arial" w:hAnsi="Arial"/>
                <w:sz w:val="19"/>
                <w:szCs w:val="19"/>
                <w:color w:val="auto"/>
              </w:rPr>
              <w:t>Equity compensation plans approved by security</w:t>
            </w:r>
          </w:p>
        </w:tc>
        <w:tc>
          <w:tcPr>
            <w:tcW w:w="300" w:type="dxa"/>
            <w:vAlign w:val="bottom"/>
            <w:shd w:val="clear" w:color="auto" w:fill="E5FFFF"/>
          </w:tcPr>
          <w:p>
            <w:pPr>
              <w:spacing w:after="0"/>
              <w:rPr>
                <w:sz w:val="18"/>
                <w:szCs w:val="18"/>
                <w:color w:val="auto"/>
              </w:rPr>
            </w:pPr>
          </w:p>
        </w:tc>
        <w:tc>
          <w:tcPr>
            <w:tcW w:w="18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300" w:type="dxa"/>
            <w:vAlign w:val="bottom"/>
            <w:shd w:val="clear" w:color="auto" w:fill="E5FFFF"/>
          </w:tcPr>
          <w:p>
            <w:pPr>
              <w:spacing w:after="0"/>
              <w:rPr>
                <w:sz w:val="18"/>
                <w:szCs w:val="18"/>
                <w:color w:val="auto"/>
              </w:rPr>
            </w:pPr>
          </w:p>
        </w:tc>
      </w:tr>
      <w:tr>
        <w:trPr>
          <w:trHeight w:val="216"/>
        </w:trPr>
        <w:tc>
          <w:tcPr>
            <w:tcW w:w="462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holders</w:t>
            </w:r>
          </w:p>
        </w:tc>
        <w:tc>
          <w:tcPr>
            <w:tcW w:w="2140" w:type="dxa"/>
            <w:vAlign w:val="bottom"/>
            <w:gridSpan w:val="2"/>
            <w:shd w:val="clear" w:color="auto" w:fill="E5FFFF"/>
          </w:tcPr>
          <w:p>
            <w:pPr>
              <w:jc w:val="right"/>
              <w:ind w:right="59"/>
              <w:spacing w:after="0" w:line="216" w:lineRule="exact"/>
              <w:rPr>
                <w:sz w:val="20"/>
                <w:szCs w:val="20"/>
                <w:color w:val="auto"/>
              </w:rPr>
            </w:pPr>
            <w:r>
              <w:rPr>
                <w:rFonts w:ascii="Arial" w:cs="Arial" w:eastAsia="Arial" w:hAnsi="Arial"/>
                <w:sz w:val="19"/>
                <w:szCs w:val="19"/>
                <w:color w:val="auto"/>
              </w:rPr>
              <w:t>29,299,135(1)</w:t>
            </w:r>
          </w:p>
        </w:tc>
        <w:tc>
          <w:tcPr>
            <w:tcW w:w="460" w:type="dxa"/>
            <w:vAlign w:val="bottom"/>
            <w:gridSpan w:val="2"/>
            <w:shd w:val="clear" w:color="auto" w:fill="E5FFFF"/>
          </w:tcPr>
          <w:p>
            <w:pPr>
              <w:jc w:val="right"/>
              <w:ind w:right="40"/>
              <w:spacing w:after="0" w:line="216" w:lineRule="exact"/>
              <w:rPr>
                <w:sz w:val="20"/>
                <w:szCs w:val="20"/>
                <w:color w:val="auto"/>
              </w:rPr>
            </w:pPr>
            <w:r>
              <w:rPr>
                <w:rFonts w:ascii="Arial" w:cs="Arial" w:eastAsia="Arial" w:hAnsi="Arial"/>
                <w:sz w:val="19"/>
                <w:szCs w:val="19"/>
                <w:color w:val="auto"/>
              </w:rPr>
              <w:t>$</w:t>
            </w:r>
          </w:p>
        </w:tc>
        <w:tc>
          <w:tcPr>
            <w:tcW w:w="1600" w:type="dxa"/>
            <w:vAlign w:val="bottom"/>
            <w:shd w:val="clear" w:color="auto" w:fill="E5FFFF"/>
          </w:tcPr>
          <w:p>
            <w:pPr>
              <w:jc w:val="right"/>
              <w:ind w:right="215"/>
              <w:spacing w:after="0" w:line="216" w:lineRule="exact"/>
              <w:rPr>
                <w:sz w:val="20"/>
                <w:szCs w:val="20"/>
                <w:color w:val="auto"/>
              </w:rPr>
            </w:pPr>
            <w:r>
              <w:rPr>
                <w:rFonts w:ascii="Arial" w:cs="Arial" w:eastAsia="Arial" w:hAnsi="Arial"/>
                <w:sz w:val="19"/>
                <w:szCs w:val="19"/>
                <w:color w:val="auto"/>
              </w:rPr>
              <w:t>94.16(2)</w:t>
            </w:r>
          </w:p>
        </w:tc>
        <w:tc>
          <w:tcPr>
            <w:tcW w:w="2600" w:type="dxa"/>
            <w:vAlign w:val="bottom"/>
            <w:gridSpan w:val="2"/>
            <w:shd w:val="clear" w:color="auto" w:fill="E5FFFF"/>
          </w:tcPr>
          <w:p>
            <w:pPr>
              <w:jc w:val="right"/>
              <w:ind w:right="139"/>
              <w:spacing w:after="0" w:line="216" w:lineRule="exact"/>
              <w:rPr>
                <w:sz w:val="20"/>
                <w:szCs w:val="20"/>
                <w:color w:val="auto"/>
              </w:rPr>
            </w:pPr>
            <w:r>
              <w:rPr>
                <w:rFonts w:ascii="Arial" w:cs="Arial" w:eastAsia="Arial" w:hAnsi="Arial"/>
                <w:sz w:val="19"/>
                <w:szCs w:val="19"/>
                <w:color w:val="auto"/>
              </w:rPr>
              <w:t>44,805,201(3)</w:t>
            </w:r>
          </w:p>
        </w:tc>
      </w:tr>
      <w:tr>
        <w:trPr>
          <w:trHeight w:val="216"/>
        </w:trPr>
        <w:tc>
          <w:tcPr>
            <w:tcW w:w="4620" w:type="dxa"/>
            <w:vAlign w:val="bottom"/>
            <w:gridSpan w:val="2"/>
          </w:tcPr>
          <w:p>
            <w:pPr>
              <w:spacing w:after="0" w:line="216" w:lineRule="exact"/>
              <w:rPr>
                <w:sz w:val="20"/>
                <w:szCs w:val="20"/>
                <w:color w:val="auto"/>
              </w:rPr>
            </w:pPr>
            <w:r>
              <w:rPr>
                <w:rFonts w:ascii="Arial" w:cs="Arial" w:eastAsia="Arial" w:hAnsi="Arial"/>
                <w:sz w:val="19"/>
                <w:szCs w:val="19"/>
                <w:color w:val="auto"/>
              </w:rPr>
              <w:t>Equity compensation plans not approved by security</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3"/>
        </w:trPr>
        <w:tc>
          <w:tcPr>
            <w:tcW w:w="462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holders</w:t>
            </w:r>
          </w:p>
        </w:tc>
        <w:tc>
          <w:tcPr>
            <w:tcW w:w="300" w:type="dxa"/>
            <w:vAlign w:val="bottom"/>
          </w:tcPr>
          <w:p>
            <w:pPr>
              <w:spacing w:after="0"/>
              <w:rPr>
                <w:sz w:val="19"/>
                <w:szCs w:val="19"/>
                <w:color w:val="auto"/>
              </w:rPr>
            </w:pPr>
          </w:p>
        </w:tc>
        <w:tc>
          <w:tcPr>
            <w:tcW w:w="1840" w:type="dxa"/>
            <w:vAlign w:val="bottom"/>
            <w:tcBorders>
              <w:bottom w:val="single" w:sz="8" w:color="auto"/>
            </w:tcBorders>
          </w:tcPr>
          <w:p>
            <w:pPr>
              <w:jc w:val="right"/>
              <w:ind w:right="59"/>
              <w:spacing w:after="0" w:line="216" w:lineRule="exact"/>
              <w:rPr>
                <w:sz w:val="20"/>
                <w:szCs w:val="20"/>
                <w:color w:val="auto"/>
              </w:rPr>
            </w:pPr>
            <w:r>
              <w:rPr>
                <w:rFonts w:ascii="Arial" w:cs="Arial" w:eastAsia="Arial" w:hAnsi="Arial"/>
                <w:sz w:val="19"/>
                <w:szCs w:val="19"/>
                <w:color w:val="auto"/>
              </w:rPr>
              <w:t>404,048(4)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15"/>
              <w:spacing w:after="0" w:line="216" w:lineRule="exact"/>
              <w:rPr>
                <w:sz w:val="20"/>
                <w:szCs w:val="20"/>
                <w:color w:val="auto"/>
              </w:rPr>
            </w:pPr>
            <w:r>
              <w:rPr>
                <w:rFonts w:ascii="Arial" w:cs="Arial" w:eastAsia="Arial" w:hAnsi="Arial"/>
                <w:sz w:val="19"/>
                <w:szCs w:val="19"/>
                <w:color w:val="auto"/>
              </w:rPr>
              <w:t>N/A(5)</w:t>
            </w:r>
          </w:p>
        </w:tc>
        <w:tc>
          <w:tcPr>
            <w:tcW w:w="300" w:type="dxa"/>
            <w:vAlign w:val="bottom"/>
          </w:tcPr>
          <w:p>
            <w:pPr>
              <w:spacing w:after="0"/>
              <w:rPr>
                <w:sz w:val="19"/>
                <w:szCs w:val="19"/>
                <w:color w:val="auto"/>
              </w:rPr>
            </w:pPr>
          </w:p>
        </w:tc>
        <w:tc>
          <w:tcPr>
            <w:tcW w:w="2300" w:type="dxa"/>
            <w:vAlign w:val="bottom"/>
            <w:tcBorders>
              <w:bottom w:val="single" w:sz="8" w:color="auto"/>
            </w:tcBorders>
          </w:tcPr>
          <w:p>
            <w:pPr>
              <w:jc w:val="right"/>
              <w:ind w:right="139"/>
              <w:spacing w:after="0" w:line="216" w:lineRule="exact"/>
              <w:rPr>
                <w:sz w:val="20"/>
                <w:szCs w:val="20"/>
                <w:color w:val="auto"/>
              </w:rPr>
            </w:pPr>
            <w:r>
              <w:rPr>
                <w:rFonts w:ascii="Arial" w:cs="Arial" w:eastAsia="Arial" w:hAnsi="Arial"/>
                <w:sz w:val="19"/>
                <w:szCs w:val="19"/>
                <w:color w:val="auto"/>
              </w:rPr>
              <w:t>N/A(6)</w:t>
            </w:r>
          </w:p>
        </w:tc>
      </w:tr>
      <w:tr>
        <w:trPr>
          <w:trHeight w:val="243"/>
        </w:trPr>
        <w:tc>
          <w:tcPr>
            <w:tcW w:w="462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w:t>
            </w:r>
          </w:p>
        </w:tc>
        <w:tc>
          <w:tcPr>
            <w:tcW w:w="2140" w:type="dxa"/>
            <w:vAlign w:val="bottom"/>
            <w:gridSpan w:val="2"/>
            <w:shd w:val="clear" w:color="auto" w:fill="E5FFFF"/>
          </w:tcPr>
          <w:p>
            <w:pPr>
              <w:jc w:val="right"/>
              <w:ind w:right="299"/>
              <w:spacing w:after="0"/>
              <w:rPr>
                <w:sz w:val="20"/>
                <w:szCs w:val="20"/>
                <w:color w:val="auto"/>
              </w:rPr>
            </w:pPr>
            <w:r>
              <w:rPr>
                <w:rFonts w:ascii="Arial" w:cs="Arial" w:eastAsia="Arial" w:hAnsi="Arial"/>
                <w:sz w:val="19"/>
                <w:szCs w:val="19"/>
                <w:color w:val="auto"/>
              </w:rPr>
              <w:t>29,703,183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600" w:type="dxa"/>
            <w:vAlign w:val="bottom"/>
            <w:shd w:val="clear" w:color="auto" w:fill="E5FFFF"/>
          </w:tcPr>
          <w:p>
            <w:pPr>
              <w:jc w:val="right"/>
              <w:ind w:right="455"/>
              <w:spacing w:after="0"/>
              <w:rPr>
                <w:sz w:val="20"/>
                <w:szCs w:val="20"/>
                <w:color w:val="auto"/>
              </w:rPr>
            </w:pPr>
            <w:r>
              <w:rPr>
                <w:rFonts w:ascii="Arial" w:cs="Arial" w:eastAsia="Arial" w:hAnsi="Arial"/>
                <w:sz w:val="19"/>
                <w:szCs w:val="19"/>
                <w:color w:val="auto"/>
              </w:rPr>
              <w:t>94.16</w:t>
            </w:r>
          </w:p>
        </w:tc>
        <w:tc>
          <w:tcPr>
            <w:tcW w:w="2600" w:type="dxa"/>
            <w:vAlign w:val="bottom"/>
            <w:gridSpan w:val="2"/>
            <w:shd w:val="clear" w:color="auto" w:fill="E5FFFF"/>
          </w:tcPr>
          <w:p>
            <w:pPr>
              <w:jc w:val="right"/>
              <w:ind w:right="379"/>
              <w:spacing w:after="0"/>
              <w:rPr>
                <w:sz w:val="20"/>
                <w:szCs w:val="20"/>
                <w:color w:val="auto"/>
              </w:rPr>
            </w:pPr>
            <w:r>
              <w:rPr>
                <w:rFonts w:ascii="Arial" w:cs="Arial" w:eastAsia="Arial" w:hAnsi="Arial"/>
                <w:sz w:val="19"/>
                <w:szCs w:val="19"/>
                <w:color w:val="auto"/>
              </w:rPr>
              <w:t>44,805,201</w:t>
            </w:r>
          </w:p>
        </w:tc>
      </w:tr>
      <w:tr>
        <w:trPr>
          <w:trHeight w:val="20"/>
        </w:trPr>
        <w:tc>
          <w:tcPr>
            <w:tcW w:w="1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1260" w:type="dxa"/>
            <w:vAlign w:val="bottom"/>
            <w:tcBorders>
              <w:bottom w:val="single" w:sz="8" w:color="auto"/>
            </w:tcBorders>
          </w:tcPr>
          <w:p>
            <w:pPr>
              <w:spacing w:after="0"/>
              <w:rPr>
                <w:sz w:val="13"/>
                <w:szCs w:val="13"/>
                <w:color w:val="auto"/>
              </w:rPr>
            </w:pPr>
          </w:p>
        </w:tc>
        <w:tc>
          <w:tcPr>
            <w:tcW w:w="3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r>
    </w:tbl>
    <w:p>
      <w:pPr>
        <w:spacing w:after="0" w:line="149" w:lineRule="exact"/>
        <w:rPr>
          <w:sz w:val="20"/>
          <w:szCs w:val="20"/>
          <w:color w:val="auto"/>
        </w:rPr>
      </w:pPr>
    </w:p>
    <w:p>
      <w:pPr>
        <w:ind w:left="420" w:right="40" w:hanging="338"/>
        <w:spacing w:after="0" w:line="239" w:lineRule="auto"/>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Equity compensation plans approved by shareowners which are included in column (a) of the table are the 2016 Stock Incentive Plan, the 2011 Stock Incentive Plan and the 2006 Stock Incentive Plan (including 23,175,962 shares of Common Stock to be issued for options; 3,922,890 RSUs subject to continued employment; and 1,896,307 deferred RSUs); and the 2016 Stock Plan for Non-Employee Directors and the 2006 Stock Plan for Non-Employee Directors (including 283,431 shares of Common Stock to be issued for options; and 20,545 RSUs subject to continued services). RSUs included in column (a) of the table represent the full number of RSUs awarded and outstanding whereas the number of shares of Common Stock to be issued upon vesting will be lower than what is reflected on the table because the value of shares required to meet employee tax withholding requirements are not issued.</w:t>
      </w:r>
    </w:p>
    <w:p>
      <w:pPr>
        <w:spacing w:after="0" w:line="82" w:lineRule="exact"/>
        <w:rPr>
          <w:rFonts w:ascii="Arial" w:cs="Arial" w:eastAsia="Arial" w:hAnsi="Arial"/>
          <w:sz w:val="19"/>
          <w:szCs w:val="19"/>
          <w:color w:val="auto"/>
        </w:rPr>
      </w:pPr>
    </w:p>
    <w:p>
      <w:pPr>
        <w:jc w:val="both"/>
        <w:ind w:left="420" w:right="220"/>
        <w:spacing w:after="0" w:line="245" w:lineRule="auto"/>
        <w:rPr>
          <w:rFonts w:ascii="Arial" w:cs="Arial" w:eastAsia="Arial" w:hAnsi="Arial"/>
          <w:sz w:val="19"/>
          <w:szCs w:val="19"/>
          <w:color w:val="auto"/>
        </w:rPr>
      </w:pPr>
      <w:r>
        <w:rPr>
          <w:rFonts w:ascii="Arial" w:cs="Arial" w:eastAsia="Arial" w:hAnsi="Arial"/>
          <w:sz w:val="19"/>
          <w:szCs w:val="19"/>
          <w:color w:val="auto"/>
        </w:rPr>
        <w:t>1,398,906 growth plan units were issued and remain outstanding for the performance cycle commencing January 1, 2016 and ended December 31, 2017 pursuant to the 2011 Stock Incentive Plan. The value of this growth plan award will be paid in cash and, thus, growth plan units are not included in the table above.</w:t>
      </w:r>
    </w:p>
    <w:p>
      <w:pPr>
        <w:spacing w:after="0" w:line="73" w:lineRule="exact"/>
        <w:rPr>
          <w:rFonts w:ascii="Arial" w:cs="Arial" w:eastAsia="Arial" w:hAnsi="Arial"/>
          <w:sz w:val="19"/>
          <w:szCs w:val="19"/>
          <w:color w:val="auto"/>
        </w:rPr>
      </w:pPr>
    </w:p>
    <w:p>
      <w:pPr>
        <w:ind w:left="420" w:right="220"/>
        <w:spacing w:after="0" w:line="253" w:lineRule="auto"/>
        <w:rPr>
          <w:rFonts w:ascii="Arial" w:cs="Arial" w:eastAsia="Arial" w:hAnsi="Arial"/>
          <w:sz w:val="19"/>
          <w:szCs w:val="19"/>
          <w:color w:val="auto"/>
        </w:rPr>
      </w:pPr>
      <w:r>
        <w:rPr>
          <w:rFonts w:ascii="Arial" w:cs="Arial" w:eastAsia="Arial" w:hAnsi="Arial"/>
          <w:sz w:val="19"/>
          <w:szCs w:val="19"/>
          <w:color w:val="auto"/>
        </w:rPr>
        <w:t>Because the number of future shares that may be distributed to employees participating in the Honeywell Global Stock Plan is unknown, no shares attributable to that plan are included in column (a) of the table above.</w:t>
      </w:r>
    </w:p>
    <w:p>
      <w:pPr>
        <w:spacing w:after="0" w:line="66" w:lineRule="exact"/>
        <w:rPr>
          <w:rFonts w:ascii="Arial" w:cs="Arial" w:eastAsia="Arial" w:hAnsi="Arial"/>
          <w:sz w:val="19"/>
          <w:szCs w:val="19"/>
          <w:color w:val="auto"/>
        </w:rPr>
      </w:pPr>
    </w:p>
    <w:p>
      <w:pPr>
        <w:ind w:left="420" w:right="240" w:hanging="338"/>
        <w:spacing w:after="0" w:line="245" w:lineRule="auto"/>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73" w:lineRule="exact"/>
        <w:rPr>
          <w:rFonts w:ascii="Arial" w:cs="Arial" w:eastAsia="Arial" w:hAnsi="Arial"/>
          <w:sz w:val="19"/>
          <w:szCs w:val="19"/>
          <w:color w:val="auto"/>
        </w:rPr>
      </w:pPr>
    </w:p>
    <w:p>
      <w:pPr>
        <w:ind w:left="420" w:right="220" w:hanging="338"/>
        <w:spacing w:after="0" w:line="241" w:lineRule="auto"/>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number of shares that may be issued under the 2016 Stock Incentive Plan as of December 31, 2017 is 42,025,990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to Honeywell upon the exercise of an option, or are under any outstanding awards assumed under any equity compensation plan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95" w:name="page96"/>
    <w:bookmarkEnd w:id="95"/>
    <w:p>
      <w:pPr>
        <w:ind w:left="420" w:right="40"/>
        <w:spacing w:after="0" w:line="253" w:lineRule="auto"/>
        <w:rPr>
          <w:sz w:val="20"/>
          <w:szCs w:val="20"/>
          <w:color w:val="auto"/>
        </w:rPr>
      </w:pPr>
      <w:r>
        <w:rPr>
          <w:rFonts w:ascii="Arial" w:cs="Arial" w:eastAsia="Arial" w:hAnsi="Arial"/>
          <w:sz w:val="19"/>
          <w:szCs w:val="19"/>
          <w:color w:val="auto"/>
        </w:rPr>
        <w:t>an entity acquired by Honeywell. No securities are available for future issuance under the 2011 Stock Incentive Plan or the 2006 Stock Incentive Plan.</w:t>
      </w:r>
    </w:p>
    <w:p>
      <w:pPr>
        <w:spacing w:after="0" w:line="66" w:lineRule="exact"/>
        <w:rPr>
          <w:sz w:val="20"/>
          <w:szCs w:val="20"/>
          <w:color w:val="auto"/>
        </w:rPr>
      </w:pPr>
    </w:p>
    <w:p>
      <w:pPr>
        <w:ind w:left="420" w:right="200"/>
        <w:spacing w:after="0" w:line="245" w:lineRule="auto"/>
        <w:rPr>
          <w:sz w:val="20"/>
          <w:szCs w:val="20"/>
          <w:color w:val="auto"/>
        </w:rPr>
      </w:pPr>
      <w:r>
        <w:rPr>
          <w:rFonts w:ascii="Arial" w:cs="Arial" w:eastAsia="Arial" w:hAnsi="Arial"/>
          <w:sz w:val="19"/>
          <w:szCs w:val="19"/>
          <w:color w:val="auto"/>
        </w:rPr>
        <w:t>The number of shares that may be issued under the Honeywell Global Stock Plan as of December 31, 2017 is 1,854,517. This plan is an umbrella plan for three plans described below maintained solely for eligible employees of participating non-U.S. countries.</w:t>
      </w:r>
    </w:p>
    <w:p>
      <w:pPr>
        <w:spacing w:after="0" w:line="74" w:lineRule="exact"/>
        <w:rPr>
          <w:sz w:val="20"/>
          <w:szCs w:val="20"/>
          <w:color w:val="auto"/>
        </w:rPr>
      </w:pPr>
    </w:p>
    <w:p>
      <w:pPr>
        <w:ind w:left="540" w:right="540" w:hanging="168"/>
        <w:spacing w:after="0" w:line="245"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UK Sharebuilder Plan allows an eligible UK employee to invest taxable earnings in Common Stock. The Company matches those shares and dividends paid are used to purchase additional shares of Common Stock. For the year ending December 31, 2017, 46,573 shares were credited to participants’ accounts under the UK Sharebuilder Plan.</w:t>
      </w:r>
    </w:p>
    <w:p>
      <w:pPr>
        <w:spacing w:after="0" w:line="73" w:lineRule="exact"/>
        <w:rPr>
          <w:rFonts w:ascii="Arial" w:cs="Arial" w:eastAsia="Arial" w:hAnsi="Arial"/>
          <w:sz w:val="19"/>
          <w:szCs w:val="19"/>
          <w:color w:val="auto"/>
        </w:rPr>
      </w:pPr>
    </w:p>
    <w:p>
      <w:pPr>
        <w:ind w:left="540" w:right="100" w:hanging="168"/>
        <w:spacing w:after="0" w:line="242" w:lineRule="auto"/>
        <w:tabs>
          <w:tab w:leader="none" w:pos="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Honeywell International Technologies Employees Share Ownership Plan (Ireland) and the Honeywell Measurex (Ireland) Limited Group Employee Profit Sharing Scheme, allow eligible employees in Ireland to contribute specified percentages of base pay, bonus or performance pay that are then invested in Common Stock. For the year ending December 31, 2017, 5,887 shares of Common Stock were credited to participants’ accounts under these two plans.</w:t>
      </w:r>
    </w:p>
    <w:p>
      <w:pPr>
        <w:spacing w:after="0" w:line="78" w:lineRule="exact"/>
        <w:rPr>
          <w:sz w:val="20"/>
          <w:szCs w:val="20"/>
          <w:color w:val="auto"/>
        </w:rPr>
      </w:pPr>
    </w:p>
    <w:p>
      <w:pPr>
        <w:ind w:left="420" w:right="600"/>
        <w:spacing w:after="0" w:line="253" w:lineRule="auto"/>
        <w:rPr>
          <w:sz w:val="20"/>
          <w:szCs w:val="20"/>
          <w:color w:val="auto"/>
        </w:rPr>
      </w:pPr>
      <w:r>
        <w:rPr>
          <w:rFonts w:ascii="Arial" w:cs="Arial" w:eastAsia="Arial" w:hAnsi="Arial"/>
          <w:sz w:val="19"/>
          <w:szCs w:val="19"/>
          <w:color w:val="auto"/>
        </w:rPr>
        <w:t>The remaining 924,694 shares included in column (c) are shares remaining under the 2016 Stock Plan for Non-Employee Directors.</w:t>
      </w:r>
    </w:p>
    <w:p>
      <w:pPr>
        <w:spacing w:after="0" w:line="53" w:lineRule="exact"/>
        <w:rPr>
          <w:sz w:val="20"/>
          <w:szCs w:val="20"/>
          <w:color w:val="auto"/>
        </w:rPr>
      </w:pPr>
    </w:p>
    <w:p>
      <w:pPr>
        <w:ind w:left="420" w:right="740" w:hanging="338"/>
        <w:spacing w:after="0" w:line="253"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Equity compensation plans not approved by shareowners included in the table refers to the Supplemental Non-Qualified Savings Plan for Highly Compensated Employees.</w:t>
      </w:r>
    </w:p>
    <w:p>
      <w:pPr>
        <w:spacing w:after="0" w:line="66" w:lineRule="exact"/>
        <w:rPr>
          <w:rFonts w:ascii="Arial" w:cs="Arial" w:eastAsia="Arial" w:hAnsi="Arial"/>
          <w:sz w:val="19"/>
          <w:szCs w:val="19"/>
          <w:color w:val="auto"/>
        </w:rPr>
      </w:pPr>
    </w:p>
    <w:p>
      <w:pPr>
        <w:ind w:left="420" w:right="20"/>
        <w:spacing w:after="0"/>
        <w:rPr>
          <w:rFonts w:ascii="Arial" w:cs="Arial" w:eastAsia="Arial" w:hAnsi="Arial"/>
          <w:sz w:val="19"/>
          <w:szCs w:val="19"/>
          <w:color w:val="auto"/>
        </w:rPr>
      </w:pPr>
      <w:r>
        <w:rPr>
          <w:rFonts w:ascii="Arial" w:cs="Arial" w:eastAsia="Arial" w:hAnsi="Arial"/>
          <w:sz w:val="19"/>
          <w:szCs w:val="19"/>
          <w:color w:val="auto"/>
        </w:rPr>
        <w:t>The Supplemental Non-Qualified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2017 is 399,676.</w:t>
      </w:r>
    </w:p>
    <w:p>
      <w:pPr>
        <w:spacing w:after="0" w:line="80" w:lineRule="exact"/>
        <w:rPr>
          <w:rFonts w:ascii="Arial" w:cs="Arial" w:eastAsia="Arial" w:hAnsi="Arial"/>
          <w:sz w:val="19"/>
          <w:szCs w:val="19"/>
          <w:color w:val="auto"/>
        </w:rPr>
      </w:pPr>
    </w:p>
    <w:p>
      <w:pPr>
        <w:ind w:left="420" w:right="60"/>
        <w:spacing w:after="0" w:line="242" w:lineRule="auto"/>
        <w:rPr>
          <w:rFonts w:ascii="Arial" w:cs="Arial" w:eastAsia="Arial" w:hAnsi="Arial"/>
          <w:sz w:val="19"/>
          <w:szCs w:val="19"/>
          <w:color w:val="auto"/>
        </w:rPr>
      </w:pPr>
      <w:r>
        <w:rPr>
          <w:rFonts w:ascii="Arial" w:cs="Arial" w:eastAsia="Arial" w:hAnsi="Arial"/>
          <w:sz w:val="19"/>
          <w:szCs w:val="19"/>
          <w:color w:val="auto"/>
        </w:rPr>
        <w:t>The AlliedSignal Incentive Compensation Plan for Executive Employees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The number of shares of Common Stock that remain to be issued as of December 31, 2017 is 4,372.</w:t>
      </w:r>
    </w:p>
    <w:p>
      <w:pPr>
        <w:spacing w:after="0" w:line="77" w:lineRule="exact"/>
        <w:rPr>
          <w:rFonts w:ascii="Arial" w:cs="Arial" w:eastAsia="Arial" w:hAnsi="Arial"/>
          <w:sz w:val="19"/>
          <w:szCs w:val="19"/>
          <w:color w:val="auto"/>
        </w:rPr>
      </w:pPr>
    </w:p>
    <w:p>
      <w:pPr>
        <w:ind w:left="420" w:right="100" w:hanging="338"/>
        <w:spacing w:after="0" w:line="245"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73" w:lineRule="exact"/>
        <w:rPr>
          <w:rFonts w:ascii="Arial" w:cs="Arial" w:eastAsia="Arial" w:hAnsi="Arial"/>
          <w:sz w:val="19"/>
          <w:szCs w:val="19"/>
          <w:color w:val="auto"/>
        </w:rPr>
      </w:pPr>
    </w:p>
    <w:p>
      <w:pPr>
        <w:ind w:left="420" w:right="380" w:hanging="338"/>
        <w:spacing w:after="0" w:line="245"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 of securities available for future issuance under the Supplemental Non-Qualified Savings Plan for Highly Compensated Employees is not determinable because the number of securities that may be issued under this plan depends upon the amount deferred to the plan by participants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w:t>
      </w:r>
    </w:p>
    <w:p>
      <w:pPr>
        <w:spacing w:after="0" w:line="147"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147" w:lineRule="exact"/>
        <w:rPr>
          <w:sz w:val="20"/>
          <w:szCs w:val="20"/>
          <w:color w:val="auto"/>
        </w:rPr>
      </w:pPr>
    </w:p>
    <w:p>
      <w:pPr>
        <w:ind w:right="340" w:firstLine="357"/>
        <w:spacing w:after="0" w:line="245" w:lineRule="auto"/>
        <w:rPr>
          <w:sz w:val="20"/>
          <w:szCs w:val="20"/>
          <w:color w:val="auto"/>
        </w:rPr>
      </w:pPr>
      <w:r>
        <w:rPr>
          <w:rFonts w:ascii="Arial" w:cs="Arial" w:eastAsia="Arial" w:hAnsi="Arial"/>
          <w:sz w:val="19"/>
          <w:szCs w:val="19"/>
          <w:color w:val="auto"/>
        </w:rPr>
        <w:t>Information relating to fees paid to and services performed by Deloitte &amp; Touche LLP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9"/>
          <w:szCs w:val="19"/>
          <w:b w:val="1"/>
          <w:bCs w:val="1"/>
          <w:color w:val="auto"/>
        </w:rPr>
        <w:t>PART IV.</w:t>
      </w:r>
    </w:p>
    <w:p>
      <w:pPr>
        <w:spacing w:after="0" w:line="3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500" w:type="dxa"/>
            <w:vAlign w:val="bottom"/>
          </w:tcPr>
          <w:p>
            <w:pPr>
              <w:jc w:val="right"/>
              <w:ind w:right="149"/>
              <w:spacing w:after="0"/>
              <w:rPr>
                <w:sz w:val="20"/>
                <w:szCs w:val="20"/>
                <w:color w:val="auto"/>
              </w:rPr>
            </w:pPr>
            <w:r>
              <w:rPr>
                <w:rFonts w:ascii="Arial" w:cs="Arial" w:eastAsia="Arial" w:hAnsi="Arial"/>
                <w:sz w:val="16"/>
                <w:szCs w:val="16"/>
                <w:b w:val="1"/>
                <w:bCs w:val="1"/>
                <w:color w:val="auto"/>
              </w:rPr>
              <w:t>Page Number</w:t>
            </w:r>
          </w:p>
        </w:tc>
      </w:tr>
      <w:tr>
        <w:trPr>
          <w:trHeight w:val="190"/>
        </w:trPr>
        <w:tc>
          <w:tcPr>
            <w:tcW w:w="9920" w:type="dxa"/>
            <w:vAlign w:val="bottom"/>
          </w:tcPr>
          <w:p>
            <w:pPr>
              <w:spacing w:after="0"/>
              <w:rPr>
                <w:sz w:val="16"/>
                <w:szCs w:val="16"/>
                <w:color w:val="auto"/>
              </w:rPr>
            </w:pPr>
          </w:p>
        </w:tc>
        <w:tc>
          <w:tcPr>
            <w:tcW w:w="150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in Form 10-K</w:t>
            </w:r>
          </w:p>
        </w:tc>
      </w:tr>
      <w:tr>
        <w:trPr>
          <w:trHeight w:val="210"/>
        </w:trPr>
        <w:tc>
          <w:tcPr>
            <w:tcW w:w="99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(a)(1.) Consolidated Financial Statements:</w:t>
            </w:r>
          </w:p>
        </w:tc>
        <w:tc>
          <w:tcPr>
            <w:tcW w:w="1500" w:type="dxa"/>
            <w:vAlign w:val="bottom"/>
            <w:shd w:val="clear" w:color="auto" w:fill="E5FFFF"/>
          </w:tcPr>
          <w:p>
            <w:pPr>
              <w:spacing w:after="0"/>
              <w:rPr>
                <w:sz w:val="18"/>
                <w:szCs w:val="18"/>
                <w:color w:val="auto"/>
              </w:rPr>
            </w:pP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Statement of Operations for the years ended December 31, 2017, 2016 and 2015</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36</w:t>
            </w:r>
          </w:p>
        </w:tc>
      </w:tr>
      <w:tr>
        <w:trPr>
          <w:trHeight w:val="216"/>
        </w:trPr>
        <w:tc>
          <w:tcPr>
            <w:tcW w:w="9920" w:type="dxa"/>
            <w:vAlign w:val="bottom"/>
            <w:shd w:val="clear" w:color="auto" w:fill="E5FFFF"/>
          </w:tcPr>
          <w:p>
            <w:pPr>
              <w:ind w:left="1300"/>
              <w:spacing w:after="0" w:line="216" w:lineRule="exact"/>
              <w:rPr>
                <w:sz w:val="20"/>
                <w:szCs w:val="20"/>
                <w:color w:val="auto"/>
              </w:rPr>
            </w:pPr>
            <w:r>
              <w:rPr>
                <w:rFonts w:ascii="Arial" w:cs="Arial" w:eastAsia="Arial" w:hAnsi="Arial"/>
                <w:sz w:val="19"/>
                <w:szCs w:val="19"/>
                <w:color w:val="auto"/>
              </w:rPr>
              <w:t>Consolidated Statement of Comprehensive Income for the years ended December 31, 2017,</w:t>
            </w:r>
          </w:p>
        </w:tc>
        <w:tc>
          <w:tcPr>
            <w:tcW w:w="1500" w:type="dxa"/>
            <w:vAlign w:val="bottom"/>
            <w:shd w:val="clear" w:color="auto" w:fill="E5FFFF"/>
          </w:tcPr>
          <w:p>
            <w:pPr>
              <w:spacing w:after="0"/>
              <w:rPr>
                <w:sz w:val="18"/>
                <w:szCs w:val="18"/>
                <w:color w:val="auto"/>
              </w:rPr>
            </w:pPr>
          </w:p>
        </w:tc>
      </w:tr>
      <w:tr>
        <w:trPr>
          <w:trHeight w:val="216"/>
        </w:trPr>
        <w:tc>
          <w:tcPr>
            <w:tcW w:w="9920" w:type="dxa"/>
            <w:vAlign w:val="bottom"/>
            <w:shd w:val="clear" w:color="auto" w:fill="E5FFFF"/>
          </w:tcPr>
          <w:p>
            <w:pPr>
              <w:ind w:left="1520"/>
              <w:spacing w:after="0" w:line="216" w:lineRule="exact"/>
              <w:rPr>
                <w:sz w:val="20"/>
                <w:szCs w:val="20"/>
                <w:color w:val="auto"/>
              </w:rPr>
            </w:pPr>
            <w:r>
              <w:rPr>
                <w:rFonts w:ascii="Arial" w:cs="Arial" w:eastAsia="Arial" w:hAnsi="Arial"/>
                <w:sz w:val="19"/>
                <w:szCs w:val="19"/>
                <w:color w:val="auto"/>
              </w:rPr>
              <w:t>2016 and 2015</w:t>
            </w:r>
          </w:p>
        </w:tc>
        <w:tc>
          <w:tcPr>
            <w:tcW w:w="1500" w:type="dxa"/>
            <w:vAlign w:val="bottom"/>
            <w:shd w:val="clear" w:color="auto" w:fill="E5FFFF"/>
          </w:tcPr>
          <w:p>
            <w:pPr>
              <w:jc w:val="right"/>
              <w:ind w:right="189"/>
              <w:spacing w:after="0" w:line="216" w:lineRule="exact"/>
              <w:rPr>
                <w:sz w:val="20"/>
                <w:szCs w:val="20"/>
                <w:color w:val="auto"/>
              </w:rPr>
            </w:pPr>
            <w:r>
              <w:rPr>
                <w:rFonts w:ascii="Arial" w:cs="Arial" w:eastAsia="Arial" w:hAnsi="Arial"/>
                <w:sz w:val="19"/>
                <w:szCs w:val="19"/>
                <w:color w:val="auto"/>
              </w:rPr>
              <w:t>37</w:t>
            </w: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Balance Sheet at December 31, 2017 and 2016</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38</w:t>
            </w: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Consolidated Statement of Cash Flows for the years ended December 2017, 2016 and 2015</w:t>
            </w:r>
          </w:p>
        </w:tc>
        <w:tc>
          <w:tcPr>
            <w:tcW w:w="150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39</w:t>
            </w:r>
          </w:p>
        </w:tc>
      </w:tr>
      <w:tr>
        <w:trPr>
          <w:trHeight w:val="216"/>
        </w:trPr>
        <w:tc>
          <w:tcPr>
            <w:tcW w:w="9920" w:type="dxa"/>
            <w:vAlign w:val="bottom"/>
          </w:tcPr>
          <w:p>
            <w:pPr>
              <w:ind w:left="1300"/>
              <w:spacing w:after="0" w:line="216" w:lineRule="exact"/>
              <w:rPr>
                <w:sz w:val="20"/>
                <w:szCs w:val="20"/>
                <w:color w:val="auto"/>
              </w:rPr>
            </w:pPr>
            <w:r>
              <w:rPr>
                <w:rFonts w:ascii="Arial" w:cs="Arial" w:eastAsia="Arial" w:hAnsi="Arial"/>
                <w:sz w:val="19"/>
                <w:szCs w:val="19"/>
                <w:color w:val="auto"/>
              </w:rPr>
              <w:t>Consolidated Statement of Shareowners’ Equity for the years ended December 31, 2017, 2016</w:t>
            </w:r>
          </w:p>
        </w:tc>
        <w:tc>
          <w:tcPr>
            <w:tcW w:w="1500" w:type="dxa"/>
            <w:vAlign w:val="bottom"/>
          </w:tcPr>
          <w:p>
            <w:pPr>
              <w:spacing w:after="0"/>
              <w:rPr>
                <w:sz w:val="18"/>
                <w:szCs w:val="18"/>
                <w:color w:val="auto"/>
              </w:rPr>
            </w:pPr>
          </w:p>
        </w:tc>
      </w:tr>
      <w:tr>
        <w:trPr>
          <w:trHeight w:val="216"/>
        </w:trPr>
        <w:tc>
          <w:tcPr>
            <w:tcW w:w="9920" w:type="dxa"/>
            <w:vAlign w:val="bottom"/>
          </w:tcPr>
          <w:p>
            <w:pPr>
              <w:ind w:left="1520"/>
              <w:spacing w:after="0" w:line="216" w:lineRule="exact"/>
              <w:rPr>
                <w:sz w:val="20"/>
                <w:szCs w:val="20"/>
                <w:color w:val="auto"/>
              </w:rPr>
            </w:pPr>
            <w:r>
              <w:rPr>
                <w:rFonts w:ascii="Arial" w:cs="Arial" w:eastAsia="Arial" w:hAnsi="Arial"/>
                <w:sz w:val="19"/>
                <w:szCs w:val="19"/>
                <w:color w:val="auto"/>
              </w:rPr>
              <w:t>and 2015</w:t>
            </w:r>
          </w:p>
        </w:tc>
        <w:tc>
          <w:tcPr>
            <w:tcW w:w="1500" w:type="dxa"/>
            <w:vAlign w:val="bottom"/>
          </w:tcPr>
          <w:p>
            <w:pPr>
              <w:jc w:val="right"/>
              <w:ind w:right="189"/>
              <w:spacing w:after="0" w:line="216" w:lineRule="exact"/>
              <w:rPr>
                <w:sz w:val="20"/>
                <w:szCs w:val="20"/>
                <w:color w:val="auto"/>
              </w:rPr>
            </w:pPr>
            <w:r>
              <w:rPr>
                <w:rFonts w:ascii="Arial" w:cs="Arial" w:eastAsia="Arial" w:hAnsi="Arial"/>
                <w:sz w:val="19"/>
                <w:szCs w:val="19"/>
                <w:color w:val="auto"/>
              </w:rPr>
              <w:t>40</w:t>
            </w: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Notes to Consolidated Financial Statements</w:t>
            </w:r>
          </w:p>
        </w:tc>
        <w:tc>
          <w:tcPr>
            <w:tcW w:w="150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41</w:t>
            </w:r>
          </w:p>
        </w:tc>
      </w:tr>
      <w:tr>
        <w:trPr>
          <w:trHeight w:val="256"/>
        </w:trPr>
        <w:tc>
          <w:tcPr>
            <w:tcW w:w="9920" w:type="dxa"/>
            <w:vAlign w:val="bottom"/>
          </w:tcPr>
          <w:p>
            <w:pPr>
              <w:ind w:left="1300"/>
              <w:spacing w:after="0"/>
              <w:rPr>
                <w:sz w:val="20"/>
                <w:szCs w:val="20"/>
                <w:color w:val="auto"/>
              </w:rPr>
            </w:pPr>
            <w:r>
              <w:rPr>
                <w:rFonts w:ascii="Arial" w:cs="Arial" w:eastAsia="Arial" w:hAnsi="Arial"/>
                <w:sz w:val="19"/>
                <w:szCs w:val="19"/>
                <w:color w:val="auto"/>
              </w:rPr>
              <w:t>Report of Independent Registered Public Accounting Firm</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88</w:t>
            </w:r>
          </w:p>
        </w:tc>
      </w:tr>
      <w:tr>
        <w:trPr>
          <w:trHeight w:val="176"/>
        </w:trPr>
        <w:tc>
          <w:tcPr>
            <w:tcW w:w="9920" w:type="dxa"/>
            <w:vAlign w:val="bottom"/>
          </w:tcPr>
          <w:p>
            <w:pPr>
              <w:spacing w:after="0"/>
              <w:rPr>
                <w:sz w:val="15"/>
                <w:szCs w:val="15"/>
                <w:color w:val="auto"/>
              </w:rPr>
            </w:pPr>
          </w:p>
        </w:tc>
        <w:tc>
          <w:tcPr>
            <w:tcW w:w="1500" w:type="dxa"/>
            <w:vAlign w:val="bottom"/>
          </w:tcPr>
          <w:p>
            <w:pPr>
              <w:jc w:val="right"/>
              <w:ind w:right="149"/>
              <w:spacing w:after="0" w:line="176" w:lineRule="exact"/>
              <w:rPr>
                <w:sz w:val="20"/>
                <w:szCs w:val="20"/>
                <w:color w:val="auto"/>
              </w:rPr>
            </w:pPr>
            <w:r>
              <w:rPr>
                <w:rFonts w:ascii="Arial" w:cs="Arial" w:eastAsia="Arial" w:hAnsi="Arial"/>
                <w:sz w:val="16"/>
                <w:szCs w:val="16"/>
                <w:b w:val="1"/>
                <w:bCs w:val="1"/>
                <w:color w:val="auto"/>
              </w:rPr>
              <w:t>Page Number</w:t>
            </w:r>
          </w:p>
        </w:tc>
      </w:tr>
      <w:tr>
        <w:trPr>
          <w:trHeight w:val="190"/>
        </w:trPr>
        <w:tc>
          <w:tcPr>
            <w:tcW w:w="9920" w:type="dxa"/>
            <w:vAlign w:val="bottom"/>
          </w:tcPr>
          <w:p>
            <w:pPr>
              <w:spacing w:after="0"/>
              <w:rPr>
                <w:sz w:val="16"/>
                <w:szCs w:val="16"/>
                <w:color w:val="auto"/>
              </w:rPr>
            </w:pPr>
          </w:p>
        </w:tc>
        <w:tc>
          <w:tcPr>
            <w:tcW w:w="150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in Form 10-K</w:t>
            </w:r>
          </w:p>
        </w:tc>
      </w:tr>
      <w:tr>
        <w:trPr>
          <w:trHeight w:val="210"/>
        </w:trPr>
        <w:tc>
          <w:tcPr>
            <w:tcW w:w="99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(a)(2.) Exhibits</w:t>
            </w:r>
          </w:p>
        </w:tc>
        <w:tc>
          <w:tcPr>
            <w:tcW w:w="1500" w:type="dxa"/>
            <w:vAlign w:val="bottom"/>
            <w:shd w:val="clear" w:color="auto" w:fill="E5FFFF"/>
          </w:tcPr>
          <w:p>
            <w:pPr>
              <w:spacing w:after="0"/>
              <w:rPr>
                <w:sz w:val="18"/>
                <w:szCs w:val="18"/>
                <w:color w:val="auto"/>
              </w:rPr>
            </w:pPr>
          </w:p>
        </w:tc>
      </w:tr>
      <w:tr>
        <w:trPr>
          <w:trHeight w:val="261"/>
        </w:trPr>
        <w:tc>
          <w:tcPr>
            <w:tcW w:w="9920" w:type="dxa"/>
            <w:vAlign w:val="bottom"/>
          </w:tcPr>
          <w:p>
            <w:pPr>
              <w:ind w:left="1300"/>
              <w:spacing w:after="0"/>
              <w:rPr>
                <w:sz w:val="20"/>
                <w:szCs w:val="20"/>
                <w:color w:val="auto"/>
              </w:rPr>
            </w:pPr>
            <w:r>
              <w:rPr>
                <w:rFonts w:ascii="Arial" w:cs="Arial" w:eastAsia="Arial" w:hAnsi="Arial"/>
                <w:sz w:val="19"/>
                <w:szCs w:val="19"/>
                <w:color w:val="auto"/>
              </w:rPr>
              <w:t>See the Exhibit Index of this Annual Report on Form 10-K</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96</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16. Form 10-K Summary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9"/>
          <w:szCs w:val="19"/>
          <w:b w:val="1"/>
          <w:bCs w:val="1"/>
          <w:color w:val="auto"/>
        </w:rPr>
        <w:t>SIGNATURES</w:t>
      </w:r>
    </w:p>
    <w:p>
      <w:pPr>
        <w:spacing w:after="0" w:line="130" w:lineRule="exact"/>
        <w:rPr>
          <w:sz w:val="20"/>
          <w:szCs w:val="20"/>
          <w:color w:val="auto"/>
        </w:rPr>
      </w:pPr>
    </w:p>
    <w:p>
      <w:pPr>
        <w:ind w:right="160" w:firstLine="357"/>
        <w:spacing w:after="0" w:line="249"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21"/>
          <w:szCs w:val="21"/>
          <w:color w:val="auto"/>
        </w:rPr>
        <w:t>H</w:t>
      </w:r>
      <w:r>
        <w:rPr>
          <w:rFonts w:ascii="Arial" w:cs="Arial" w:eastAsia="Arial" w:hAnsi="Arial"/>
          <w:sz w:val="15"/>
          <w:szCs w:val="15"/>
          <w:color w:val="auto"/>
        </w:rPr>
        <w:t>ONEYWELL</w:t>
      </w:r>
      <w:r>
        <w:rPr>
          <w:rFonts w:ascii="Arial" w:cs="Arial" w:eastAsia="Arial" w:hAnsi="Arial"/>
          <w:sz w:val="21"/>
          <w:szCs w:val="21"/>
          <w:color w:val="auto"/>
        </w:rPr>
        <w:t xml:space="preserve"> I</w:t>
      </w:r>
      <w:r>
        <w:rPr>
          <w:rFonts w:ascii="Arial" w:cs="Arial" w:eastAsia="Arial" w:hAnsi="Arial"/>
          <w:sz w:val="15"/>
          <w:szCs w:val="15"/>
          <w:color w:val="auto"/>
        </w:rPr>
        <w:t>NTERNATIONAL</w:t>
      </w:r>
      <w:r>
        <w:rPr>
          <w:rFonts w:ascii="Arial" w:cs="Arial" w:eastAsia="Arial" w:hAnsi="Arial"/>
          <w:sz w:val="21"/>
          <w:szCs w:val="21"/>
          <w:color w:val="auto"/>
        </w:rPr>
        <w:t xml:space="preserve"> I</w:t>
      </w:r>
      <w:r>
        <w:rPr>
          <w:rFonts w:ascii="Arial" w:cs="Arial" w:eastAsia="Arial" w:hAnsi="Arial"/>
          <w:sz w:val="15"/>
          <w:szCs w:val="15"/>
          <w:color w:val="auto"/>
        </w:rPr>
        <w:t>NC</w:t>
      </w:r>
      <w:r>
        <w:rPr>
          <w:rFonts w:ascii="Arial" w:cs="Arial" w:eastAsia="Arial" w:hAnsi="Arial"/>
          <w:sz w:val="21"/>
          <w:szCs w:val="21"/>
          <w:color w:val="auto"/>
        </w:rPr>
        <w:t>.</w:t>
      </w:r>
    </w:p>
    <w:p>
      <w:pPr>
        <w:spacing w:after="0" w:line="223" w:lineRule="exact"/>
        <w:rPr>
          <w:sz w:val="20"/>
          <w:szCs w:val="20"/>
          <w:color w:val="auto"/>
        </w:rPr>
      </w:pPr>
    </w:p>
    <w:p>
      <w:pPr>
        <w:spacing w:after="0"/>
        <w:tabs>
          <w:tab w:leader="none" w:pos="6000" w:val="left"/>
          <w:tab w:leader="none" w:pos="6740" w:val="left"/>
        </w:tabs>
        <w:rPr>
          <w:sz w:val="20"/>
          <w:szCs w:val="20"/>
          <w:color w:val="auto"/>
        </w:rPr>
      </w:pPr>
      <w:r>
        <w:rPr>
          <w:rFonts w:ascii="Arial" w:cs="Arial" w:eastAsia="Arial" w:hAnsi="Arial"/>
          <w:sz w:val="19"/>
          <w:szCs w:val="19"/>
          <w:color w:val="auto"/>
        </w:rPr>
        <w:t>Date: February 9, 2018</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Jennifer H.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15875</wp:posOffset>
            </wp:positionV>
            <wp:extent cx="29584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Jennifer H. Mak</w:t>
      </w:r>
    </w:p>
    <w:p>
      <w:pPr>
        <w:ind w:left="6760"/>
        <w:spacing w:after="0" w:line="237" w:lineRule="auto"/>
        <w:rPr>
          <w:sz w:val="20"/>
          <w:szCs w:val="20"/>
          <w:color w:val="auto"/>
        </w:rPr>
      </w:pPr>
      <w:r>
        <w:rPr>
          <w:rFonts w:ascii="Arial" w:cs="Arial" w:eastAsia="Arial" w:hAnsi="Arial"/>
          <w:sz w:val="19"/>
          <w:szCs w:val="19"/>
          <w:color w:val="auto"/>
        </w:rPr>
        <w:t>Vice President and Controller</w:t>
      </w:r>
    </w:p>
    <w:p>
      <w:pPr>
        <w:ind w:left="6760"/>
        <w:spacing w:after="0" w:line="237" w:lineRule="auto"/>
        <w:rPr>
          <w:sz w:val="20"/>
          <w:szCs w:val="20"/>
          <w:color w:val="auto"/>
        </w:rPr>
      </w:pPr>
      <w:r>
        <w:rPr>
          <w:rFonts w:ascii="Arial" w:cs="Arial" w:eastAsia="Arial" w:hAnsi="Arial"/>
          <w:sz w:val="19"/>
          <w:szCs w:val="19"/>
          <w:color w:val="auto"/>
        </w:rPr>
        <w:t>(on behalf of the Registrant</w:t>
      </w:r>
    </w:p>
    <w:p>
      <w:pPr>
        <w:ind w:left="6760"/>
        <w:spacing w:after="0" w:line="238" w:lineRule="auto"/>
        <w:rPr>
          <w:sz w:val="20"/>
          <w:szCs w:val="20"/>
          <w:color w:val="auto"/>
        </w:rPr>
      </w:pPr>
      <w:r>
        <w:rPr>
          <w:rFonts w:ascii="Arial" w:cs="Arial" w:eastAsia="Arial" w:hAnsi="Arial"/>
          <w:sz w:val="19"/>
          <w:szCs w:val="19"/>
          <w:color w:val="auto"/>
        </w:rPr>
        <w:t>and as the Registrant’s</w:t>
      </w:r>
    </w:p>
    <w:p>
      <w:pPr>
        <w:ind w:left="6760"/>
        <w:spacing w:after="0"/>
        <w:rPr>
          <w:sz w:val="20"/>
          <w:szCs w:val="20"/>
          <w:color w:val="auto"/>
        </w:rPr>
      </w:pPr>
      <w:r>
        <w:rPr>
          <w:rFonts w:ascii="Arial" w:cs="Arial" w:eastAsia="Arial" w:hAnsi="Arial"/>
          <w:sz w:val="19"/>
          <w:szCs w:val="19"/>
          <w:color w:val="auto"/>
        </w:rPr>
        <w:t>Principal Accounting Officer)</w:t>
      </w:r>
    </w:p>
    <w:p>
      <w:pPr>
        <w:spacing w:after="0" w:line="214" w:lineRule="exact"/>
        <w:rPr>
          <w:sz w:val="20"/>
          <w:szCs w:val="20"/>
          <w:color w:val="auto"/>
        </w:rPr>
      </w:pPr>
    </w:p>
    <w:p>
      <w:pPr>
        <w:ind w:right="120" w:firstLine="357"/>
        <w:spacing w:after="0" w:line="246" w:lineRule="auto"/>
        <w:rPr>
          <w:sz w:val="20"/>
          <w:szCs w:val="20"/>
          <w:color w:val="auto"/>
        </w:rPr>
      </w:pPr>
      <w:r>
        <w:rPr>
          <w:rFonts w:ascii="Arial" w:cs="Arial" w:eastAsia="Arial" w:hAnsi="Arial"/>
          <w:sz w:val="19"/>
          <w:szCs w:val="19"/>
          <w:color w:val="auto"/>
        </w:rPr>
        <w:t>Pursuant to the requirements of the Securities Exchange Act of 1934, this annual report has been signed below by the following persons on behalf of the Registrant and in the capacities and on the date indicated:</w:t>
      </w:r>
    </w:p>
    <w:p>
      <w:pPr>
        <w:spacing w:after="0" w:line="2" w:lineRule="exact"/>
        <w:rPr>
          <w:sz w:val="20"/>
          <w:szCs w:val="20"/>
          <w:color w:val="auto"/>
        </w:rPr>
      </w:pPr>
    </w:p>
    <w:p>
      <w:pPr>
        <w:ind w:left="2520"/>
        <w:spacing w:after="0"/>
        <w:tabs>
          <w:tab w:leader="none" w:pos="8360" w:val="left"/>
        </w:tabs>
        <w:rPr>
          <w:sz w:val="20"/>
          <w:szCs w:val="20"/>
          <w:color w:val="auto"/>
        </w:rPr>
      </w:pPr>
      <w:r>
        <w:rPr>
          <w:rFonts w:ascii="Arial" w:cs="Arial" w:eastAsia="Arial" w:hAnsi="Arial"/>
          <w:sz w:val="19"/>
          <w:szCs w:val="19"/>
          <w:b w:val="1"/>
          <w:bCs w:val="1"/>
          <w:color w:val="auto"/>
        </w:rPr>
        <w:t>Name</w:t>
      </w:r>
      <w:r>
        <w:rPr>
          <w:sz w:val="20"/>
          <w:szCs w:val="20"/>
          <w:color w:val="auto"/>
        </w:rPr>
        <w:tab/>
      </w:r>
      <w:r>
        <w:rPr>
          <w:rFonts w:ascii="Arial" w:cs="Arial" w:eastAsia="Arial" w:hAnsi="Arial"/>
          <w:sz w:val="19"/>
          <w:szCs w:val="19"/>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p>
      <w:pPr>
        <w:spacing w:after="0" w:line="237"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248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9" w:lineRule="exact"/>
        <w:rPr>
          <w:sz w:val="20"/>
          <w:szCs w:val="20"/>
          <w:color w:val="auto"/>
        </w:rPr>
      </w:pPr>
    </w:p>
    <w:p>
      <w:pPr>
        <w:ind w:left="2160"/>
        <w:spacing w:after="0"/>
        <w:rPr>
          <w:sz w:val="20"/>
          <w:szCs w:val="20"/>
          <w:color w:val="auto"/>
        </w:rPr>
      </w:pPr>
      <w:r>
        <w:rPr>
          <w:rFonts w:ascii="Arial" w:cs="Arial" w:eastAsia="Arial" w:hAnsi="Arial"/>
          <w:sz w:val="19"/>
          <w:szCs w:val="19"/>
          <w:color w:val="auto"/>
        </w:rPr>
        <w:t>David M. Cote</w:t>
      </w:r>
    </w:p>
    <w:p>
      <w:pPr>
        <w:ind w:left="1800"/>
        <w:spacing w:after="0"/>
        <w:rPr>
          <w:sz w:val="20"/>
          <w:szCs w:val="20"/>
          <w:color w:val="auto"/>
        </w:rPr>
      </w:pPr>
      <w:r>
        <w:rPr>
          <w:rFonts w:ascii="Arial" w:cs="Arial" w:eastAsia="Arial" w:hAnsi="Arial"/>
          <w:sz w:val="19"/>
          <w:szCs w:val="19"/>
          <w:color w:val="auto"/>
        </w:rPr>
        <w:t>Chairman of the Board</w:t>
      </w:r>
    </w:p>
    <w:p>
      <w:pPr>
        <w:spacing w:after="0" w:line="214"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5248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9" w:lineRule="exact"/>
        <w:rPr>
          <w:sz w:val="20"/>
          <w:szCs w:val="20"/>
          <w:color w:val="auto"/>
        </w:rPr>
      </w:pPr>
    </w:p>
    <w:p>
      <w:pPr>
        <w:jc w:val="center"/>
        <w:ind w:right="1820"/>
        <w:spacing w:after="0"/>
        <w:rPr>
          <w:sz w:val="20"/>
          <w:szCs w:val="20"/>
          <w:color w:val="auto"/>
        </w:rPr>
      </w:pPr>
      <w:r>
        <w:rPr>
          <w:rFonts w:ascii="Arial" w:cs="Arial" w:eastAsia="Arial" w:hAnsi="Arial"/>
          <w:sz w:val="19"/>
          <w:szCs w:val="19"/>
          <w:color w:val="auto"/>
        </w:rPr>
        <w:t>Darius Adamczyk</w:t>
      </w:r>
    </w:p>
    <w:p>
      <w:pPr>
        <w:jc w:val="center"/>
        <w:ind w:right="1820"/>
        <w:spacing w:after="0" w:line="237" w:lineRule="auto"/>
        <w:rPr>
          <w:sz w:val="20"/>
          <w:szCs w:val="20"/>
          <w:color w:val="auto"/>
        </w:rPr>
      </w:pPr>
      <w:r>
        <w:rPr>
          <w:rFonts w:ascii="Arial" w:cs="Arial" w:eastAsia="Arial" w:hAnsi="Arial"/>
          <w:sz w:val="19"/>
          <w:szCs w:val="19"/>
          <w:color w:val="auto"/>
        </w:rPr>
        <w:t>President and Chief Executive Officer</w:t>
      </w:r>
    </w:p>
    <w:p>
      <w:pPr>
        <w:jc w:val="center"/>
        <w:ind w:right="1820"/>
        <w:spacing w:after="0" w:line="237" w:lineRule="auto"/>
        <w:rPr>
          <w:sz w:val="20"/>
          <w:szCs w:val="20"/>
          <w:color w:val="auto"/>
        </w:rPr>
      </w:pPr>
      <w:r>
        <w:rPr>
          <w:rFonts w:ascii="Arial" w:cs="Arial" w:eastAsia="Arial" w:hAnsi="Arial"/>
          <w:sz w:val="19"/>
          <w:szCs w:val="19"/>
          <w:color w:val="auto"/>
        </w:rPr>
        <w:t>and Director</w:t>
      </w:r>
    </w:p>
    <w:p>
      <w:pPr>
        <w:spacing w:after="0" w:line="1" w:lineRule="exact"/>
        <w:rPr>
          <w:sz w:val="20"/>
          <w:szCs w:val="20"/>
          <w:color w:val="auto"/>
        </w:rPr>
      </w:pPr>
    </w:p>
    <w:p>
      <w:pPr>
        <w:jc w:val="center"/>
        <w:ind w:right="1820"/>
        <w:spacing w:after="0"/>
        <w:rPr>
          <w:sz w:val="20"/>
          <w:szCs w:val="20"/>
          <w:color w:val="auto"/>
        </w:rPr>
      </w:pPr>
      <w:r>
        <w:rPr>
          <w:rFonts w:ascii="Arial" w:cs="Arial" w:eastAsia="Arial" w:hAnsi="Arial"/>
          <w:sz w:val="19"/>
          <w:szCs w:val="19"/>
          <w:color w:val="auto"/>
        </w:rPr>
        <w:t>(Principal Executive Officer)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15875</wp:posOffset>
            </wp:positionV>
            <wp:extent cx="35331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9"/>
          <w:szCs w:val="19"/>
          <w:color w:val="auto"/>
        </w:rPr>
        <w:t>Judd Gregg</w:t>
      </w:r>
    </w:p>
    <w:p>
      <w:pPr>
        <w:ind w:left="180"/>
        <w:spacing w:after="0"/>
        <w:rPr>
          <w:sz w:val="20"/>
          <w:szCs w:val="20"/>
          <w:color w:val="auto"/>
        </w:rPr>
      </w:pPr>
      <w:r>
        <w:rPr>
          <w:rFonts w:ascii="Arial" w:cs="Arial" w:eastAsia="Arial" w:hAnsi="Arial"/>
          <w:sz w:val="19"/>
          <w:szCs w:val="19"/>
          <w:color w:val="auto"/>
        </w:rPr>
        <w:t>Director</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15875</wp:posOffset>
            </wp:positionV>
            <wp:extent cx="35331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9" w:lineRule="exact"/>
        <w:rPr>
          <w:sz w:val="20"/>
          <w:szCs w:val="20"/>
          <w:color w:val="auto"/>
        </w:rPr>
      </w:pPr>
    </w:p>
    <w:p>
      <w:pPr>
        <w:jc w:val="center"/>
        <w:ind w:right="2260"/>
        <w:spacing w:after="0"/>
        <w:rPr>
          <w:sz w:val="20"/>
          <w:szCs w:val="20"/>
          <w:color w:val="auto"/>
        </w:rPr>
      </w:pPr>
      <w:r>
        <w:rPr>
          <w:rFonts w:ascii="Arial" w:cs="Arial" w:eastAsia="Arial" w:hAnsi="Arial"/>
          <w:sz w:val="19"/>
          <w:szCs w:val="19"/>
          <w:color w:val="auto"/>
        </w:rPr>
        <w:t>Clive Hollick</w:t>
      </w:r>
    </w:p>
    <w:p>
      <w:pPr>
        <w:jc w:val="center"/>
        <w:ind w:right="2260"/>
        <w:spacing w:after="0"/>
        <w:rPr>
          <w:sz w:val="20"/>
          <w:szCs w:val="20"/>
          <w:color w:val="auto"/>
        </w:rPr>
      </w:pPr>
      <w:r>
        <w:rPr>
          <w:rFonts w:ascii="Arial" w:cs="Arial" w:eastAsia="Arial" w:hAnsi="Arial"/>
          <w:sz w:val="19"/>
          <w:szCs w:val="19"/>
          <w:color w:val="auto"/>
        </w:rPr>
        <w:t>Director</w:t>
      </w:r>
    </w:p>
    <w:p>
      <w:pPr>
        <w:spacing w:after="0" w:line="632" w:lineRule="exact"/>
        <w:rPr>
          <w:sz w:val="20"/>
          <w:szCs w:val="20"/>
          <w:color w:val="auto"/>
        </w:rPr>
      </w:pPr>
    </w:p>
    <w:p>
      <w:pPr>
        <w:sectPr>
          <w:pgSz w:w="11900" w:h="16838" w:orient="portrait"/>
          <w:cols w:equalWidth="0" w:num="2">
            <w:col w:w="7400" w:space="720"/>
            <w:col w:w="3300"/>
          </w:cols>
          <w:pgMar w:left="240" w:top="575" w:right="2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1463"/>
              <w:spacing w:after="0"/>
              <w:rPr>
                <w:sz w:val="20"/>
                <w:szCs w:val="20"/>
                <w:color w:val="auto"/>
              </w:rPr>
            </w:pPr>
            <w:r>
              <w:rPr>
                <w:rFonts w:ascii="Arial" w:cs="Arial" w:eastAsia="Arial" w:hAnsi="Arial"/>
                <w:sz w:val="19"/>
                <w:szCs w:val="19"/>
                <w:color w:val="auto"/>
              </w:rPr>
              <w:t>William S. Ayer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Grace D. Lieblein</w:t>
            </w: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1463"/>
              <w:spacing w:after="0"/>
              <w:rPr>
                <w:sz w:val="20"/>
                <w:szCs w:val="20"/>
                <w:color w:val="auto"/>
              </w:rPr>
            </w:pPr>
            <w:r>
              <w:rPr>
                <w:rFonts w:ascii="Arial" w:cs="Arial" w:eastAsia="Arial" w:hAnsi="Arial"/>
                <w:sz w:val="19"/>
                <w:szCs w:val="19"/>
                <w:color w:val="auto"/>
              </w:rPr>
              <w:t>Kevin Burke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George Paz</w:t>
            </w: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1463"/>
              <w:spacing w:after="0"/>
              <w:rPr>
                <w:sz w:val="20"/>
                <w:szCs w:val="20"/>
                <w:color w:val="auto"/>
              </w:rPr>
            </w:pPr>
            <w:r>
              <w:rPr>
                <w:rFonts w:ascii="Arial" w:cs="Arial" w:eastAsia="Arial" w:hAnsi="Arial"/>
                <w:sz w:val="19"/>
                <w:szCs w:val="19"/>
                <w:color w:val="auto"/>
              </w:rPr>
              <w:t>Jaime Chico Pardo</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Bradley T. Sheares, Ph.D.</w:t>
            </w: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3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w:t>
            </w:r>
          </w:p>
        </w:tc>
        <w:tc>
          <w:tcPr>
            <w:tcW w:w="5860" w:type="dxa"/>
            <w:vAlign w:val="bottom"/>
            <w:gridSpan w:val="3"/>
          </w:tcPr>
          <w:p>
            <w:pPr>
              <w:jc w:val="center"/>
              <w:ind w:left="203"/>
              <w:spacing w:after="0"/>
              <w:rPr>
                <w:sz w:val="20"/>
                <w:szCs w:val="20"/>
                <w:color w:val="auto"/>
              </w:rPr>
            </w:pPr>
            <w:r>
              <w:rPr>
                <w:rFonts w:ascii="Arial" w:cs="Arial" w:eastAsia="Arial" w:hAnsi="Arial"/>
                <w:sz w:val="19"/>
                <w:szCs w:val="19"/>
                <w:color w:val="auto"/>
              </w:rPr>
              <w:t>*</w:t>
            </w:r>
          </w:p>
        </w:tc>
      </w:tr>
      <w:tr>
        <w:trPr>
          <w:trHeight w:val="228"/>
        </w:trPr>
        <w:tc>
          <w:tcPr>
            <w:tcW w:w="9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1463"/>
              <w:spacing w:after="0"/>
              <w:rPr>
                <w:sz w:val="20"/>
                <w:szCs w:val="20"/>
                <w:color w:val="auto"/>
              </w:rPr>
            </w:pPr>
            <w:r>
              <w:rPr>
                <w:rFonts w:ascii="Arial" w:cs="Arial" w:eastAsia="Arial" w:hAnsi="Arial"/>
                <w:sz w:val="19"/>
                <w:szCs w:val="19"/>
                <w:color w:val="auto"/>
              </w:rPr>
              <w:t>D. Scott Davis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rPr>
              <w:t>Robin L. Washington</w:t>
            </w: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1463"/>
              <w:spacing w:after="0"/>
              <w:rPr>
                <w:sz w:val="20"/>
                <w:szCs w:val="20"/>
                <w:color w:val="auto"/>
              </w:rPr>
            </w:pPr>
            <w:r>
              <w:rPr>
                <w:rFonts w:ascii="Arial" w:cs="Arial" w:eastAsia="Arial" w:hAnsi="Arial"/>
                <w:sz w:val="19"/>
                <w:szCs w:val="19"/>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23"/>
        </w:trPr>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0" w:type="dxa"/>
            <w:vAlign w:val="bottom"/>
          </w:tcPr>
          <w:p>
            <w:pPr>
              <w:jc w:val="center"/>
              <w:ind w:right="1443"/>
              <w:spacing w:after="0"/>
              <w:rPr>
                <w:sz w:val="20"/>
                <w:szCs w:val="20"/>
                <w:color w:val="auto"/>
              </w:rPr>
            </w:pPr>
            <w:r>
              <w:rPr>
                <w:rFonts w:ascii="Arial" w:cs="Arial" w:eastAsia="Arial" w:hAnsi="Arial"/>
                <w:sz w:val="19"/>
                <w:szCs w:val="19"/>
                <w:color w:val="auto"/>
              </w:rPr>
              <w:t>Linnet F. Deily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7"/>
        </w:trPr>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1463"/>
              <w:spacing w:after="0"/>
              <w:rPr>
                <w:sz w:val="20"/>
                <w:szCs w:val="20"/>
                <w:color w:val="auto"/>
              </w:rPr>
            </w:pPr>
            <w:r>
              <w:rPr>
                <w:rFonts w:ascii="Arial" w:cs="Arial" w:eastAsia="Arial" w:hAnsi="Arial"/>
                <w:sz w:val="19"/>
                <w:szCs w:val="19"/>
                <w:color w:val="auto"/>
              </w:rPr>
              <w:t>/s/ Thomas A. Szlosek</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/s/ Jennifer H. Mak</w:t>
            </w:r>
          </w:p>
        </w:tc>
      </w:tr>
      <w:tr>
        <w:trPr>
          <w:trHeight w:val="228"/>
        </w:trPr>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Thomas A. Szlosek</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Jennifer H. Mak</w:t>
            </w: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0" w:type="dxa"/>
            <w:vAlign w:val="bottom"/>
          </w:tcPr>
          <w:p>
            <w:pPr>
              <w:jc w:val="center"/>
              <w:ind w:right="1463"/>
              <w:spacing w:after="0" w:line="216" w:lineRule="exact"/>
              <w:rPr>
                <w:sz w:val="20"/>
                <w:szCs w:val="20"/>
                <w:color w:val="auto"/>
              </w:rPr>
            </w:pPr>
            <w:r>
              <w:rPr>
                <w:rFonts w:ascii="Arial" w:cs="Arial" w:eastAsia="Arial" w:hAnsi="Arial"/>
                <w:sz w:val="19"/>
                <w:szCs w:val="19"/>
                <w:color w:val="auto"/>
              </w:rPr>
              <w:t>Senior Vice President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Vice President and Controller</w:t>
            </w: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0" w:type="dxa"/>
            <w:vAlign w:val="bottom"/>
          </w:tcPr>
          <w:p>
            <w:pPr>
              <w:jc w:val="center"/>
              <w:ind w:right="1443"/>
              <w:spacing w:after="0" w:line="216" w:lineRule="exact"/>
              <w:rPr>
                <w:sz w:val="20"/>
                <w:szCs w:val="20"/>
                <w:color w:val="auto"/>
              </w:rPr>
            </w:pPr>
            <w:r>
              <w:rPr>
                <w:rFonts w:ascii="Arial" w:cs="Arial" w:eastAsia="Arial" w:hAnsi="Arial"/>
                <w:sz w:val="19"/>
                <w:szCs w:val="19"/>
                <w:color w:val="auto"/>
              </w:rPr>
              <w:t>Chief Financial Officer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(Principal Accounting Officer)</w:t>
            </w: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1463"/>
              <w:spacing w:after="0"/>
              <w:rPr>
                <w:sz w:val="20"/>
                <w:szCs w:val="20"/>
                <w:color w:val="auto"/>
              </w:rPr>
            </w:pPr>
            <w:r>
              <w:rPr>
                <w:rFonts w:ascii="Arial" w:cs="Arial" w:eastAsia="Arial" w:hAnsi="Arial"/>
                <w:sz w:val="19"/>
                <w:szCs w:val="19"/>
                <w:color w:val="auto"/>
              </w:rPr>
              <w:t>(Principal Financial Officer)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64"/>
        </w:trPr>
        <w:tc>
          <w:tcPr>
            <w:tcW w:w="1560" w:type="dxa"/>
            <w:vAlign w:val="bottom"/>
            <w:gridSpan w:val="2"/>
          </w:tcPr>
          <w:p>
            <w:pPr>
              <w:spacing w:after="0"/>
              <w:rPr>
                <w:sz w:val="20"/>
                <w:szCs w:val="20"/>
                <w:color w:val="auto"/>
              </w:rPr>
            </w:pPr>
            <w:r>
              <w:rPr>
                <w:rFonts w:ascii="Arial" w:cs="Arial" w:eastAsia="Arial" w:hAnsi="Arial"/>
                <w:sz w:val="19"/>
                <w:szCs w:val="19"/>
                <w:color w:val="auto"/>
              </w:rPr>
              <w:t>*By:</w:t>
            </w:r>
          </w:p>
        </w:tc>
        <w:tc>
          <w:tcPr>
            <w:tcW w:w="4000" w:type="dxa"/>
            <w:vAlign w:val="bottom"/>
          </w:tcPr>
          <w:p>
            <w:pPr>
              <w:jc w:val="center"/>
              <w:ind w:right="383"/>
              <w:spacing w:after="0"/>
              <w:rPr>
                <w:sz w:val="20"/>
                <w:szCs w:val="20"/>
                <w:color w:val="auto"/>
              </w:rPr>
            </w:pPr>
            <w:r>
              <w:rPr>
                <w:rFonts w:ascii="Arial" w:cs="Arial" w:eastAsia="Arial" w:hAnsi="Arial"/>
                <w:sz w:val="19"/>
                <w:szCs w:val="19"/>
                <w:color w:val="auto"/>
              </w:rPr>
              <w:t>/s/ Thomas A. Szlosek</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0" w:type="dxa"/>
            <w:vAlign w:val="bottom"/>
            <w:tcBorders>
              <w:top w:val="single" w:sz="8" w:color="auto"/>
            </w:tcBorders>
          </w:tcPr>
          <w:p>
            <w:pPr>
              <w:jc w:val="center"/>
              <w:ind w:right="363"/>
              <w:spacing w:after="0"/>
              <w:rPr>
                <w:sz w:val="20"/>
                <w:szCs w:val="20"/>
                <w:color w:val="auto"/>
              </w:rPr>
            </w:pPr>
            <w:r>
              <w:rPr>
                <w:rFonts w:ascii="Arial" w:cs="Arial" w:eastAsia="Arial" w:hAnsi="Arial"/>
                <w:sz w:val="19"/>
                <w:szCs w:val="19"/>
                <w:color w:val="auto"/>
              </w:rPr>
              <w:t>(Thomas A. Szlosek</w:t>
            </w: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0" w:type="dxa"/>
            <w:vAlign w:val="bottom"/>
          </w:tcPr>
          <w:p>
            <w:pPr>
              <w:jc w:val="center"/>
              <w:ind w:right="363"/>
              <w:spacing w:after="0"/>
              <w:rPr>
                <w:sz w:val="20"/>
                <w:szCs w:val="20"/>
                <w:color w:val="auto"/>
              </w:rPr>
            </w:pPr>
            <w:r>
              <w:rPr>
                <w:rFonts w:ascii="Arial" w:cs="Arial" w:eastAsia="Arial" w:hAnsi="Arial"/>
                <w:sz w:val="19"/>
                <w:szCs w:val="19"/>
                <w:color w:val="auto"/>
              </w:rPr>
              <w:t>Attorney-in-fact)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60" w:type="dxa"/>
            <w:vAlign w:val="bottom"/>
          </w:tcPr>
          <w:p>
            <w:pPr>
              <w:spacing w:after="0"/>
              <w:rPr>
                <w:sz w:val="20"/>
                <w:szCs w:val="20"/>
                <w:color w:val="auto"/>
              </w:rPr>
            </w:pPr>
          </w:p>
        </w:tc>
      </w:tr>
      <w:tr>
        <w:trPr>
          <w:trHeight w:val="432"/>
        </w:trPr>
        <w:tc>
          <w:tcPr>
            <w:tcW w:w="1560" w:type="dxa"/>
            <w:vAlign w:val="bottom"/>
            <w:gridSpan w:val="2"/>
          </w:tcPr>
          <w:p>
            <w:pPr>
              <w:spacing w:after="0"/>
              <w:rPr>
                <w:sz w:val="20"/>
                <w:szCs w:val="20"/>
                <w:color w:val="auto"/>
              </w:rPr>
            </w:pPr>
            <w:r>
              <w:rPr>
                <w:rFonts w:ascii="Arial" w:cs="Arial" w:eastAsia="Arial" w:hAnsi="Arial"/>
                <w:sz w:val="19"/>
                <w:szCs w:val="19"/>
                <w:color w:val="auto"/>
              </w:rPr>
              <w:t>February 9, 2018</w:t>
            </w: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31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9"/>
                <w:szCs w:val="19"/>
                <w:color w:val="auto"/>
              </w:rPr>
              <w:t>95</w:t>
            </w:r>
          </w:p>
        </w:tc>
        <w:tc>
          <w:tcPr>
            <w:tcW w:w="5560" w:type="dxa"/>
            <w:vAlign w:val="bottom"/>
          </w:tcPr>
          <w:p>
            <w:pPr>
              <w:spacing w:after="0"/>
              <w:rPr>
                <w:sz w:val="24"/>
                <w:szCs w:val="24"/>
                <w:color w:val="auto"/>
              </w:rPr>
            </w:pPr>
          </w:p>
        </w:tc>
      </w:tr>
      <w:tr>
        <w:trPr>
          <w:trHeight w:val="209"/>
        </w:trPr>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58"/>
        </w:trPr>
        <w:tc>
          <w:tcPr>
            <w:tcW w:w="1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920" w:type="dxa"/>
            <w:vAlign w:val="bottom"/>
            <w:gridSpan w:val="17"/>
          </w:tcPr>
          <w:p>
            <w:pPr>
              <w:ind w:left="500"/>
              <w:spacing w:after="0"/>
              <w:rPr>
                <w:sz w:val="20"/>
                <w:szCs w:val="20"/>
                <w:color w:val="auto"/>
              </w:rPr>
            </w:pPr>
            <w:r>
              <w:rPr>
                <w:rFonts w:ascii="Arial" w:cs="Arial" w:eastAsia="Arial" w:hAnsi="Arial"/>
                <w:sz w:val="19"/>
                <w:szCs w:val="19"/>
                <w:b w:val="1"/>
                <w:bCs w:val="1"/>
                <w:color w:val="auto"/>
              </w:rPr>
              <w:t>EXHIBIT INDEX</w:t>
            </w:r>
          </w:p>
        </w:tc>
      </w:tr>
      <w:tr>
        <w:trPr>
          <w:trHeight w:val="253"/>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6920" w:type="dxa"/>
            <w:vAlign w:val="bottom"/>
            <w:tcBorders>
              <w:bottom w:val="single" w:sz="8" w:color="auto"/>
            </w:tcBorders>
            <w:gridSpan w:val="17"/>
          </w:tcPr>
          <w:p>
            <w:pPr>
              <w:ind w:left="176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ind w:left="160"/>
              <w:spacing w:after="0" w:line="196" w:lineRule="exact"/>
              <w:rPr>
                <w:sz w:val="20"/>
                <w:szCs w:val="20"/>
                <w:color w:val="auto"/>
              </w:rPr>
            </w:pPr>
            <w:r>
              <w:rPr>
                <w:rFonts w:ascii="Arial" w:cs="Arial" w:eastAsia="Arial" w:hAnsi="Arial"/>
                <w:sz w:val="19"/>
                <w:szCs w:val="19"/>
                <w:color w:val="auto"/>
              </w:rPr>
              <w:t>3(i)</w:t>
            </w:r>
          </w:p>
        </w:tc>
        <w:tc>
          <w:tcPr>
            <w:tcW w:w="94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44">
              <w:r>
                <w:rPr>
                  <w:rFonts w:ascii="Arial" w:cs="Arial" w:eastAsia="Arial" w:hAnsi="Arial"/>
                  <w:sz w:val="19"/>
                  <w:szCs w:val="19"/>
                  <w:color w:val="0000EE"/>
                </w:rPr>
                <w:t>Amended and Restated Certificate of Incorporation of Honeywell International Inc., as amended April 26, 2010</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bottom w:val="single" w:sz="8" w:color="0000EE"/>
            </w:tcBorders>
            <w:gridSpan w:val="8"/>
          </w:tcPr>
          <w:p>
            <w:pPr>
              <w:spacing w:after="0" w:line="196" w:lineRule="exact"/>
              <w:rPr>
                <w:rFonts w:ascii="Arial" w:cs="Arial" w:eastAsia="Arial" w:hAnsi="Arial"/>
                <w:sz w:val="19"/>
                <w:szCs w:val="19"/>
                <w:color w:val="0000EE"/>
              </w:rPr>
            </w:pPr>
            <w:hyperlink r:id="rId144">
              <w:r>
                <w:rPr>
                  <w:rFonts w:ascii="Arial" w:cs="Arial" w:eastAsia="Arial" w:hAnsi="Arial"/>
                  <w:sz w:val="19"/>
                  <w:szCs w:val="19"/>
                  <w:color w:val="0000EE"/>
                </w:rPr>
                <w:t>(incorporated by reference to Exhibit 3(i) to Honeywell’s Form 8-K filed April 27, 2010)</w:t>
              </w:r>
            </w:hyperlink>
          </w:p>
        </w:tc>
        <w:tc>
          <w:tcPr>
            <w:tcW w:w="1940" w:type="dxa"/>
            <w:vAlign w:val="bottom"/>
            <w:gridSpan w:val="12"/>
          </w:tcPr>
          <w:p>
            <w:pPr>
              <w:spacing w:after="0"/>
              <w:rPr>
                <w:sz w:val="17"/>
                <w:szCs w:val="17"/>
                <w:color w:val="auto"/>
              </w:rPr>
            </w:pPr>
          </w:p>
        </w:tc>
      </w:tr>
      <w:tr>
        <w:trPr>
          <w:trHeight w:val="196"/>
        </w:trPr>
        <w:tc>
          <w:tcPr>
            <w:tcW w:w="1960" w:type="dxa"/>
            <w:vAlign w:val="bottom"/>
          </w:tcPr>
          <w:p>
            <w:pPr>
              <w:ind w:left="160"/>
              <w:spacing w:after="0" w:line="196" w:lineRule="exact"/>
              <w:rPr>
                <w:sz w:val="20"/>
                <w:szCs w:val="20"/>
                <w:color w:val="auto"/>
              </w:rPr>
            </w:pPr>
            <w:r>
              <w:rPr>
                <w:rFonts w:ascii="Arial" w:cs="Arial" w:eastAsia="Arial" w:hAnsi="Arial"/>
                <w:sz w:val="19"/>
                <w:szCs w:val="19"/>
                <w:color w:val="auto"/>
              </w:rPr>
              <w:t>3(ii)</w:t>
            </w:r>
          </w:p>
        </w:tc>
        <w:tc>
          <w:tcPr>
            <w:tcW w:w="932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145">
              <w:r>
                <w:rPr>
                  <w:rFonts w:ascii="Arial" w:cs="Arial" w:eastAsia="Arial" w:hAnsi="Arial"/>
                  <w:sz w:val="19"/>
                  <w:szCs w:val="19"/>
                  <w:color w:val="0000EE"/>
                </w:rPr>
                <w:t>By-laws of Honeywell International Inc., as amended February 12, 2016 (incorporated by reference to Exhibit</w:t>
              </w:r>
            </w:hyperlink>
          </w:p>
        </w:tc>
        <w:tc>
          <w:tcPr>
            <w:tcW w:w="14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145">
              <w:r>
                <w:rPr>
                  <w:rFonts w:ascii="Arial" w:cs="Arial" w:eastAsia="Arial" w:hAnsi="Arial"/>
                  <w:sz w:val="19"/>
                  <w:szCs w:val="19"/>
                  <w:color w:val="0000EE"/>
                </w:rPr>
                <w:t>3(ii) to Honeywell’s Form 8-K filed February 12, 2016)</w:t>
              </w:r>
            </w:hyperlink>
          </w:p>
        </w:tc>
        <w:tc>
          <w:tcPr>
            <w:tcW w:w="4680" w:type="dxa"/>
            <w:vAlign w:val="bottom"/>
            <w:gridSpan w:val="15"/>
          </w:tcPr>
          <w:p>
            <w:pPr>
              <w:spacing w:after="0"/>
              <w:rPr>
                <w:sz w:val="17"/>
                <w:szCs w:val="17"/>
                <w:color w:val="auto"/>
              </w:rPr>
            </w:pPr>
          </w:p>
        </w:tc>
      </w:tr>
      <w:tr>
        <w:trPr>
          <w:trHeight w:val="223"/>
        </w:trPr>
        <w:tc>
          <w:tcPr>
            <w:tcW w:w="1960" w:type="dxa"/>
            <w:vAlign w:val="bottom"/>
          </w:tcPr>
          <w:p>
            <w:pPr>
              <w:ind w:left="160"/>
              <w:spacing w:after="0"/>
              <w:rPr>
                <w:sz w:val="20"/>
                <w:szCs w:val="20"/>
                <w:color w:val="auto"/>
              </w:rPr>
            </w:pPr>
            <w:r>
              <w:rPr>
                <w:rFonts w:ascii="Arial" w:cs="Arial" w:eastAsia="Arial" w:hAnsi="Arial"/>
                <w:sz w:val="19"/>
                <w:szCs w:val="19"/>
                <w:color w:val="auto"/>
              </w:rPr>
              <w:t>4</w:t>
            </w:r>
          </w:p>
        </w:tc>
        <w:tc>
          <w:tcPr>
            <w:tcW w:w="9460" w:type="dxa"/>
            <w:vAlign w:val="bottom"/>
            <w:gridSpan w:val="21"/>
          </w:tcPr>
          <w:p>
            <w:pPr>
              <w:spacing w:after="0"/>
              <w:rPr>
                <w:sz w:val="20"/>
                <w:szCs w:val="20"/>
                <w:color w:val="auto"/>
              </w:rPr>
            </w:pPr>
            <w:r>
              <w:rPr>
                <w:rFonts w:ascii="Arial" w:cs="Arial" w:eastAsia="Arial" w:hAnsi="Arial"/>
                <w:sz w:val="19"/>
                <w:szCs w:val="19"/>
                <w:color w:val="auto"/>
              </w:rPr>
              <w:t>Honeywell International Inc. is a party to several long-term debt instruments under which, in each case, the</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0"/>
          </w:tcPr>
          <w:p>
            <w:pPr>
              <w:spacing w:after="0" w:line="216" w:lineRule="exact"/>
              <w:rPr>
                <w:sz w:val="20"/>
                <w:szCs w:val="20"/>
                <w:color w:val="auto"/>
              </w:rPr>
            </w:pPr>
            <w:r>
              <w:rPr>
                <w:rFonts w:ascii="Arial" w:cs="Arial" w:eastAsia="Arial" w:hAnsi="Arial"/>
                <w:sz w:val="19"/>
                <w:szCs w:val="19"/>
                <w:color w:val="auto"/>
              </w:rPr>
              <w:t>total amount of securities authorized does not exceed 10% of the total assets of Honeywell and its</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0"/>
          </w:tcPr>
          <w:p>
            <w:pPr>
              <w:spacing w:after="0" w:line="216" w:lineRule="exact"/>
              <w:rPr>
                <w:sz w:val="20"/>
                <w:szCs w:val="20"/>
                <w:color w:val="auto"/>
              </w:rPr>
            </w:pPr>
            <w:r>
              <w:rPr>
                <w:rFonts w:ascii="Arial" w:cs="Arial" w:eastAsia="Arial" w:hAnsi="Arial"/>
                <w:sz w:val="19"/>
                <w:szCs w:val="19"/>
                <w:color w:val="auto"/>
              </w:rPr>
              <w:t>subsidiaries on a consolidated basis. Pursuant to paragraph 4(iii)(A) of Item 601(b) of Regulation S-K,</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0"/>
          </w:tcPr>
          <w:p>
            <w:pPr>
              <w:spacing w:after="0" w:line="216" w:lineRule="exact"/>
              <w:rPr>
                <w:sz w:val="20"/>
                <w:szCs w:val="20"/>
                <w:color w:val="auto"/>
              </w:rPr>
            </w:pPr>
            <w:r>
              <w:rPr>
                <w:rFonts w:ascii="Arial" w:cs="Arial" w:eastAsia="Arial" w:hAnsi="Arial"/>
                <w:sz w:val="19"/>
                <w:szCs w:val="19"/>
                <w:color w:val="auto"/>
              </w:rPr>
              <w:t>Honeywell agrees to furnish a copy of such instruments to the Securities and Exchange Commission upon</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80" w:type="dxa"/>
            <w:vAlign w:val="bottom"/>
            <w:gridSpan w:val="20"/>
          </w:tcPr>
          <w:p>
            <w:pPr>
              <w:spacing w:after="0" w:line="216" w:lineRule="exact"/>
              <w:rPr>
                <w:sz w:val="20"/>
                <w:szCs w:val="20"/>
                <w:color w:val="auto"/>
              </w:rPr>
            </w:pPr>
            <w:r>
              <w:rPr>
                <w:rFonts w:ascii="Arial" w:cs="Arial" w:eastAsia="Arial" w:hAnsi="Arial"/>
                <w:sz w:val="19"/>
                <w:szCs w:val="19"/>
                <w:color w:val="auto"/>
              </w:rPr>
              <w:t>request.</w:t>
            </w: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9"/>
                <w:szCs w:val="19"/>
                <w:color w:val="auto"/>
              </w:rPr>
              <w:t>10.1*</w:t>
            </w:r>
          </w:p>
        </w:tc>
        <w:tc>
          <w:tcPr>
            <w:tcW w:w="9460" w:type="dxa"/>
            <w:vAlign w:val="bottom"/>
            <w:gridSpan w:val="21"/>
          </w:tcPr>
          <w:p>
            <w:pPr>
              <w:spacing w:after="0" w:line="189" w:lineRule="exact"/>
              <w:rPr>
                <w:rFonts w:ascii="Arial" w:cs="Arial" w:eastAsia="Arial" w:hAnsi="Arial"/>
                <w:sz w:val="19"/>
                <w:szCs w:val="19"/>
                <w:color w:val="0000EE"/>
              </w:rPr>
            </w:pPr>
            <w:hyperlink r:id="rId146">
              <w:r>
                <w:rPr>
                  <w:rFonts w:ascii="Arial" w:cs="Arial" w:eastAsia="Arial" w:hAnsi="Arial"/>
                  <w:sz w:val="19"/>
                  <w:szCs w:val="19"/>
                  <w:color w:val="0000EE"/>
                </w:rPr>
                <w:t>Deferred Compensation Plan for Non-Employee Directors of Honeywell International Inc., as amended and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40" w:type="dxa"/>
            <w:vAlign w:val="bottom"/>
            <w:tcBorders>
              <w:top w:val="single" w:sz="8" w:color="0000EE"/>
              <w:bottom w:val="single" w:sz="8" w:color="0000EE"/>
            </w:tcBorders>
            <w:gridSpan w:val="12"/>
          </w:tcPr>
          <w:p>
            <w:pPr>
              <w:spacing w:after="0" w:line="196" w:lineRule="exact"/>
              <w:rPr>
                <w:rFonts w:ascii="Arial" w:cs="Arial" w:eastAsia="Arial" w:hAnsi="Arial"/>
                <w:sz w:val="19"/>
                <w:szCs w:val="19"/>
                <w:color w:val="0000EE"/>
              </w:rPr>
            </w:pPr>
            <w:hyperlink r:id="rId146">
              <w:r>
                <w:rPr>
                  <w:rFonts w:ascii="Arial" w:cs="Arial" w:eastAsia="Arial" w:hAnsi="Arial"/>
                  <w:sz w:val="19"/>
                  <w:szCs w:val="19"/>
                  <w:color w:val="0000EE"/>
                </w:rPr>
                <w:t>restated (incorporated by reference to Exhibit 10.2 to Honeywell’s Form 10-Q for quarter ended June 30,</w:t>
              </w:r>
            </w:hyperlink>
          </w:p>
        </w:tc>
        <w:tc>
          <w:tcPr>
            <w:tcW w:w="20" w:type="dxa"/>
            <w:vAlign w:val="bottom"/>
            <w:tcBorders>
              <w:top w:val="single" w:sz="8" w:color="0000EE"/>
            </w:tcBorders>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46">
              <w:r>
                <w:rPr>
                  <w:rFonts w:ascii="Arial" w:cs="Arial" w:eastAsia="Arial" w:hAnsi="Arial"/>
                  <w:sz w:val="19"/>
                  <w:szCs w:val="19"/>
                  <w:color w:val="0000EE"/>
                  <w:w w:val="94"/>
                </w:rPr>
                <w:t>2003)</w:t>
              </w:r>
            </w:hyperlink>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w:t>
            </w:r>
          </w:p>
        </w:tc>
        <w:tc>
          <w:tcPr>
            <w:tcW w:w="92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47">
              <w:r>
                <w:rPr>
                  <w:rFonts w:ascii="Arial" w:cs="Arial" w:eastAsia="Arial" w:hAnsi="Arial"/>
                  <w:sz w:val="19"/>
                  <w:szCs w:val="19"/>
                  <w:color w:val="0000EE"/>
                </w:rPr>
                <w:t>Amendment to Deferred Compensation Plan for Non-Employee Directors of Honeywell International Inc., as</w:t>
              </w:r>
            </w:hyperlink>
          </w:p>
        </w:tc>
        <w:tc>
          <w:tcPr>
            <w:tcW w:w="2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47">
              <w:r>
                <w:rPr>
                  <w:rFonts w:ascii="Arial" w:cs="Arial" w:eastAsia="Arial" w:hAnsi="Arial"/>
                  <w:sz w:val="19"/>
                  <w:szCs w:val="19"/>
                  <w:color w:val="0000EE"/>
                </w:rPr>
                <w:t>amended and restated (incorporated by reference to Exhibit 10.1 to Honeywell’s Form 8-K filed December</w:t>
              </w:r>
            </w:hyperlink>
          </w:p>
        </w:tc>
        <w:tc>
          <w:tcPr>
            <w:tcW w:w="2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9"/>
              </w:rPr>
            </w:pPr>
            <w:hyperlink r:id="rId147">
              <w:r>
                <w:rPr>
                  <w:rFonts w:ascii="Arial" w:cs="Arial" w:eastAsia="Arial" w:hAnsi="Arial"/>
                  <w:sz w:val="19"/>
                  <w:szCs w:val="19"/>
                  <w:color w:val="0000EE"/>
                  <w:w w:val="99"/>
                </w:rPr>
                <w:t>21, 2004)</w:t>
              </w:r>
            </w:hyperlink>
          </w:p>
        </w:tc>
        <w:tc>
          <w:tcPr>
            <w:tcW w:w="1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w:t>
            </w:r>
          </w:p>
        </w:tc>
        <w:tc>
          <w:tcPr>
            <w:tcW w:w="922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48">
              <w:r>
                <w:rPr>
                  <w:rFonts w:ascii="Arial" w:cs="Arial" w:eastAsia="Arial" w:hAnsi="Arial"/>
                  <w:sz w:val="19"/>
                  <w:szCs w:val="19"/>
                  <w:color w:val="0000EE"/>
                </w:rPr>
                <w:t>Amendment to Deferred Compensation Plan for Non-Employee Directors of Honeywell International Inc., as</w:t>
              </w:r>
            </w:hyperlink>
          </w:p>
        </w:tc>
        <w:tc>
          <w:tcPr>
            <w:tcW w:w="24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48">
              <w:r>
                <w:rPr>
                  <w:rFonts w:ascii="Arial" w:cs="Arial" w:eastAsia="Arial" w:hAnsi="Arial"/>
                  <w:sz w:val="19"/>
                  <w:szCs w:val="19"/>
                  <w:color w:val="0000EE"/>
                </w:rPr>
                <w:t>amended and restated (incorporated by reference to Exhibit 10.2 to Honeywell’s Form 10-K for the year</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rPr>
            </w:pPr>
            <w:hyperlink r:id="rId148">
              <w:r>
                <w:rPr>
                  <w:rFonts w:ascii="Arial" w:cs="Arial" w:eastAsia="Arial" w:hAnsi="Arial"/>
                  <w:sz w:val="19"/>
                  <w:szCs w:val="19"/>
                  <w:color w:val="0000EE"/>
                </w:rPr>
                <w:t>ended December 31, 2005)</w:t>
              </w:r>
            </w:hyperlink>
          </w:p>
        </w:tc>
        <w:tc>
          <w:tcPr>
            <w:tcW w:w="6480" w:type="dxa"/>
            <w:vAlign w:val="bottom"/>
            <w:tcBorders>
              <w:top w:val="single" w:sz="8" w:color="0000EE"/>
            </w:tcBorders>
            <w:gridSpan w:val="7"/>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w:t>
            </w:r>
          </w:p>
        </w:tc>
        <w:tc>
          <w:tcPr>
            <w:tcW w:w="9460" w:type="dxa"/>
            <w:vAlign w:val="bottom"/>
            <w:gridSpan w:val="21"/>
          </w:tcPr>
          <w:p>
            <w:pPr>
              <w:spacing w:after="0" w:line="196" w:lineRule="exact"/>
              <w:rPr>
                <w:rFonts w:ascii="Arial" w:cs="Arial" w:eastAsia="Arial" w:hAnsi="Arial"/>
                <w:sz w:val="19"/>
                <w:szCs w:val="19"/>
                <w:color w:val="0000EE"/>
              </w:rPr>
            </w:pPr>
            <w:hyperlink r:id="rId149">
              <w:r>
                <w:rPr>
                  <w:rFonts w:ascii="Arial" w:cs="Arial" w:eastAsia="Arial" w:hAnsi="Arial"/>
                  <w:sz w:val="19"/>
                  <w:szCs w:val="19"/>
                  <w:color w:val="0000EE"/>
                </w:rPr>
                <w:t>Honeywell International Inc. Incentive Compensation Plan for Executive Employees, as amended and restated</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49">
              <w:r>
                <w:rPr>
                  <w:rFonts w:ascii="Arial" w:cs="Arial" w:eastAsia="Arial" w:hAnsi="Arial"/>
                  <w:sz w:val="19"/>
                  <w:szCs w:val="19"/>
                  <w:color w:val="0000EE"/>
                </w:rPr>
                <w:t>(incorporated by reference to Exhibit 10.4 to Honeywell’s Form 10-K for the year ended December 31, 2013)</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w:t>
            </w:r>
          </w:p>
        </w:tc>
        <w:tc>
          <w:tcPr>
            <w:tcW w:w="9460" w:type="dxa"/>
            <w:vAlign w:val="bottom"/>
            <w:gridSpan w:val="21"/>
          </w:tcPr>
          <w:p>
            <w:pPr>
              <w:spacing w:after="0" w:line="196" w:lineRule="exact"/>
              <w:rPr>
                <w:rFonts w:ascii="Arial" w:cs="Arial" w:eastAsia="Arial" w:hAnsi="Arial"/>
                <w:sz w:val="19"/>
                <w:szCs w:val="19"/>
                <w:color w:val="0000EE"/>
              </w:rPr>
            </w:pPr>
            <w:hyperlink r:id="rId150">
              <w:r>
                <w:rPr>
                  <w:rFonts w:ascii="Arial" w:cs="Arial" w:eastAsia="Arial" w:hAnsi="Arial"/>
                  <w:sz w:val="19"/>
                  <w:szCs w:val="19"/>
                  <w:color w:val="0000EE"/>
                </w:rPr>
                <w:t>Supplemental Non-Qualified Savings Plan for Highly Compensated Employees of Honeywell International Inc.</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00" w:type="dxa"/>
            <w:vAlign w:val="bottom"/>
            <w:tcBorders>
              <w:top w:val="single" w:sz="8" w:color="0000EE"/>
              <w:bottom w:val="single" w:sz="8" w:color="0000EE"/>
            </w:tcBorders>
            <w:gridSpan w:val="11"/>
          </w:tcPr>
          <w:p>
            <w:pPr>
              <w:spacing w:after="0" w:line="196" w:lineRule="exact"/>
              <w:rPr>
                <w:rFonts w:ascii="Arial" w:cs="Arial" w:eastAsia="Arial" w:hAnsi="Arial"/>
                <w:sz w:val="19"/>
                <w:szCs w:val="19"/>
                <w:color w:val="0000EE"/>
              </w:rPr>
            </w:pPr>
            <w:hyperlink r:id="rId150">
              <w:r>
                <w:rPr>
                  <w:rFonts w:ascii="Arial" w:cs="Arial" w:eastAsia="Arial" w:hAnsi="Arial"/>
                  <w:sz w:val="19"/>
                  <w:szCs w:val="19"/>
                  <w:color w:val="0000EE"/>
                </w:rPr>
                <w:t>and its Subsidiaries, as amended and restated (incorporated by reference to Exhibit 10.6 to Honeywell’s</w:t>
              </w:r>
            </w:hyperlink>
          </w:p>
        </w:tc>
        <w:tc>
          <w:tcPr>
            <w:tcW w:w="3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150">
              <w:r>
                <w:rPr>
                  <w:rFonts w:ascii="Arial" w:cs="Arial" w:eastAsia="Arial" w:hAnsi="Arial"/>
                  <w:sz w:val="19"/>
                  <w:szCs w:val="19"/>
                  <w:color w:val="0000EE"/>
                </w:rPr>
                <w:t>Form 10-K for the year ended December 31, 2008)</w:t>
              </w:r>
            </w:hyperlink>
          </w:p>
        </w:tc>
        <w:tc>
          <w:tcPr>
            <w:tcW w:w="4920" w:type="dxa"/>
            <w:vAlign w:val="bottom"/>
            <w:gridSpan w:val="16"/>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w:t>
            </w:r>
          </w:p>
        </w:tc>
        <w:tc>
          <w:tcPr>
            <w:tcW w:w="92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1">
              <w:r>
                <w:rPr>
                  <w:rFonts w:ascii="Arial" w:cs="Arial" w:eastAsia="Arial" w:hAnsi="Arial"/>
                  <w:sz w:val="19"/>
                  <w:szCs w:val="19"/>
                  <w:color w:val="0000EE"/>
                </w:rPr>
                <w:t>Amendment to Supplemental Non-Qualified Savings Plan for Highly Compensated Employees of Honeywell</w:t>
              </w:r>
            </w:hyperlink>
          </w:p>
        </w:tc>
        <w:tc>
          <w:tcPr>
            <w:tcW w:w="2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1">
              <w:r>
                <w:rPr>
                  <w:rFonts w:ascii="Arial" w:cs="Arial" w:eastAsia="Arial" w:hAnsi="Arial"/>
                  <w:sz w:val="19"/>
                  <w:szCs w:val="19"/>
                  <w:color w:val="0000EE"/>
                </w:rPr>
                <w:t>International Inc. and its Subsidiaries, as amended and restated (incorporated by reference to Exhibit 10.5</w:t>
              </w:r>
            </w:hyperlink>
          </w:p>
        </w:tc>
        <w:tc>
          <w:tcPr>
            <w:tcW w:w="2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r:id="rId151">
              <w:r>
                <w:rPr>
                  <w:rFonts w:ascii="Arial" w:cs="Arial" w:eastAsia="Arial" w:hAnsi="Arial"/>
                  <w:sz w:val="19"/>
                  <w:szCs w:val="19"/>
                  <w:color w:val="0000EE"/>
                </w:rPr>
                <w:t>to Honeywell’s Form 10-K for the year ended December 31, 2010)</w:t>
              </w:r>
            </w:hyperlink>
          </w:p>
        </w:tc>
        <w:tc>
          <w:tcPr>
            <w:tcW w:w="3620" w:type="dxa"/>
            <w:vAlign w:val="bottom"/>
            <w:gridSpan w:val="1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w:t>
            </w:r>
          </w:p>
        </w:tc>
        <w:tc>
          <w:tcPr>
            <w:tcW w:w="92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Amendment to Supplemental Non-Qualified Savings Plan for Highly Compensated Employees of Honeywell</w:t>
              </w:r>
            </w:hyperlink>
          </w:p>
        </w:tc>
        <w:tc>
          <w:tcPr>
            <w:tcW w:w="2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International Inc. and its Subsidiaries, as amended and restated (incorporated by reference to Exhibit 10.1</w:t>
              </w:r>
            </w:hyperlink>
          </w:p>
        </w:tc>
        <w:tc>
          <w:tcPr>
            <w:tcW w:w="2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52">
              <w:r>
                <w:rPr>
                  <w:rFonts w:ascii="Arial" w:cs="Arial" w:eastAsia="Arial" w:hAnsi="Arial"/>
                  <w:sz w:val="19"/>
                  <w:szCs w:val="19"/>
                  <w:color w:val="0000EE"/>
                </w:rPr>
                <w:t>to Honeywell’s Form 10-Q for the quarter ended June 30, 2012)</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10.8*</w:t>
            </w:r>
          </w:p>
        </w:tc>
        <w:tc>
          <w:tcPr>
            <w:tcW w:w="92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3">
              <w:r>
                <w:rPr>
                  <w:rFonts w:ascii="Arial" w:cs="Arial" w:eastAsia="Arial" w:hAnsi="Arial"/>
                  <w:sz w:val="19"/>
                  <w:szCs w:val="19"/>
                  <w:color w:val="0000EE"/>
                </w:rPr>
                <w:t>Amendment to Supplemental Non-Qualified Savings Plan for Highly Compensated Employees of Honeywell</w:t>
              </w:r>
            </w:hyperlink>
          </w:p>
        </w:tc>
        <w:tc>
          <w:tcPr>
            <w:tcW w:w="2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3">
              <w:r>
                <w:rPr>
                  <w:rFonts w:ascii="Arial" w:cs="Arial" w:eastAsia="Arial" w:hAnsi="Arial"/>
                  <w:sz w:val="19"/>
                  <w:szCs w:val="19"/>
                  <w:color w:val="0000EE"/>
                </w:rPr>
                <w:t>International Inc. and its Subsidiaries, as amended and restated (incorporated by reference to Exhibit 10.5</w:t>
              </w:r>
            </w:hyperlink>
          </w:p>
        </w:tc>
        <w:tc>
          <w:tcPr>
            <w:tcW w:w="2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r:id="rId153">
              <w:r>
                <w:rPr>
                  <w:rFonts w:ascii="Arial" w:cs="Arial" w:eastAsia="Arial" w:hAnsi="Arial"/>
                  <w:sz w:val="19"/>
                  <w:szCs w:val="19"/>
                  <w:color w:val="0000EE"/>
                </w:rPr>
                <w:t>to Honeywell’s Form 10-K for the year ended December 31, 2013)</w:t>
              </w:r>
            </w:hyperlink>
          </w:p>
        </w:tc>
        <w:tc>
          <w:tcPr>
            <w:tcW w:w="3620" w:type="dxa"/>
            <w:vAlign w:val="bottom"/>
            <w:gridSpan w:val="1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10.9*</w:t>
            </w:r>
          </w:p>
        </w:tc>
        <w:tc>
          <w:tcPr>
            <w:tcW w:w="92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4">
              <w:r>
                <w:rPr>
                  <w:rFonts w:ascii="Arial" w:cs="Arial" w:eastAsia="Arial" w:hAnsi="Arial"/>
                  <w:sz w:val="19"/>
                  <w:szCs w:val="19"/>
                  <w:color w:val="0000EE"/>
                </w:rPr>
                <w:t>Amendment to Supplemental Non-Qualified Savings Plan for Highly Compensated Employees of Honeywell</w:t>
              </w:r>
            </w:hyperlink>
          </w:p>
        </w:tc>
        <w:tc>
          <w:tcPr>
            <w:tcW w:w="22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54">
              <w:r>
                <w:rPr>
                  <w:rFonts w:ascii="Arial" w:cs="Arial" w:eastAsia="Arial" w:hAnsi="Arial"/>
                  <w:sz w:val="19"/>
                  <w:szCs w:val="19"/>
                  <w:color w:val="0000EE"/>
                </w:rPr>
                <w:t>International Inc. and its Subsidiaries, as amended and restated (incorporated by reference to Exhibit 10.1</w:t>
              </w:r>
            </w:hyperlink>
          </w:p>
        </w:tc>
        <w:tc>
          <w:tcPr>
            <w:tcW w:w="2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54">
              <w:r>
                <w:rPr>
                  <w:rFonts w:ascii="Arial" w:cs="Arial" w:eastAsia="Arial" w:hAnsi="Arial"/>
                  <w:sz w:val="19"/>
                  <w:szCs w:val="19"/>
                  <w:color w:val="0000EE"/>
                </w:rPr>
                <w:t>to Honeywell’s Form 10-Q for the quarter ended June 30, 2015)</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10.10*</w:t>
            </w:r>
          </w:p>
        </w:tc>
        <w:tc>
          <w:tcPr>
            <w:tcW w:w="93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55">
              <w:r>
                <w:rPr>
                  <w:rFonts w:ascii="Arial" w:cs="Arial" w:eastAsia="Arial" w:hAnsi="Arial"/>
                  <w:sz w:val="19"/>
                  <w:szCs w:val="19"/>
                  <w:color w:val="0000EE"/>
                </w:rPr>
                <w:t>Honeywell International Inc. Severance Plan for Designated Officers, as amended and restated (incorporated</w:t>
              </w:r>
            </w:hyperlink>
          </w:p>
        </w:tc>
        <w:tc>
          <w:tcPr>
            <w:tcW w:w="12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8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155">
              <w:r>
                <w:rPr>
                  <w:rFonts w:ascii="Arial" w:cs="Arial" w:eastAsia="Arial" w:hAnsi="Arial"/>
                  <w:sz w:val="19"/>
                  <w:szCs w:val="19"/>
                  <w:color w:val="0000EE"/>
                </w:rPr>
                <w:t>by reference to Exhibit 10.6 to Honeywell’s Form 10-K for the year ended December 31, 2013)</w:t>
              </w:r>
            </w:hyperlink>
          </w:p>
        </w:tc>
        <w:tc>
          <w:tcPr>
            <w:tcW w:w="1200" w:type="dxa"/>
            <w:vAlign w:val="bottom"/>
            <w:gridSpan w:val="11"/>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4540" w:type="dxa"/>
            <w:vAlign w:val="bottom"/>
            <w:gridSpan w:val="5"/>
          </w:tcPr>
          <w:p>
            <w:pPr>
              <w:ind w:left="3640"/>
              <w:spacing w:after="0"/>
              <w:rPr>
                <w:sz w:val="20"/>
                <w:szCs w:val="20"/>
                <w:color w:val="auto"/>
              </w:rPr>
            </w:pPr>
            <w:r>
              <w:rPr>
                <w:rFonts w:ascii="Arial" w:cs="Arial" w:eastAsia="Arial" w:hAnsi="Arial"/>
                <w:sz w:val="19"/>
                <w:szCs w:val="19"/>
                <w:color w:val="auto"/>
              </w:rPr>
              <w:t>96</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18"/>
          </w:tcPr>
          <w:p>
            <w:pPr>
              <w:ind w:left="10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10.11*</w:t>
            </w:r>
          </w:p>
        </w:tc>
        <w:tc>
          <w:tcPr>
            <w:tcW w:w="892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58">
              <w:r>
                <w:rPr>
                  <w:rFonts w:ascii="Arial" w:cs="Arial" w:eastAsia="Arial" w:hAnsi="Arial"/>
                  <w:sz w:val="19"/>
                  <w:szCs w:val="19"/>
                  <w:color w:val="0000EE"/>
                </w:rPr>
                <w:t>Salary and Incentive Award Deferral Plan for Selected Employees of Honeywell International Inc. and its</w:t>
              </w:r>
            </w:hyperlink>
          </w:p>
        </w:tc>
        <w:tc>
          <w:tcPr>
            <w:tcW w:w="54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58">
              <w:r>
                <w:rPr>
                  <w:rFonts w:ascii="Arial" w:cs="Arial" w:eastAsia="Arial" w:hAnsi="Arial"/>
                  <w:sz w:val="19"/>
                  <w:szCs w:val="19"/>
                  <w:color w:val="0000EE"/>
                </w:rPr>
                <w:t>Affiliates, as amended and restated (incorporated by reference to Exhibit 10.8 to Honeywell’s Form 10-K for</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top w:val="single" w:sz="8" w:color="0000EE"/>
            </w:tcBorders>
            <w:gridSpan w:val="18"/>
          </w:tcPr>
          <w:p>
            <w:pPr>
              <w:spacing w:after="0" w:line="196" w:lineRule="exact"/>
              <w:rPr>
                <w:rFonts w:ascii="Arial" w:cs="Arial" w:eastAsia="Arial" w:hAnsi="Arial"/>
                <w:sz w:val="19"/>
                <w:szCs w:val="19"/>
                <w:color w:val="0000EE"/>
              </w:rPr>
            </w:pPr>
            <w:hyperlink r:id="rId158">
              <w:r>
                <w:rPr>
                  <w:rFonts w:ascii="Arial" w:cs="Arial" w:eastAsia="Arial" w:hAnsi="Arial"/>
                  <w:sz w:val="19"/>
                  <w:szCs w:val="19"/>
                  <w:color w:val="0000EE"/>
                </w:rPr>
                <w:t>the year ended December 31, 2008)</w:t>
              </w:r>
            </w:hyperlink>
          </w:p>
        </w:tc>
        <w:tc>
          <w:tcPr>
            <w:tcW w:w="100" w:type="dxa"/>
            <w:vAlign w:val="bottom"/>
            <w:gridSpan w:val="2"/>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10.12*</w:t>
            </w:r>
          </w:p>
        </w:tc>
        <w:tc>
          <w:tcPr>
            <w:tcW w:w="924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Amendment to Salary and Incentive Award Deferral Plan for Selected Employees of Honeywell International</w:t>
              </w:r>
            </w:hyperlink>
          </w:p>
        </w:tc>
        <w:tc>
          <w:tcPr>
            <w:tcW w:w="22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bottom w:val="single" w:sz="8" w:color="0000EE"/>
            </w:tcBorders>
            <w:gridSpan w:val="13"/>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Inc. and its Affiliates, as amended and restated (incorporated by reference to Exhibit 10.7 to Honeywell’s</w:t>
              </w:r>
            </w:hyperlink>
          </w:p>
        </w:tc>
        <w:tc>
          <w:tcPr>
            <w:tcW w:w="34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159">
              <w:r>
                <w:rPr>
                  <w:rFonts w:ascii="Arial" w:cs="Arial" w:eastAsia="Arial" w:hAnsi="Arial"/>
                  <w:sz w:val="19"/>
                  <w:szCs w:val="19"/>
                  <w:color w:val="0000EE"/>
                </w:rPr>
                <w:t>Form 10-K for the year ended December 31, 2013)</w:t>
              </w:r>
            </w:hyperlink>
          </w:p>
        </w:tc>
        <w:tc>
          <w:tcPr>
            <w:tcW w:w="4900" w:type="dxa"/>
            <w:vAlign w:val="bottom"/>
            <w:gridSpan w:val="16"/>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10.13*</w:t>
            </w:r>
          </w:p>
        </w:tc>
        <w:tc>
          <w:tcPr>
            <w:tcW w:w="9460" w:type="dxa"/>
            <w:vAlign w:val="bottom"/>
            <w:gridSpan w:val="21"/>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Honeywell International Inc. Supplemental Pension Plan, as amended and restated (incorporated by reference</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19"/>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to Exhibit 10.10 to Honeywell’s Form 10-K for the year ended December 31, 2008)</w:t>
              </w:r>
            </w:hyperlink>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10.14*</w:t>
            </w:r>
          </w:p>
        </w:tc>
        <w:tc>
          <w:tcPr>
            <w:tcW w:w="844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Amendment to Honeywell International Inc. Supplemental Pension Plan, as amended and restated</w:t>
              </w:r>
            </w:hyperlink>
          </w:p>
        </w:tc>
        <w:tc>
          <w:tcPr>
            <w:tcW w:w="102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0">
              <w:r>
                <w:rPr>
                  <w:rFonts w:ascii="Arial" w:cs="Arial" w:eastAsia="Arial" w:hAnsi="Arial"/>
                  <w:sz w:val="19"/>
                  <w:szCs w:val="19"/>
                  <w:color w:val="0000EE"/>
                </w:rPr>
                <w:t>(incorporated by reference to Exhibit 10.10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60">
              <w:r>
                <w:rPr>
                  <w:rFonts w:ascii="Arial" w:cs="Arial" w:eastAsia="Arial" w:hAnsi="Arial"/>
                  <w:sz w:val="19"/>
                  <w:szCs w:val="19"/>
                  <w:color w:val="0000EE"/>
                  <w:w w:val="94"/>
                </w:rPr>
                <w:t>2009)</w:t>
              </w:r>
            </w:hyperlink>
          </w:p>
        </w:tc>
        <w:tc>
          <w:tcPr>
            <w:tcW w:w="2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10.15*</w:t>
            </w:r>
          </w:p>
        </w:tc>
        <w:tc>
          <w:tcPr>
            <w:tcW w:w="844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161">
              <w:r>
                <w:rPr>
                  <w:rFonts w:ascii="Arial" w:cs="Arial" w:eastAsia="Arial" w:hAnsi="Arial"/>
                  <w:sz w:val="19"/>
                  <w:szCs w:val="19"/>
                  <w:color w:val="0000EE"/>
                </w:rPr>
                <w:t>Amendment to Honeywell International Inc. Supplemental Pension Plan, as amended and restated</w:t>
              </w:r>
            </w:hyperlink>
          </w:p>
        </w:tc>
        <w:tc>
          <w:tcPr>
            <w:tcW w:w="102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1">
              <w:r>
                <w:rPr>
                  <w:rFonts w:ascii="Arial" w:cs="Arial" w:eastAsia="Arial" w:hAnsi="Arial"/>
                  <w:sz w:val="19"/>
                  <w:szCs w:val="19"/>
                  <w:color w:val="0000EE"/>
                </w:rPr>
                <w:t>(incorporated by reference to Exhibit 10.7 to Honeywell’s Form 10-K for the year ended December 31, 2015)</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10.16*</w:t>
            </w:r>
          </w:p>
        </w:tc>
        <w:tc>
          <w:tcPr>
            <w:tcW w:w="9460" w:type="dxa"/>
            <w:vAlign w:val="bottom"/>
            <w:gridSpan w:val="21"/>
          </w:tcPr>
          <w:p>
            <w:pPr>
              <w:spacing w:after="0" w:line="196" w:lineRule="exact"/>
              <w:rPr>
                <w:rFonts w:ascii="Arial" w:cs="Arial" w:eastAsia="Arial" w:hAnsi="Arial"/>
                <w:sz w:val="19"/>
                <w:szCs w:val="19"/>
                <w:color w:val="0000EE"/>
              </w:rPr>
            </w:pPr>
            <w:hyperlink r:id="rId162">
              <w:r>
                <w:rPr>
                  <w:rFonts w:ascii="Arial" w:cs="Arial" w:eastAsia="Arial" w:hAnsi="Arial"/>
                  <w:sz w:val="19"/>
                  <w:szCs w:val="19"/>
                  <w:color w:val="0000EE"/>
                </w:rPr>
                <w:t>Honeywell International Inc. Supplemental Executive Retirement Plan for Executives in Career Band 6 and</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162">
              <w:r>
                <w:rPr>
                  <w:rFonts w:ascii="Arial" w:cs="Arial" w:eastAsia="Arial" w:hAnsi="Arial"/>
                  <w:sz w:val="19"/>
                  <w:szCs w:val="19"/>
                  <w:color w:val="0000EE"/>
                </w:rPr>
                <w:t>Above, as amended and restated (incorporated by reference to Exhibit 10.12 to Honeywell’s Form 10-K for</w:t>
              </w:r>
            </w:hyperlink>
          </w:p>
        </w:tc>
        <w:tc>
          <w:tcPr>
            <w:tcW w:w="16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2">
              <w:r>
                <w:rPr>
                  <w:rFonts w:ascii="Arial" w:cs="Arial" w:eastAsia="Arial" w:hAnsi="Arial"/>
                  <w:sz w:val="19"/>
                  <w:szCs w:val="19"/>
                  <w:color w:val="0000EE"/>
                </w:rPr>
                <w:t>the year ended December 31, 2008)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10.17*</w:t>
            </w:r>
          </w:p>
        </w:tc>
        <w:tc>
          <w:tcPr>
            <w:tcW w:w="94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Amendment to Honeywell International Inc. Supplemental Executive Retirement Plan for Executives in Career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40" w:type="dxa"/>
            <w:vAlign w:val="bottom"/>
            <w:tcBorders>
              <w:bottom w:val="single" w:sz="8" w:color="0000EE"/>
            </w:tcBorders>
            <w:gridSpan w:val="13"/>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Band 6 and Above, as amended and restated (incorporated by reference to Exhibit 10.12 to Honeywell’s</w:t>
              </w:r>
            </w:hyperlink>
          </w:p>
        </w:tc>
        <w:tc>
          <w:tcPr>
            <w:tcW w:w="34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163">
              <w:r>
                <w:rPr>
                  <w:rFonts w:ascii="Arial" w:cs="Arial" w:eastAsia="Arial" w:hAnsi="Arial"/>
                  <w:sz w:val="19"/>
                  <w:szCs w:val="19"/>
                  <w:color w:val="0000EE"/>
                </w:rPr>
                <w:t>Form 10-K for the year ended December 31, 2009)</w:t>
              </w:r>
            </w:hyperlink>
          </w:p>
        </w:tc>
        <w:tc>
          <w:tcPr>
            <w:tcW w:w="4900" w:type="dxa"/>
            <w:vAlign w:val="bottom"/>
            <w:gridSpan w:val="16"/>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10.18*</w:t>
            </w:r>
          </w:p>
        </w:tc>
        <w:tc>
          <w:tcPr>
            <w:tcW w:w="94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Amendment to Honeywell International Inc. Supplemental Executive Retirement Plan for Executives in Career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Band 6 and Above, as amended and restated (incorporated by reference to Exhibit 10.9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64">
              <w:r>
                <w:rPr>
                  <w:rFonts w:ascii="Arial" w:cs="Arial" w:eastAsia="Arial" w:hAnsi="Arial"/>
                  <w:sz w:val="19"/>
                  <w:szCs w:val="19"/>
                  <w:color w:val="0000EE"/>
                </w:rPr>
                <w:t>Form 10-K for the year ended December 31, 2013)</w:t>
              </w:r>
            </w:hyperlink>
          </w:p>
        </w:tc>
        <w:tc>
          <w:tcPr>
            <w:tcW w:w="4440" w:type="dxa"/>
            <w:vAlign w:val="bottom"/>
            <w:tcBorders>
              <w:top w:val="single" w:sz="8" w:color="0000EE"/>
            </w:tcBorders>
            <w:gridSpan w:val="8"/>
          </w:tcPr>
          <w:p>
            <w:pPr>
              <w:spacing w:after="0"/>
              <w:rPr>
                <w:sz w:val="17"/>
                <w:szCs w:val="17"/>
                <w:color w:val="auto"/>
              </w:rPr>
            </w:pPr>
          </w:p>
        </w:tc>
        <w:tc>
          <w:tcPr>
            <w:tcW w:w="460" w:type="dxa"/>
            <w:vAlign w:val="bottom"/>
            <w:gridSpan w:val="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10.19*</w:t>
            </w:r>
          </w:p>
        </w:tc>
        <w:tc>
          <w:tcPr>
            <w:tcW w:w="944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65">
              <w:r>
                <w:rPr>
                  <w:rFonts w:ascii="Arial" w:cs="Arial" w:eastAsia="Arial" w:hAnsi="Arial"/>
                  <w:sz w:val="19"/>
                  <w:szCs w:val="19"/>
                  <w:color w:val="0000EE"/>
                </w:rPr>
                <w:t>Amendment to Honeywell International Inc. Supplemental Executive Retirement Plan for Executives in Career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5">
              <w:r>
                <w:rPr>
                  <w:rFonts w:ascii="Arial" w:cs="Arial" w:eastAsia="Arial" w:hAnsi="Arial"/>
                  <w:sz w:val="19"/>
                  <w:szCs w:val="19"/>
                  <w:color w:val="0000EE"/>
                </w:rPr>
                <w:t>Band 6 and Above, as amended and restated (incorporated by reference to Exhibit 10.8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3"/>
          </w:tcPr>
          <w:p>
            <w:pPr>
              <w:spacing w:after="0" w:line="196" w:lineRule="exact"/>
              <w:rPr>
                <w:rFonts w:ascii="Arial" w:cs="Arial" w:eastAsia="Arial" w:hAnsi="Arial"/>
                <w:sz w:val="19"/>
                <w:szCs w:val="19"/>
                <w:color w:val="0000EE"/>
              </w:rPr>
            </w:pPr>
            <w:hyperlink r:id="rId165">
              <w:r>
                <w:rPr>
                  <w:rFonts w:ascii="Arial" w:cs="Arial" w:eastAsia="Arial" w:hAnsi="Arial"/>
                  <w:sz w:val="19"/>
                  <w:szCs w:val="19"/>
                  <w:color w:val="0000EE"/>
                </w:rPr>
                <w:t>Form 10-K for the year ended December 31, 2015)</w:t>
              </w:r>
            </w:hyperlink>
          </w:p>
        </w:tc>
        <w:tc>
          <w:tcPr>
            <w:tcW w:w="4460" w:type="dxa"/>
            <w:vAlign w:val="bottom"/>
            <w:tcBorders>
              <w:top w:val="single" w:sz="8" w:color="0000EE"/>
            </w:tcBorders>
            <w:gridSpan w:val="9"/>
          </w:tcPr>
          <w:p>
            <w:pPr>
              <w:spacing w:after="0"/>
              <w:rPr>
                <w:sz w:val="17"/>
                <w:szCs w:val="17"/>
                <w:color w:val="auto"/>
              </w:rPr>
            </w:pPr>
          </w:p>
        </w:tc>
        <w:tc>
          <w:tcPr>
            <w:tcW w:w="460" w:type="dxa"/>
            <w:vAlign w:val="bottom"/>
            <w:gridSpan w:val="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10.20*</w:t>
            </w:r>
          </w:p>
        </w:tc>
        <w:tc>
          <w:tcPr>
            <w:tcW w:w="8720" w:type="dxa"/>
            <w:vAlign w:val="bottom"/>
            <w:tcBorders>
              <w:bottom w:val="single" w:sz="8" w:color="0000EE"/>
            </w:tcBorders>
            <w:gridSpan w:val="11"/>
          </w:tcPr>
          <w:p>
            <w:pPr>
              <w:spacing w:after="0" w:line="196" w:lineRule="exact"/>
              <w:rPr>
                <w:rFonts w:ascii="Arial" w:cs="Arial" w:eastAsia="Arial" w:hAnsi="Arial"/>
                <w:sz w:val="19"/>
                <w:szCs w:val="19"/>
                <w:color w:val="0000EE"/>
              </w:rPr>
            </w:pPr>
            <w:hyperlink r:id="rId166">
              <w:r>
                <w:rPr>
                  <w:rFonts w:ascii="Arial" w:cs="Arial" w:eastAsia="Arial" w:hAnsi="Arial"/>
                  <w:sz w:val="19"/>
                  <w:szCs w:val="19"/>
                  <w:color w:val="0000EE"/>
                </w:rPr>
                <w:t>Honeywell Supplemental Defined Benefit Retirement Plan, as amended and restated (incorporated by</w:t>
              </w:r>
            </w:hyperlink>
          </w:p>
        </w:tc>
        <w:tc>
          <w:tcPr>
            <w:tcW w:w="74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6">
              <w:r>
                <w:rPr>
                  <w:rFonts w:ascii="Arial" w:cs="Arial" w:eastAsia="Arial" w:hAnsi="Arial"/>
                  <w:sz w:val="19"/>
                  <w:szCs w:val="19"/>
                  <w:color w:val="0000EE"/>
                </w:rPr>
                <w:t>reference to Exhibit 10.13 to Honeywell’s Form 10-K for the year ended December 31, 2008)</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gridSpan w:val="5"/>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10.21*</w:t>
            </w:r>
          </w:p>
        </w:tc>
        <w:tc>
          <w:tcPr>
            <w:tcW w:w="85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167">
              <w:r>
                <w:rPr>
                  <w:rFonts w:ascii="Arial" w:cs="Arial" w:eastAsia="Arial" w:hAnsi="Arial"/>
                  <w:sz w:val="19"/>
                  <w:szCs w:val="19"/>
                  <w:color w:val="0000EE"/>
                </w:rPr>
                <w:t>Amendment to Honeywell Supplemental Defined Benefit Retirement Plan, as amended and restated</w:t>
              </w:r>
            </w:hyperlink>
          </w:p>
        </w:tc>
        <w:tc>
          <w:tcPr>
            <w:tcW w:w="88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7">
              <w:r>
                <w:rPr>
                  <w:rFonts w:ascii="Arial" w:cs="Arial" w:eastAsia="Arial" w:hAnsi="Arial"/>
                  <w:sz w:val="19"/>
                  <w:szCs w:val="19"/>
                  <w:color w:val="0000EE"/>
                </w:rPr>
                <w:t>(incorporated by reference to Exhibit 10.13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167">
              <w:r>
                <w:rPr>
                  <w:rFonts w:ascii="Arial" w:cs="Arial" w:eastAsia="Arial" w:hAnsi="Arial"/>
                  <w:sz w:val="19"/>
                  <w:szCs w:val="19"/>
                  <w:color w:val="0000EE"/>
                  <w:w w:val="94"/>
                </w:rPr>
                <w:t>2009)</w:t>
              </w:r>
            </w:hyperlink>
          </w:p>
        </w:tc>
        <w:tc>
          <w:tcPr>
            <w:tcW w:w="2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7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10.22*</w:t>
            </w:r>
          </w:p>
        </w:tc>
        <w:tc>
          <w:tcPr>
            <w:tcW w:w="858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168">
              <w:r>
                <w:rPr>
                  <w:rFonts w:ascii="Arial" w:cs="Arial" w:eastAsia="Arial" w:hAnsi="Arial"/>
                  <w:sz w:val="19"/>
                  <w:szCs w:val="19"/>
                  <w:color w:val="0000EE"/>
                </w:rPr>
                <w:t>Amendment to Honeywell Supplemental Defined Benefit Retirement Plan, as amended and restated</w:t>
              </w:r>
            </w:hyperlink>
          </w:p>
        </w:tc>
        <w:tc>
          <w:tcPr>
            <w:tcW w:w="88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8">
              <w:r>
                <w:rPr>
                  <w:rFonts w:ascii="Arial" w:cs="Arial" w:eastAsia="Arial" w:hAnsi="Arial"/>
                  <w:sz w:val="19"/>
                  <w:szCs w:val="19"/>
                  <w:color w:val="0000EE"/>
                </w:rPr>
                <w:t>(incorporated by reference to Exhibit 10.9 to Honeywell’s Form 10-K for the year ended December 31, 2015)</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gridSpan w:val="5"/>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10.23*</w:t>
            </w:r>
          </w:p>
        </w:tc>
        <w:tc>
          <w:tcPr>
            <w:tcW w:w="946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69">
              <w:r>
                <w:rPr>
                  <w:rFonts w:ascii="Arial" w:cs="Arial" w:eastAsia="Arial" w:hAnsi="Arial"/>
                  <w:sz w:val="19"/>
                  <w:szCs w:val="19"/>
                  <w:color w:val="0000EE"/>
                </w:rPr>
                <w:t>Honeywell International Inc. Severance Plan for Corporate Staff Employees (Involuntary Termination Following</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0"/>
          </w:tcPr>
          <w:p>
            <w:pPr>
              <w:spacing w:after="0" w:line="196" w:lineRule="exact"/>
              <w:rPr>
                <w:rFonts w:ascii="Arial" w:cs="Arial" w:eastAsia="Arial" w:hAnsi="Arial"/>
                <w:sz w:val="19"/>
                <w:szCs w:val="19"/>
                <w:color w:val="0000EE"/>
              </w:rPr>
            </w:pPr>
            <w:hyperlink r:id="rId169">
              <w:r>
                <w:rPr>
                  <w:rFonts w:ascii="Arial" w:cs="Arial" w:eastAsia="Arial" w:hAnsi="Arial"/>
                  <w:sz w:val="19"/>
                  <w:szCs w:val="19"/>
                  <w:color w:val="0000EE"/>
                </w:rPr>
                <w:t>a Change in Control), as amended and restated (incorporated by reference to Exhibit 10.12 to Honeywell’s</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4"/>
          </w:tcPr>
          <w:p>
            <w:pPr>
              <w:spacing w:after="0" w:line="196" w:lineRule="exact"/>
              <w:rPr>
                <w:rFonts w:ascii="Arial" w:cs="Arial" w:eastAsia="Arial" w:hAnsi="Arial"/>
                <w:sz w:val="19"/>
                <w:szCs w:val="19"/>
                <w:color w:val="0000EE"/>
              </w:rPr>
            </w:pPr>
            <w:hyperlink r:id="rId169">
              <w:r>
                <w:rPr>
                  <w:rFonts w:ascii="Arial" w:cs="Arial" w:eastAsia="Arial" w:hAnsi="Arial"/>
                  <w:sz w:val="19"/>
                  <w:szCs w:val="19"/>
                  <w:color w:val="0000EE"/>
                </w:rPr>
                <w:t>Form 10-K for the year ended December 31, 2013)</w:t>
              </w:r>
            </w:hyperlink>
          </w:p>
        </w:tc>
        <w:tc>
          <w:tcPr>
            <w:tcW w:w="472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10.24*</w:t>
            </w:r>
          </w:p>
        </w:tc>
        <w:tc>
          <w:tcPr>
            <w:tcW w:w="932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170">
              <w:r>
                <w:rPr>
                  <w:rFonts w:ascii="Arial" w:cs="Arial" w:eastAsia="Arial" w:hAnsi="Arial"/>
                  <w:sz w:val="19"/>
                  <w:szCs w:val="19"/>
                  <w:color w:val="0000EE"/>
                </w:rPr>
                <w:t>Employment Agreement dated as of February 18, 2002 between Honeywell and David M. Cote (incorporated</w:t>
              </w:r>
            </w:hyperlink>
          </w:p>
        </w:tc>
        <w:tc>
          <w:tcPr>
            <w:tcW w:w="14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170">
              <w:r>
                <w:rPr>
                  <w:rFonts w:ascii="Arial" w:cs="Arial" w:eastAsia="Arial" w:hAnsi="Arial"/>
                  <w:sz w:val="19"/>
                  <w:szCs w:val="19"/>
                  <w:color w:val="0000EE"/>
                </w:rPr>
                <w:t>by reference to Exhibit 10.24 to Honeywell’s Form 8-K filed March 4, 2002)</w:t>
              </w:r>
            </w:hyperlink>
          </w:p>
        </w:tc>
        <w:tc>
          <w:tcPr>
            <w:tcW w:w="2880" w:type="dxa"/>
            <w:vAlign w:val="bottom"/>
            <w:gridSpan w:val="15"/>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4540" w:type="dxa"/>
            <w:vAlign w:val="bottom"/>
            <w:gridSpan w:val="4"/>
          </w:tcPr>
          <w:p>
            <w:pPr>
              <w:ind w:left="3640"/>
              <w:spacing w:after="0"/>
              <w:rPr>
                <w:sz w:val="20"/>
                <w:szCs w:val="20"/>
                <w:color w:val="auto"/>
              </w:rPr>
            </w:pPr>
            <w:r>
              <w:rPr>
                <w:rFonts w:ascii="Arial" w:cs="Arial" w:eastAsia="Arial" w:hAnsi="Arial"/>
                <w:sz w:val="19"/>
                <w:szCs w:val="19"/>
                <w:color w:val="auto"/>
              </w:rPr>
              <w:t>97</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gridSpan w:val="19"/>
          </w:tcPr>
          <w:p>
            <w:pPr>
              <w:ind w:left="54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10.25*</w:t>
            </w:r>
          </w:p>
        </w:tc>
        <w:tc>
          <w:tcPr>
            <w:tcW w:w="94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73">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73">
              <w:r>
                <w:rPr>
                  <w:rFonts w:ascii="Arial" w:cs="Arial" w:eastAsia="Arial" w:hAnsi="Arial"/>
                  <w:sz w:val="19"/>
                  <w:szCs w:val="19"/>
                  <w:color w:val="0000EE"/>
                </w:rPr>
                <w:t>(incorporated by reference to Exhibit 10.3 to Honeywell’s Form 10-Q for the quarter ended September 30,</w:t>
              </w:r>
            </w:hyperlink>
          </w:p>
        </w:tc>
        <w:tc>
          <w:tcPr>
            <w:tcW w:w="22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3">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10.26*</w:t>
            </w:r>
          </w:p>
        </w:tc>
        <w:tc>
          <w:tcPr>
            <w:tcW w:w="94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74">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74">
              <w:r>
                <w:rPr>
                  <w:rFonts w:ascii="Arial" w:cs="Arial" w:eastAsia="Arial" w:hAnsi="Arial"/>
                  <w:sz w:val="19"/>
                  <w:szCs w:val="19"/>
                  <w:color w:val="0000EE"/>
                </w:rPr>
                <w:t>(incorporated by reference to Exhibit 10.17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4">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10.27*</w:t>
            </w:r>
          </w:p>
        </w:tc>
        <w:tc>
          <w:tcPr>
            <w:tcW w:w="946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175">
              <w:r>
                <w:rPr>
                  <w:rFonts w:ascii="Arial" w:cs="Arial" w:eastAsia="Arial" w:hAnsi="Arial"/>
                  <w:sz w:val="19"/>
                  <w:szCs w:val="19"/>
                  <w:color w:val="0000EE"/>
                </w:rPr>
                <w:t>Amendment to Employment Agreement dated as of February 18, 2002 between Honeywell and David M. Cote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75">
              <w:r>
                <w:rPr>
                  <w:rFonts w:ascii="Arial" w:cs="Arial" w:eastAsia="Arial" w:hAnsi="Arial"/>
                  <w:sz w:val="19"/>
                  <w:szCs w:val="19"/>
                  <w:color w:val="0000EE"/>
                </w:rPr>
                <w:t>(incorporated by reference to Exhibit 10.1 to Honeywell’s Form 10-Q for the quarter ended March 31, 2013)</w:t>
              </w:r>
            </w:hyperlink>
          </w:p>
        </w:tc>
        <w:tc>
          <w:tcPr>
            <w:tcW w:w="100" w:type="dxa"/>
            <w:vAlign w:val="bottom"/>
            <w:gridSpan w:val="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10.28*</w:t>
            </w:r>
          </w:p>
        </w:tc>
        <w:tc>
          <w:tcPr>
            <w:tcW w:w="9460" w:type="dxa"/>
            <w:vAlign w:val="bottom"/>
            <w:gridSpan w:val="25"/>
          </w:tcPr>
          <w:p>
            <w:pPr>
              <w:spacing w:after="0" w:line="196" w:lineRule="exact"/>
              <w:rPr>
                <w:rFonts w:ascii="Arial" w:cs="Arial" w:eastAsia="Arial" w:hAnsi="Arial"/>
                <w:sz w:val="19"/>
                <w:szCs w:val="19"/>
                <w:color w:val="0000EE"/>
              </w:rPr>
            </w:pPr>
            <w:hyperlink r:id="rId176">
              <w:r>
                <w:rPr>
                  <w:rFonts w:ascii="Arial" w:cs="Arial" w:eastAsia="Arial" w:hAnsi="Arial"/>
                  <w:sz w:val="19"/>
                  <w:szCs w:val="19"/>
                  <w:color w:val="0000EE"/>
                </w:rPr>
                <w:t>Deferred Compensation Agreement dated August 4, 2006 between Honeywell and David M. Cote</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76">
              <w:r>
                <w:rPr>
                  <w:rFonts w:ascii="Arial" w:cs="Arial" w:eastAsia="Arial" w:hAnsi="Arial"/>
                  <w:sz w:val="19"/>
                  <w:szCs w:val="19"/>
                  <w:color w:val="0000EE"/>
                </w:rPr>
                <w:t>(incorporated by reference to Exhibit 10.22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76">
              <w:r>
                <w:rPr>
                  <w:rFonts w:ascii="Arial" w:cs="Arial" w:eastAsia="Arial" w:hAnsi="Arial"/>
                  <w:sz w:val="19"/>
                  <w:szCs w:val="19"/>
                  <w:color w:val="0000EE"/>
                  <w:w w:val="94"/>
                </w:rPr>
                <w:t>2006)</w:t>
              </w:r>
            </w:hyperlink>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10.29*</w:t>
            </w:r>
          </w:p>
        </w:tc>
        <w:tc>
          <w:tcPr>
            <w:tcW w:w="9220" w:type="dxa"/>
            <w:vAlign w:val="bottom"/>
            <w:tcBorders>
              <w:bottom w:val="single" w:sz="8" w:color="0000EE"/>
            </w:tcBorders>
            <w:gridSpan w:val="20"/>
          </w:tcPr>
          <w:p>
            <w:pPr>
              <w:spacing w:after="0" w:line="196" w:lineRule="exact"/>
              <w:rPr>
                <w:rFonts w:ascii="Arial" w:cs="Arial" w:eastAsia="Arial" w:hAnsi="Arial"/>
                <w:sz w:val="19"/>
                <w:szCs w:val="19"/>
                <w:color w:val="0000EE"/>
              </w:rPr>
            </w:pPr>
            <w:hyperlink r:id="rId177">
              <w:r>
                <w:rPr>
                  <w:rFonts w:ascii="Arial" w:cs="Arial" w:eastAsia="Arial" w:hAnsi="Arial"/>
                  <w:sz w:val="19"/>
                  <w:szCs w:val="19"/>
                  <w:color w:val="0000EE"/>
                </w:rPr>
                <w:t>Amendment to Deferred Compensation Agreement dated August 4, 2006 between Honeywell and David M.</w:t>
              </w:r>
            </w:hyperlink>
          </w:p>
        </w:tc>
        <w:tc>
          <w:tcPr>
            <w:tcW w:w="24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77">
              <w:r>
                <w:rPr>
                  <w:rFonts w:ascii="Arial" w:cs="Arial" w:eastAsia="Arial" w:hAnsi="Arial"/>
                  <w:sz w:val="19"/>
                  <w:szCs w:val="19"/>
                  <w:color w:val="0000EE"/>
                </w:rPr>
                <w:t>Cote (incorporated by reference to Exhibit 10.22 to Honeywell’s Form 10-K for the year ended December</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000" w:type="dxa"/>
            <w:vAlign w:val="bottom"/>
            <w:gridSpan w:val="3"/>
          </w:tcPr>
          <w:p>
            <w:pPr>
              <w:ind w:left="180"/>
              <w:spacing w:after="0" w:line="196" w:lineRule="exact"/>
              <w:rPr>
                <w:rFonts w:ascii="Arial" w:cs="Arial" w:eastAsia="Arial" w:hAnsi="Arial"/>
                <w:sz w:val="19"/>
                <w:szCs w:val="19"/>
                <w:color w:val="0000EE"/>
                <w:w w:val="99"/>
              </w:rPr>
            </w:pPr>
            <w:hyperlink r:id="rId177">
              <w:r>
                <w:rPr>
                  <w:rFonts w:ascii="Arial" w:cs="Arial" w:eastAsia="Arial" w:hAnsi="Arial"/>
                  <w:sz w:val="19"/>
                  <w:szCs w:val="19"/>
                  <w:color w:val="0000EE"/>
                  <w:w w:val="99"/>
                </w:rPr>
                <w:t>31, 2009)</w:t>
              </w:r>
            </w:hyperlink>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10.30*</w:t>
            </w:r>
          </w:p>
        </w:tc>
        <w:tc>
          <w:tcPr>
            <w:tcW w:w="944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178">
              <w:r>
                <w:rPr>
                  <w:rFonts w:ascii="Arial" w:cs="Arial" w:eastAsia="Arial" w:hAnsi="Arial"/>
                  <w:sz w:val="19"/>
                  <w:szCs w:val="19"/>
                  <w:color w:val="0000EE"/>
                </w:rPr>
                <w:t>Honeywell Supplemental Retirement Plan (incorporated by reference to Exhibit 10.24 to Honeywell’s Form 10-</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178">
              <w:r>
                <w:rPr>
                  <w:rFonts w:ascii="Arial" w:cs="Arial" w:eastAsia="Arial" w:hAnsi="Arial"/>
                  <w:sz w:val="19"/>
                  <w:szCs w:val="19"/>
                  <w:color w:val="0000EE"/>
                </w:rPr>
                <w:t>K for the year ended December 31, 2006)</w:t>
              </w:r>
            </w:hyperlink>
          </w:p>
        </w:tc>
        <w:tc>
          <w:tcPr>
            <w:tcW w:w="5700" w:type="dxa"/>
            <w:vAlign w:val="bottom"/>
            <w:gridSpan w:val="1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10.31*</w:t>
            </w:r>
          </w:p>
        </w:tc>
        <w:tc>
          <w:tcPr>
            <w:tcW w:w="920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79">
              <w:r>
                <w:rPr>
                  <w:rFonts w:ascii="Arial" w:cs="Arial" w:eastAsia="Arial" w:hAnsi="Arial"/>
                  <w:sz w:val="19"/>
                  <w:szCs w:val="19"/>
                  <w:color w:val="0000EE"/>
                </w:rPr>
                <w:t>Pittway Corporation Supplemental Executive Retirement Plan (incorporated by reference to Exhibit 10.25 to</w:t>
              </w:r>
            </w:hyperlink>
          </w:p>
        </w:tc>
        <w:tc>
          <w:tcPr>
            <w:tcW w:w="26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79">
              <w:r>
                <w:rPr>
                  <w:rFonts w:ascii="Arial" w:cs="Arial" w:eastAsia="Arial" w:hAnsi="Arial"/>
                  <w:sz w:val="19"/>
                  <w:szCs w:val="19"/>
                  <w:color w:val="0000EE"/>
                </w:rPr>
                <w:t>Honeywell’s Form 10-K for the year ended December 31, 2006)</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10.32*</w:t>
            </w:r>
          </w:p>
        </w:tc>
        <w:tc>
          <w:tcPr>
            <w:tcW w:w="9460" w:type="dxa"/>
            <w:vAlign w:val="bottom"/>
            <w:gridSpan w:val="25"/>
          </w:tcPr>
          <w:p>
            <w:pPr>
              <w:spacing w:after="0" w:line="196" w:lineRule="exact"/>
              <w:rPr>
                <w:rFonts w:ascii="Arial" w:cs="Arial" w:eastAsia="Arial" w:hAnsi="Arial"/>
                <w:sz w:val="19"/>
                <w:szCs w:val="19"/>
                <w:color w:val="0000EE"/>
              </w:rPr>
            </w:pPr>
            <w:hyperlink r:id="rId180">
              <w:r>
                <w:rPr>
                  <w:rFonts w:ascii="Arial" w:cs="Arial" w:eastAsia="Arial" w:hAnsi="Arial"/>
                  <w:sz w:val="19"/>
                  <w:szCs w:val="19"/>
                  <w:color w:val="0000EE"/>
                </w:rPr>
                <w:t>Amendment to Pittway Corporation Supplemental Executive Retirement Plan (incorporated by reference to</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rFonts w:ascii="Arial" w:cs="Arial" w:eastAsia="Arial" w:hAnsi="Arial"/>
                <w:sz w:val="19"/>
                <w:szCs w:val="19"/>
                <w:color w:val="0000EE"/>
              </w:rPr>
            </w:pPr>
            <w:hyperlink r:id="rId180">
              <w:r>
                <w:rPr>
                  <w:rFonts w:ascii="Arial" w:cs="Arial" w:eastAsia="Arial" w:hAnsi="Arial"/>
                  <w:sz w:val="19"/>
                  <w:szCs w:val="19"/>
                  <w:color w:val="0000EE"/>
                </w:rPr>
                <w:t>Exhibit 10.25 to Honeywell’s Form 10-K for the year ended December 31, 2008)</w:t>
              </w:r>
            </w:hyperlink>
          </w:p>
        </w:tc>
        <w:tc>
          <w:tcPr>
            <w:tcW w:w="2120" w:type="dxa"/>
            <w:vAlign w:val="bottom"/>
            <w:tcBorders>
              <w:top w:val="single" w:sz="8" w:color="0000EE"/>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10.33*</w:t>
            </w:r>
          </w:p>
        </w:tc>
        <w:tc>
          <w:tcPr>
            <w:tcW w:w="9460" w:type="dxa"/>
            <w:vAlign w:val="bottom"/>
            <w:gridSpan w:val="25"/>
          </w:tcPr>
          <w:p>
            <w:pPr>
              <w:spacing w:after="0" w:line="196" w:lineRule="exact"/>
              <w:rPr>
                <w:rFonts w:ascii="Arial" w:cs="Arial" w:eastAsia="Arial" w:hAnsi="Arial"/>
                <w:sz w:val="19"/>
                <w:szCs w:val="19"/>
                <w:color w:val="0000EE"/>
              </w:rPr>
            </w:pPr>
            <w:hyperlink r:id="rId181">
              <w:r>
                <w:rPr>
                  <w:rFonts w:ascii="Arial" w:cs="Arial" w:eastAsia="Arial" w:hAnsi="Arial"/>
                  <w:sz w:val="19"/>
                  <w:szCs w:val="19"/>
                  <w:color w:val="0000EE"/>
                </w:rPr>
                <w:t>Amendment to Pittway Corporation Supplemental Executive Retirement Plan (incorporated by reference to</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60" w:type="dxa"/>
            <w:vAlign w:val="bottom"/>
            <w:tcBorders>
              <w:top w:val="single" w:sz="8" w:color="0000EE"/>
            </w:tcBorders>
            <w:gridSpan w:val="17"/>
          </w:tcPr>
          <w:p>
            <w:pPr>
              <w:spacing w:after="0" w:line="196" w:lineRule="exact"/>
              <w:rPr>
                <w:rFonts w:ascii="Arial" w:cs="Arial" w:eastAsia="Arial" w:hAnsi="Arial"/>
                <w:sz w:val="19"/>
                <w:szCs w:val="19"/>
                <w:color w:val="0000EE"/>
              </w:rPr>
            </w:pPr>
            <w:hyperlink r:id="rId181">
              <w:r>
                <w:rPr>
                  <w:rFonts w:ascii="Arial" w:cs="Arial" w:eastAsia="Arial" w:hAnsi="Arial"/>
                  <w:sz w:val="19"/>
                  <w:szCs w:val="19"/>
                  <w:color w:val="0000EE"/>
                </w:rPr>
                <w:t>Exhibit 10.25 to Honeywell’s 10-K for the year ended December 31, 2009)</w:t>
              </w:r>
            </w:hyperlink>
          </w:p>
        </w:tc>
        <w:tc>
          <w:tcPr>
            <w:tcW w:w="320" w:type="dxa"/>
            <w:vAlign w:val="bottom"/>
            <w:gridSpan w:val="7"/>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10.34*</w:t>
            </w:r>
          </w:p>
        </w:tc>
        <w:tc>
          <w:tcPr>
            <w:tcW w:w="9460" w:type="dxa"/>
            <w:vAlign w:val="bottom"/>
            <w:gridSpan w:val="25"/>
          </w:tcPr>
          <w:p>
            <w:pPr>
              <w:spacing w:after="0" w:line="196" w:lineRule="exact"/>
              <w:rPr>
                <w:rFonts w:ascii="Arial" w:cs="Arial" w:eastAsia="Arial" w:hAnsi="Arial"/>
                <w:sz w:val="19"/>
                <w:szCs w:val="19"/>
                <w:color w:val="0000EE"/>
              </w:rPr>
            </w:pPr>
            <w:hyperlink r:id="rId182">
              <w:r>
                <w:rPr>
                  <w:rFonts w:ascii="Arial" w:cs="Arial" w:eastAsia="Arial" w:hAnsi="Arial"/>
                  <w:sz w:val="19"/>
                  <w:szCs w:val="19"/>
                  <w:color w:val="0000EE"/>
                </w:rPr>
                <w:t>Amendment to Pittway Corporation Supplemental Executive Retirement Plan (incorporated by reference to</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rFonts w:ascii="Arial" w:cs="Arial" w:eastAsia="Arial" w:hAnsi="Arial"/>
                <w:sz w:val="19"/>
                <w:szCs w:val="19"/>
                <w:color w:val="0000EE"/>
              </w:rPr>
            </w:pPr>
            <w:hyperlink r:id="rId182">
              <w:r>
                <w:rPr>
                  <w:rFonts w:ascii="Arial" w:cs="Arial" w:eastAsia="Arial" w:hAnsi="Arial"/>
                  <w:sz w:val="19"/>
                  <w:szCs w:val="19"/>
                  <w:color w:val="0000EE"/>
                </w:rPr>
                <w:t>Exhibit 10.16 to Honeywell’s Form 10-K for the year ended December 31, 2015)</w:t>
              </w:r>
            </w:hyperlink>
          </w:p>
        </w:tc>
        <w:tc>
          <w:tcPr>
            <w:tcW w:w="2120" w:type="dxa"/>
            <w:vAlign w:val="bottom"/>
            <w:tcBorders>
              <w:top w:val="single" w:sz="8" w:color="0000EE"/>
            </w:tcBorders>
            <w:gridSpan w:val="9"/>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10.35*</w:t>
            </w:r>
          </w:p>
        </w:tc>
        <w:tc>
          <w:tcPr>
            <w:tcW w:w="862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83">
              <w:r>
                <w:rPr>
                  <w:rFonts w:ascii="Arial" w:cs="Arial" w:eastAsia="Arial" w:hAnsi="Arial"/>
                  <w:sz w:val="19"/>
                  <w:szCs w:val="19"/>
                  <w:color w:val="0000EE"/>
                </w:rPr>
                <w:t>2006 Stock Incentive Plan of Honeywell International Inc. and Its Affiliates, as amended and restated</w:t>
              </w:r>
            </w:hyperlink>
          </w:p>
        </w:tc>
        <w:tc>
          <w:tcPr>
            <w:tcW w:w="84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83">
              <w:r>
                <w:rPr>
                  <w:rFonts w:ascii="Arial" w:cs="Arial" w:eastAsia="Arial" w:hAnsi="Arial"/>
                  <w:sz w:val="19"/>
                  <w:szCs w:val="19"/>
                  <w:color w:val="0000EE"/>
                </w:rPr>
                <w:t>(incorporated by reference to Exhibit 10.26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83">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5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10.36*</w:t>
            </w:r>
          </w:p>
        </w:tc>
        <w:tc>
          <w:tcPr>
            <w:tcW w:w="862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84">
              <w:r>
                <w:rPr>
                  <w:rFonts w:ascii="Arial" w:cs="Arial" w:eastAsia="Arial" w:hAnsi="Arial"/>
                  <w:sz w:val="19"/>
                  <w:szCs w:val="19"/>
                  <w:color w:val="0000EE"/>
                </w:rPr>
                <w:t>2006 Stock Incentive Plan of Honeywell International Inc. and Its Affiliates, as amended and restated</w:t>
              </w:r>
            </w:hyperlink>
          </w:p>
        </w:tc>
        <w:tc>
          <w:tcPr>
            <w:tcW w:w="84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84">
              <w:r>
                <w:rPr>
                  <w:rFonts w:ascii="Arial" w:cs="Arial" w:eastAsia="Arial" w:hAnsi="Arial"/>
                  <w:sz w:val="19"/>
                  <w:szCs w:val="19"/>
                  <w:color w:val="0000EE"/>
                </w:rPr>
                <w:t>(incorporated by reference to Exhibit 10.1 to Honeywell’s 10-Q for the quarter ended March 31, 2011)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10.37*</w:t>
            </w:r>
          </w:p>
        </w:tc>
        <w:tc>
          <w:tcPr>
            <w:tcW w:w="940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185">
              <w:r>
                <w:rPr>
                  <w:rFonts w:ascii="Arial" w:cs="Arial" w:eastAsia="Arial" w:hAnsi="Arial"/>
                  <w:sz w:val="19"/>
                  <w:szCs w:val="19"/>
                  <w:color w:val="0000EE"/>
                </w:rPr>
                <w:t>2006 Stock Incentive Plan of Honeywell International Inc. and Its Affiliates—Form of Option Award Agreement</w:t>
              </w:r>
            </w:hyperlink>
          </w:p>
        </w:tc>
        <w:tc>
          <w:tcPr>
            <w:tcW w:w="6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85">
              <w:r>
                <w:rPr>
                  <w:rFonts w:ascii="Arial" w:cs="Arial" w:eastAsia="Arial" w:hAnsi="Arial"/>
                  <w:sz w:val="19"/>
                  <w:szCs w:val="19"/>
                  <w:color w:val="0000EE"/>
                </w:rPr>
                <w:t>(incorporated by reference to Exhibit 10.2 to Honeywell’s Form 10-Q for the quarter ended March 31, 2009)</w:t>
              </w:r>
            </w:hyperlink>
          </w:p>
        </w:tc>
        <w:tc>
          <w:tcPr>
            <w:tcW w:w="100" w:type="dxa"/>
            <w:vAlign w:val="bottom"/>
            <w:gridSpan w:val="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10.38*</w:t>
            </w:r>
          </w:p>
        </w:tc>
        <w:tc>
          <w:tcPr>
            <w:tcW w:w="8500" w:type="dxa"/>
            <w:vAlign w:val="bottom"/>
            <w:tcBorders>
              <w:bottom w:val="single" w:sz="8" w:color="0000EE"/>
            </w:tcBorders>
            <w:gridSpan w:val="11"/>
          </w:tcPr>
          <w:p>
            <w:pPr>
              <w:spacing w:after="0" w:line="196" w:lineRule="exact"/>
              <w:rPr>
                <w:rFonts w:ascii="Arial" w:cs="Arial" w:eastAsia="Arial" w:hAnsi="Arial"/>
                <w:sz w:val="19"/>
                <w:szCs w:val="19"/>
                <w:color w:val="0000EE"/>
              </w:rPr>
            </w:pPr>
            <w:hyperlink r:id="rId186">
              <w:r>
                <w:rPr>
                  <w:rFonts w:ascii="Arial" w:cs="Arial" w:eastAsia="Arial" w:hAnsi="Arial"/>
                  <w:sz w:val="19"/>
                  <w:szCs w:val="19"/>
                  <w:color w:val="0000EE"/>
                </w:rPr>
                <w:t>2006 Stock Incentive Plan of Honeywell International Inc. and Its Affiliates—Form of Restricted Unit</w:t>
              </w:r>
            </w:hyperlink>
          </w:p>
        </w:tc>
        <w:tc>
          <w:tcPr>
            <w:tcW w:w="960" w:type="dxa"/>
            <w:vAlign w:val="bottom"/>
            <w:gridSpan w:val="1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86">
              <w:r>
                <w:rPr>
                  <w:rFonts w:ascii="Arial" w:cs="Arial" w:eastAsia="Arial" w:hAnsi="Arial"/>
                  <w:sz w:val="19"/>
                  <w:szCs w:val="19"/>
                  <w:color w:val="0000EE"/>
                </w:rPr>
                <w:t>Agreement (incorporated by reference to Exhibit 10.1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4"/>
          </w:tcPr>
          <w:p>
            <w:pPr>
              <w:spacing w:after="0" w:line="196" w:lineRule="exact"/>
              <w:rPr>
                <w:rFonts w:ascii="Arial" w:cs="Arial" w:eastAsia="Arial" w:hAnsi="Arial"/>
                <w:sz w:val="19"/>
                <w:szCs w:val="19"/>
                <w:color w:val="0000EE"/>
              </w:rPr>
            </w:pPr>
            <w:hyperlink r:id="rId186">
              <w:r>
                <w:rPr>
                  <w:rFonts w:ascii="Arial" w:cs="Arial" w:eastAsia="Arial" w:hAnsi="Arial"/>
                  <w:sz w:val="19"/>
                  <w:szCs w:val="19"/>
                  <w:color w:val="0000EE"/>
                </w:rPr>
                <w:t>March 31, 2009)</w:t>
              </w:r>
            </w:hyperlink>
          </w:p>
        </w:tc>
        <w:tc>
          <w:tcPr>
            <w:tcW w:w="580" w:type="dxa"/>
            <w:vAlign w:val="bottom"/>
            <w:gridSpan w:val="10"/>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10.39*</w:t>
            </w:r>
          </w:p>
        </w:tc>
        <w:tc>
          <w:tcPr>
            <w:tcW w:w="9460" w:type="dxa"/>
            <w:vAlign w:val="bottom"/>
            <w:gridSpan w:val="25"/>
          </w:tcPr>
          <w:p>
            <w:pPr>
              <w:spacing w:after="0" w:line="196" w:lineRule="exact"/>
              <w:rPr>
                <w:rFonts w:ascii="Arial" w:cs="Arial" w:eastAsia="Arial" w:hAnsi="Arial"/>
                <w:sz w:val="19"/>
                <w:szCs w:val="19"/>
                <w:color w:val="0000EE"/>
              </w:rPr>
            </w:pPr>
            <w:hyperlink r:id="rId187">
              <w:r>
                <w:rPr>
                  <w:rFonts w:ascii="Arial" w:cs="Arial" w:eastAsia="Arial" w:hAnsi="Arial"/>
                  <w:sz w:val="19"/>
                  <w:szCs w:val="19"/>
                  <w:color w:val="0000EE"/>
                </w:rPr>
                <w:t>2006 Stock Incentive Plan of Honeywell International Inc. and Its Affiliates—Form of Performance Share</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560" w:type="dxa"/>
            <w:vAlign w:val="bottom"/>
            <w:tcBorders>
              <w:top w:val="single" w:sz="8" w:color="0000EE"/>
              <w:bottom w:val="single" w:sz="8" w:color="0000EE"/>
            </w:tcBorders>
            <w:gridSpan w:val="12"/>
          </w:tcPr>
          <w:p>
            <w:pPr>
              <w:spacing w:after="0" w:line="196" w:lineRule="exact"/>
              <w:rPr>
                <w:rFonts w:ascii="Arial" w:cs="Arial" w:eastAsia="Arial" w:hAnsi="Arial"/>
                <w:sz w:val="19"/>
                <w:szCs w:val="19"/>
                <w:color w:val="0000EE"/>
              </w:rPr>
            </w:pPr>
            <w:hyperlink r:id="rId187">
              <w:r>
                <w:rPr>
                  <w:rFonts w:ascii="Arial" w:cs="Arial" w:eastAsia="Arial" w:hAnsi="Arial"/>
                  <w:sz w:val="19"/>
                  <w:szCs w:val="19"/>
                  <w:color w:val="0000EE"/>
                </w:rPr>
                <w:t>Agreement (incorporated by reference to Exhibit 10.30 to Honeywell’s Form 10-K for the year ended</w:t>
              </w:r>
            </w:hyperlink>
          </w:p>
        </w:tc>
        <w:tc>
          <w:tcPr>
            <w:tcW w:w="160" w:type="dxa"/>
            <w:vAlign w:val="bottom"/>
            <w:tcBorders>
              <w:top w:val="single" w:sz="8" w:color="0000EE"/>
            </w:tcBorders>
            <w:gridSpan w:val="3"/>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187">
              <w:r>
                <w:rPr>
                  <w:rFonts w:ascii="Arial" w:cs="Arial" w:eastAsia="Arial" w:hAnsi="Arial"/>
                  <w:sz w:val="19"/>
                  <w:szCs w:val="19"/>
                  <w:color w:val="0000EE"/>
                </w:rPr>
                <w:t>December 31, 2006)</w:t>
              </w:r>
            </w:hyperlink>
          </w:p>
        </w:tc>
        <w:tc>
          <w:tcPr>
            <w:tcW w:w="7520" w:type="dxa"/>
            <w:vAlign w:val="bottom"/>
            <w:gridSpan w:val="2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10.40*</w:t>
            </w:r>
          </w:p>
        </w:tc>
        <w:tc>
          <w:tcPr>
            <w:tcW w:w="884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188">
              <w:r>
                <w:rPr>
                  <w:rFonts w:ascii="Arial" w:cs="Arial" w:eastAsia="Arial" w:hAnsi="Arial"/>
                  <w:sz w:val="19"/>
                  <w:szCs w:val="19"/>
                  <w:color w:val="0000EE"/>
                </w:rPr>
                <w:t>2006 Stock Plan for Non-Employee Directors of Honeywell International Inc., as amended and restated</w:t>
              </w:r>
            </w:hyperlink>
          </w:p>
        </w:tc>
        <w:tc>
          <w:tcPr>
            <w:tcW w:w="62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88">
              <w:r>
                <w:rPr>
                  <w:rFonts w:ascii="Arial" w:cs="Arial" w:eastAsia="Arial" w:hAnsi="Arial"/>
                  <w:sz w:val="19"/>
                  <w:szCs w:val="19"/>
                  <w:color w:val="0000EE"/>
                </w:rPr>
                <w:t>(incorporated by reference to Exhibit 10.31 to Honeywell’s Form 10-K for the year ended December 31,</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680" w:type="dxa"/>
            <w:vAlign w:val="bottom"/>
            <w:gridSpan w:val="2"/>
          </w:tcPr>
          <w:p>
            <w:pPr>
              <w:ind w:left="180"/>
              <w:spacing w:after="0" w:line="196" w:lineRule="exact"/>
              <w:rPr>
                <w:rFonts w:ascii="Arial" w:cs="Arial" w:eastAsia="Arial" w:hAnsi="Arial"/>
                <w:sz w:val="19"/>
                <w:szCs w:val="19"/>
                <w:color w:val="0000EE"/>
                <w:w w:val="94"/>
              </w:rPr>
            </w:pPr>
            <w:hyperlink r:id="rId188">
              <w:r>
                <w:rPr>
                  <w:rFonts w:ascii="Arial" w:cs="Arial" w:eastAsia="Arial" w:hAnsi="Arial"/>
                  <w:sz w:val="19"/>
                  <w:szCs w:val="19"/>
                  <w:color w:val="0000EE"/>
                  <w:w w:val="94"/>
                </w:rPr>
                <w:t>2008)</w:t>
              </w:r>
            </w:hyperlink>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940" w:type="dxa"/>
            <w:vAlign w:val="bottom"/>
            <w:gridSpan w:val="5"/>
          </w:tcPr>
          <w:p>
            <w:pPr>
              <w:jc w:val="right"/>
              <w:ind w:right="1681"/>
              <w:spacing w:after="0"/>
              <w:rPr>
                <w:sz w:val="20"/>
                <w:szCs w:val="20"/>
                <w:color w:val="auto"/>
              </w:rPr>
            </w:pPr>
            <w:r>
              <w:rPr>
                <w:rFonts w:ascii="Arial" w:cs="Arial" w:eastAsia="Arial" w:hAnsi="Arial"/>
                <w:sz w:val="19"/>
                <w:szCs w:val="19"/>
                <w:color w:val="auto"/>
              </w:rPr>
              <w:t>98</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80" w:type="dxa"/>
            <w:vAlign w:val="bottom"/>
            <w:tcBorders>
              <w:bottom w:val="single" w:sz="8" w:color="auto"/>
            </w:tcBorders>
            <w:gridSpan w:val="18"/>
          </w:tcPr>
          <w:p>
            <w:pPr>
              <w:ind w:left="212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10.41*</w:t>
            </w:r>
          </w:p>
        </w:tc>
        <w:tc>
          <w:tcPr>
            <w:tcW w:w="938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191">
              <w:r>
                <w:rPr>
                  <w:rFonts w:ascii="Arial" w:cs="Arial" w:eastAsia="Arial" w:hAnsi="Arial"/>
                  <w:sz w:val="19"/>
                  <w:szCs w:val="19"/>
                  <w:color w:val="0000EE"/>
                </w:rPr>
                <w:t>Amendment to 2006 Stock Plan for Non-Employee Directors of Honeywell International Inc., as amended and</w:t>
              </w:r>
            </w:hyperlink>
          </w:p>
        </w:tc>
        <w:tc>
          <w:tcPr>
            <w:tcW w:w="8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191">
              <w:r>
                <w:rPr>
                  <w:rFonts w:ascii="Arial" w:cs="Arial" w:eastAsia="Arial" w:hAnsi="Arial"/>
                  <w:sz w:val="19"/>
                  <w:szCs w:val="19"/>
                  <w:color w:val="0000EE"/>
                </w:rPr>
                <w:t>restated (incorporated by reference to Exhibit 10.27 to Honeywell’s Form 10-K for the year ended December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7"/>
              </w:rPr>
            </w:pPr>
            <w:hyperlink r:id="rId191">
              <w:r>
                <w:rPr>
                  <w:rFonts w:ascii="Arial" w:cs="Arial" w:eastAsia="Arial" w:hAnsi="Arial"/>
                  <w:sz w:val="19"/>
                  <w:szCs w:val="19"/>
                  <w:color w:val="0000EE"/>
                  <w:w w:val="97"/>
                </w:rPr>
                <w:t>31, 2011)</w:t>
              </w:r>
            </w:hyperlink>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10.42*</w:t>
            </w:r>
          </w:p>
        </w:tc>
        <w:tc>
          <w:tcPr>
            <w:tcW w:w="938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192">
              <w:r>
                <w:rPr>
                  <w:rFonts w:ascii="Arial" w:cs="Arial" w:eastAsia="Arial" w:hAnsi="Arial"/>
                  <w:sz w:val="19"/>
                  <w:szCs w:val="19"/>
                  <w:color w:val="0000EE"/>
                </w:rPr>
                <w:t>Amendment to 2006 Stock Plan for Non-Employee Directors of Honeywell International Inc., as amended and</w:t>
              </w:r>
            </w:hyperlink>
          </w:p>
        </w:tc>
        <w:tc>
          <w:tcPr>
            <w:tcW w:w="8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bottom w:val="single" w:sz="8" w:color="0000EE"/>
            </w:tcBorders>
            <w:gridSpan w:val="23"/>
          </w:tcPr>
          <w:p>
            <w:pPr>
              <w:spacing w:after="0" w:line="196" w:lineRule="exact"/>
              <w:rPr>
                <w:rFonts w:ascii="Arial" w:cs="Arial" w:eastAsia="Arial" w:hAnsi="Arial"/>
                <w:sz w:val="19"/>
                <w:szCs w:val="19"/>
                <w:color w:val="0000EE"/>
              </w:rPr>
            </w:pPr>
            <w:hyperlink r:id="rId192">
              <w:r>
                <w:rPr>
                  <w:rFonts w:ascii="Arial" w:cs="Arial" w:eastAsia="Arial" w:hAnsi="Arial"/>
                  <w:sz w:val="19"/>
                  <w:szCs w:val="19"/>
                  <w:color w:val="0000EE"/>
                </w:rPr>
                <w:t>restated (incorporated by reference to Exhibit 10.24 to Honeywell’s Form 10-K for the year ended December</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7"/>
              </w:rPr>
            </w:pPr>
            <w:hyperlink r:id="rId192">
              <w:r>
                <w:rPr>
                  <w:rFonts w:ascii="Arial" w:cs="Arial" w:eastAsia="Arial" w:hAnsi="Arial"/>
                  <w:sz w:val="19"/>
                  <w:szCs w:val="19"/>
                  <w:color w:val="0000EE"/>
                  <w:w w:val="97"/>
                </w:rPr>
                <w:t>31, 2014)</w:t>
              </w:r>
            </w:hyperlink>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10.43*</w:t>
            </w:r>
          </w:p>
        </w:tc>
        <w:tc>
          <w:tcPr>
            <w:tcW w:w="900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93">
              <w:r>
                <w:rPr>
                  <w:rFonts w:ascii="Arial" w:cs="Arial" w:eastAsia="Arial" w:hAnsi="Arial"/>
                  <w:sz w:val="19"/>
                  <w:szCs w:val="19"/>
                  <w:color w:val="0000EE"/>
                </w:rPr>
                <w:t>2006 Stock Plan for Non-Employee Directors of Honeywell International Inc.—Form of Option Agreement</w:t>
              </w:r>
            </w:hyperlink>
          </w:p>
        </w:tc>
        <w:tc>
          <w:tcPr>
            <w:tcW w:w="46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93">
              <w:r>
                <w:rPr>
                  <w:rFonts w:ascii="Arial" w:cs="Arial" w:eastAsia="Arial" w:hAnsi="Arial"/>
                  <w:sz w:val="19"/>
                  <w:szCs w:val="19"/>
                  <w:color w:val="0000EE"/>
                </w:rPr>
                <w:t>(incorporated by reference to Exhibit 10.3 to Honeywell’s Form 10-Q for the quarter ended March 31, 2012)</w:t>
              </w:r>
            </w:hyperlink>
          </w:p>
        </w:tc>
        <w:tc>
          <w:tcPr>
            <w:tcW w:w="100" w:type="dxa"/>
            <w:vAlign w:val="bottom"/>
            <w:gridSpan w:val="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10.44*</w:t>
            </w:r>
          </w:p>
        </w:tc>
        <w:tc>
          <w:tcPr>
            <w:tcW w:w="870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2006 Stock Plan for Non-Employee Directors of Honeywell International Inc.—Form of Restricted Unit</w:t>
              </w:r>
            </w:hyperlink>
          </w:p>
        </w:tc>
        <w:tc>
          <w:tcPr>
            <w:tcW w:w="760" w:type="dxa"/>
            <w:vAlign w:val="bottom"/>
            <w:gridSpan w:val="11"/>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Agreement (incorporated by reference to Exhibit 10.4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5"/>
          </w:tcPr>
          <w:p>
            <w:pPr>
              <w:spacing w:after="0" w:line="196" w:lineRule="exact"/>
              <w:rPr>
                <w:rFonts w:ascii="Arial" w:cs="Arial" w:eastAsia="Arial" w:hAnsi="Arial"/>
                <w:sz w:val="19"/>
                <w:szCs w:val="19"/>
                <w:color w:val="0000EE"/>
              </w:rPr>
            </w:pPr>
            <w:hyperlink r:id="rId194">
              <w:r>
                <w:rPr>
                  <w:rFonts w:ascii="Arial" w:cs="Arial" w:eastAsia="Arial" w:hAnsi="Arial"/>
                  <w:sz w:val="19"/>
                  <w:szCs w:val="19"/>
                  <w:color w:val="0000EE"/>
                </w:rPr>
                <w:t>March 31, 2012)</w:t>
              </w:r>
            </w:hyperlink>
          </w:p>
        </w:tc>
        <w:tc>
          <w:tcPr>
            <w:tcW w:w="580" w:type="dxa"/>
            <w:vAlign w:val="bottom"/>
            <w:gridSpan w:val="9"/>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10.45*</w:t>
            </w:r>
          </w:p>
        </w:tc>
        <w:tc>
          <w:tcPr>
            <w:tcW w:w="906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195">
              <w:r>
                <w:rPr>
                  <w:rFonts w:ascii="Arial" w:cs="Arial" w:eastAsia="Arial" w:hAnsi="Arial"/>
                  <w:sz w:val="19"/>
                  <w:szCs w:val="19"/>
                  <w:color w:val="0000EE"/>
                </w:rPr>
                <w:t>2007 Honeywell Global Employee Stock Plan (incorporated by reference to Honeywell’s Proxy Statement,</w:t>
              </w:r>
            </w:hyperlink>
          </w:p>
        </w:tc>
        <w:tc>
          <w:tcPr>
            <w:tcW w:w="4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95">
              <w:r>
                <w:rPr>
                  <w:rFonts w:ascii="Arial" w:cs="Arial" w:eastAsia="Arial" w:hAnsi="Arial"/>
                  <w:sz w:val="19"/>
                  <w:szCs w:val="19"/>
                  <w:color w:val="0000EE"/>
                </w:rPr>
                <w:t>dated March 12, 2007, filed pursuant to Rule 14a-6 of the Securities Exchange Act of 1934)</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10.46*</w:t>
            </w:r>
          </w:p>
        </w:tc>
        <w:tc>
          <w:tcPr>
            <w:tcW w:w="9460" w:type="dxa"/>
            <w:vAlign w:val="bottom"/>
            <w:gridSpan w:val="25"/>
          </w:tcPr>
          <w:p>
            <w:pPr>
              <w:spacing w:after="0" w:line="196" w:lineRule="exact"/>
              <w:rPr>
                <w:rFonts w:ascii="Arial" w:cs="Arial" w:eastAsia="Arial" w:hAnsi="Arial"/>
                <w:sz w:val="19"/>
                <w:szCs w:val="19"/>
                <w:color w:val="0000EE"/>
              </w:rPr>
            </w:pPr>
            <w:hyperlink r:id="rId196">
              <w:r>
                <w:rPr>
                  <w:rFonts w:ascii="Arial" w:cs="Arial" w:eastAsia="Arial" w:hAnsi="Arial"/>
                  <w:sz w:val="19"/>
                  <w:szCs w:val="19"/>
                  <w:color w:val="0000EE"/>
                </w:rPr>
                <w:t>2006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196">
              <w:r>
                <w:rPr>
                  <w:rFonts w:ascii="Arial" w:cs="Arial" w:eastAsia="Arial" w:hAnsi="Arial"/>
                  <w:sz w:val="19"/>
                  <w:szCs w:val="19"/>
                  <w:color w:val="0000EE"/>
                </w:rPr>
                <w:t>Agreement, Form 2 (incorporated by reference to Exhibit 10.2 to Honeywell’s Form 10-Q for the quarter</w:t>
              </w:r>
            </w:hyperlink>
          </w:p>
        </w:tc>
        <w:tc>
          <w:tcPr>
            <w:tcW w:w="44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Arial" w:cs="Arial" w:eastAsia="Arial" w:hAnsi="Arial"/>
                <w:sz w:val="19"/>
                <w:szCs w:val="19"/>
                <w:color w:val="0000EE"/>
              </w:rPr>
            </w:pPr>
            <w:hyperlink r:id="rId196">
              <w:r>
                <w:rPr>
                  <w:rFonts w:ascii="Arial" w:cs="Arial" w:eastAsia="Arial" w:hAnsi="Arial"/>
                  <w:sz w:val="19"/>
                  <w:szCs w:val="19"/>
                  <w:color w:val="0000EE"/>
                </w:rPr>
                <w:t>ended June 30, 2010)</w:t>
              </w:r>
            </w:hyperlink>
          </w:p>
        </w:tc>
        <w:tc>
          <w:tcPr>
            <w:tcW w:w="7400" w:type="dxa"/>
            <w:vAlign w:val="bottom"/>
            <w:gridSpan w:val="2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10.47*</w:t>
            </w:r>
          </w:p>
        </w:tc>
        <w:tc>
          <w:tcPr>
            <w:tcW w:w="9460" w:type="dxa"/>
            <w:vAlign w:val="bottom"/>
            <w:gridSpan w:val="25"/>
          </w:tcPr>
          <w:p>
            <w:pPr>
              <w:spacing w:after="0" w:line="196" w:lineRule="exact"/>
              <w:rPr>
                <w:rFonts w:ascii="Arial" w:cs="Arial" w:eastAsia="Arial" w:hAnsi="Arial"/>
                <w:sz w:val="19"/>
                <w:szCs w:val="19"/>
                <w:color w:val="0000EE"/>
              </w:rPr>
            </w:pPr>
            <w:hyperlink r:id="rId197">
              <w:r>
                <w:rPr>
                  <w:rFonts w:ascii="Arial" w:cs="Arial" w:eastAsia="Arial" w:hAnsi="Arial"/>
                  <w:sz w:val="19"/>
                  <w:szCs w:val="19"/>
                  <w:color w:val="0000EE"/>
                </w:rPr>
                <w:t>2006 Stock Incentive Plan of Honeywell International Inc. and Its Affiliates—Form of Option Award Agreement,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180" w:type="dxa"/>
            <w:vAlign w:val="bottom"/>
            <w:tcBorders>
              <w:top w:val="single" w:sz="8" w:color="0000EE"/>
              <w:bottom w:val="single" w:sz="8" w:color="0000EE"/>
            </w:tcBorders>
            <w:gridSpan w:val="21"/>
          </w:tcPr>
          <w:p>
            <w:pPr>
              <w:spacing w:after="0" w:line="196" w:lineRule="exact"/>
              <w:rPr>
                <w:rFonts w:ascii="Arial" w:cs="Arial" w:eastAsia="Arial" w:hAnsi="Arial"/>
                <w:sz w:val="19"/>
                <w:szCs w:val="19"/>
                <w:color w:val="0000EE"/>
              </w:rPr>
            </w:pPr>
            <w:hyperlink r:id="rId197">
              <w:r>
                <w:rPr>
                  <w:rFonts w:ascii="Arial" w:cs="Arial" w:eastAsia="Arial" w:hAnsi="Arial"/>
                  <w:sz w:val="19"/>
                  <w:szCs w:val="19"/>
                  <w:color w:val="0000EE"/>
                </w:rPr>
                <w:t>Form 2 (incorporated by reference to Exhibit 10.37 to Honeywell’s Form 10-K for the year ended December</w:t>
              </w:r>
            </w:hyperlink>
          </w:p>
        </w:tc>
        <w:tc>
          <w:tcPr>
            <w:tcW w:w="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7"/>
              </w:rPr>
            </w:pPr>
            <w:hyperlink r:id="rId197">
              <w:r>
                <w:rPr>
                  <w:rFonts w:ascii="Arial" w:cs="Arial" w:eastAsia="Arial" w:hAnsi="Arial"/>
                  <w:sz w:val="19"/>
                  <w:szCs w:val="19"/>
                  <w:color w:val="0000EE"/>
                  <w:w w:val="97"/>
                </w:rPr>
                <w:t>31, 2010)</w:t>
              </w:r>
            </w:hyperlink>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10.48*</w:t>
            </w:r>
          </w:p>
        </w:tc>
        <w:tc>
          <w:tcPr>
            <w:tcW w:w="890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198">
              <w:r>
                <w:rPr>
                  <w:rFonts w:ascii="Arial" w:cs="Arial" w:eastAsia="Arial" w:hAnsi="Arial"/>
                  <w:sz w:val="19"/>
                  <w:szCs w:val="19"/>
                  <w:color w:val="0000EE"/>
                </w:rPr>
                <w:t>Letter Agreement dated September 3, 2009 between Honeywell and Timothy Mahoney (incorporated by</w:t>
              </w:r>
            </w:hyperlink>
          </w:p>
        </w:tc>
        <w:tc>
          <w:tcPr>
            <w:tcW w:w="56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98">
              <w:r>
                <w:rPr>
                  <w:rFonts w:ascii="Arial" w:cs="Arial" w:eastAsia="Arial" w:hAnsi="Arial"/>
                  <w:sz w:val="19"/>
                  <w:szCs w:val="19"/>
                  <w:color w:val="0000EE"/>
                </w:rPr>
                <w:t>reference to Exhibit 10.38 to Honeywell’s Form 10-K for the year ended December 31, 2010)</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10.49*</w:t>
            </w:r>
          </w:p>
        </w:tc>
        <w:tc>
          <w:tcPr>
            <w:tcW w:w="860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199">
              <w:r>
                <w:rPr>
                  <w:rFonts w:ascii="Arial" w:cs="Arial" w:eastAsia="Arial" w:hAnsi="Arial"/>
                  <w:sz w:val="19"/>
                  <w:szCs w:val="19"/>
                  <w:color w:val="0000EE"/>
                </w:rPr>
                <w:t>Form of Honeywell International Inc. Noncompete Agreement for Senior Executives (incorporated by</w:t>
              </w:r>
            </w:hyperlink>
          </w:p>
        </w:tc>
        <w:tc>
          <w:tcPr>
            <w:tcW w:w="86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199">
              <w:r>
                <w:rPr>
                  <w:rFonts w:ascii="Arial" w:cs="Arial" w:eastAsia="Arial" w:hAnsi="Arial"/>
                  <w:sz w:val="19"/>
                  <w:szCs w:val="19"/>
                  <w:color w:val="0000EE"/>
                </w:rPr>
                <w:t>reference to Exhibit 10.39 to Honeywell’s Form 10-K for the year ended December 31, 2010)</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10.50*</w:t>
            </w:r>
          </w:p>
        </w:tc>
        <w:tc>
          <w:tcPr>
            <w:tcW w:w="884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2011 Stock Incentive Plan of Honeywell International Inc. and its Affiliates (incorporated by reference to</w:t>
              </w:r>
            </w:hyperlink>
          </w:p>
        </w:tc>
        <w:tc>
          <w:tcPr>
            <w:tcW w:w="620" w:type="dxa"/>
            <w:vAlign w:val="bottom"/>
            <w:gridSpan w:val="1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Honeywell’s Proxy Statement, dated March 10, 2011, filed pursuant to Rule 14a-6 of the Securities</w:t>
              </w:r>
            </w:hyperlink>
          </w:p>
        </w:tc>
        <w:tc>
          <w:tcPr>
            <w:tcW w:w="84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200">
              <w:r>
                <w:rPr>
                  <w:rFonts w:ascii="Arial" w:cs="Arial" w:eastAsia="Arial" w:hAnsi="Arial"/>
                  <w:sz w:val="19"/>
                  <w:szCs w:val="19"/>
                  <w:color w:val="0000EE"/>
                </w:rPr>
                <w:t>Exchange Act of 1934)</w:t>
              </w:r>
            </w:hyperlink>
          </w:p>
        </w:tc>
        <w:tc>
          <w:tcPr>
            <w:tcW w:w="7320" w:type="dxa"/>
            <w:vAlign w:val="bottom"/>
            <w:gridSpan w:val="1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10.51*</w:t>
            </w:r>
          </w:p>
        </w:tc>
        <w:tc>
          <w:tcPr>
            <w:tcW w:w="9460" w:type="dxa"/>
            <w:vAlign w:val="bottom"/>
            <w:gridSpan w:val="25"/>
          </w:tcPr>
          <w:p>
            <w:pPr>
              <w:spacing w:after="0" w:line="196" w:lineRule="exact"/>
              <w:rPr>
                <w:rFonts w:ascii="Arial" w:cs="Arial" w:eastAsia="Arial" w:hAnsi="Arial"/>
                <w:sz w:val="19"/>
                <w:szCs w:val="19"/>
                <w:color w:val="0000EE"/>
              </w:rPr>
            </w:pPr>
            <w:hyperlink r:id="rId201">
              <w:r>
                <w:rPr>
                  <w:rFonts w:ascii="Arial" w:cs="Arial" w:eastAsia="Arial" w:hAnsi="Arial"/>
                  <w:sz w:val="19"/>
                  <w:szCs w:val="19"/>
                  <w:color w:val="0000EE"/>
                </w:rPr>
                <w:t>Amendment to 2011 Stock Incentive Plan of Honeywell International Inc. and its Affiliates (incorporated by</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20"/>
          </w:tcPr>
          <w:p>
            <w:pPr>
              <w:spacing w:after="0" w:line="196" w:lineRule="exact"/>
              <w:rPr>
                <w:rFonts w:ascii="Arial" w:cs="Arial" w:eastAsia="Arial" w:hAnsi="Arial"/>
                <w:sz w:val="19"/>
                <w:szCs w:val="19"/>
                <w:color w:val="0000EE"/>
              </w:rPr>
            </w:pPr>
            <w:hyperlink r:id="rId201">
              <w:r>
                <w:rPr>
                  <w:rFonts w:ascii="Arial" w:cs="Arial" w:eastAsia="Arial" w:hAnsi="Arial"/>
                  <w:sz w:val="19"/>
                  <w:szCs w:val="19"/>
                  <w:color w:val="0000EE"/>
                </w:rPr>
                <w:t>reference to Exhibit 10.36 to Honeywell’s Form 10-K for the year ended December 31, 2012)</w:t>
              </w:r>
            </w:hyperlink>
          </w:p>
        </w:tc>
        <w:tc>
          <w:tcPr>
            <w:tcW w:w="400" w:type="dxa"/>
            <w:vAlign w:val="bottom"/>
            <w:gridSpan w:val="4"/>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10.52*</w:t>
            </w:r>
          </w:p>
        </w:tc>
        <w:tc>
          <w:tcPr>
            <w:tcW w:w="9460" w:type="dxa"/>
            <w:vAlign w:val="bottom"/>
            <w:gridSpan w:val="25"/>
          </w:tcPr>
          <w:p>
            <w:pPr>
              <w:spacing w:after="0" w:line="196" w:lineRule="exact"/>
              <w:rPr>
                <w:rFonts w:ascii="Arial" w:cs="Arial" w:eastAsia="Arial" w:hAnsi="Arial"/>
                <w:sz w:val="19"/>
                <w:szCs w:val="19"/>
                <w:color w:val="0000EE"/>
              </w:rPr>
            </w:pPr>
            <w:hyperlink r:id="rId202">
              <w:r>
                <w:rPr>
                  <w:rFonts w:ascii="Arial" w:cs="Arial" w:eastAsia="Arial" w:hAnsi="Arial"/>
                  <w:sz w:val="19"/>
                  <w:szCs w:val="19"/>
                  <w:color w:val="0000EE"/>
                </w:rPr>
                <w:t>Amendment to 2011 Stock Incentive Plan of Honeywell International Inc. and its Affiliates (incorporated by</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720" w:type="dxa"/>
            <w:vAlign w:val="bottom"/>
            <w:tcBorders>
              <w:top w:val="single" w:sz="8" w:color="0000EE"/>
              <w:bottom w:val="single" w:sz="8" w:color="0000EE"/>
            </w:tcBorders>
            <w:gridSpan w:val="7"/>
          </w:tcPr>
          <w:p>
            <w:pPr>
              <w:spacing w:after="0" w:line="196" w:lineRule="exact"/>
              <w:rPr>
                <w:rFonts w:ascii="Arial" w:cs="Arial" w:eastAsia="Arial" w:hAnsi="Arial"/>
                <w:sz w:val="19"/>
                <w:szCs w:val="19"/>
                <w:color w:val="0000EE"/>
              </w:rPr>
            </w:pPr>
            <w:hyperlink r:id="rId202">
              <w:r>
                <w:rPr>
                  <w:rFonts w:ascii="Arial" w:cs="Arial" w:eastAsia="Arial" w:hAnsi="Arial"/>
                  <w:sz w:val="19"/>
                  <w:szCs w:val="19"/>
                  <w:color w:val="0000EE"/>
                </w:rPr>
                <w:t>reference to Exhibit 10.1 to Honeywell’s Form 10-Q for the quarter ended March 31, 2014)</w:t>
              </w:r>
            </w:hyperlink>
          </w:p>
        </w:tc>
        <w:tc>
          <w:tcPr>
            <w:tcW w:w="1160" w:type="dxa"/>
            <w:vAlign w:val="bottom"/>
            <w:tcBorders>
              <w:top w:val="single" w:sz="8" w:color="0000EE"/>
            </w:tcBorders>
            <w:gridSpan w:val="13"/>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10.53*</w:t>
            </w:r>
          </w:p>
        </w:tc>
        <w:tc>
          <w:tcPr>
            <w:tcW w:w="9460" w:type="dxa"/>
            <w:vAlign w:val="bottom"/>
            <w:gridSpan w:val="25"/>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2011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Agreement (incorporated by reference to Exhibit 10.2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5"/>
          </w:tcPr>
          <w:p>
            <w:pPr>
              <w:spacing w:after="0" w:line="196" w:lineRule="exact"/>
              <w:rPr>
                <w:rFonts w:ascii="Arial" w:cs="Arial" w:eastAsia="Arial" w:hAnsi="Arial"/>
                <w:sz w:val="19"/>
                <w:szCs w:val="19"/>
                <w:color w:val="0000EE"/>
              </w:rPr>
            </w:pPr>
            <w:hyperlink r:id="rId203">
              <w:r>
                <w:rPr>
                  <w:rFonts w:ascii="Arial" w:cs="Arial" w:eastAsia="Arial" w:hAnsi="Arial"/>
                  <w:sz w:val="19"/>
                  <w:szCs w:val="19"/>
                  <w:color w:val="0000EE"/>
                </w:rPr>
                <w:t>March 31, 2014)</w:t>
              </w:r>
            </w:hyperlink>
          </w:p>
        </w:tc>
        <w:tc>
          <w:tcPr>
            <w:tcW w:w="580" w:type="dxa"/>
            <w:vAlign w:val="bottom"/>
            <w:gridSpan w:val="9"/>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760" w:type="dxa"/>
            <w:vAlign w:val="bottom"/>
            <w:gridSpan w:val="11"/>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10.54*</w:t>
            </w:r>
          </w:p>
        </w:tc>
        <w:tc>
          <w:tcPr>
            <w:tcW w:w="9460" w:type="dxa"/>
            <w:vAlign w:val="bottom"/>
            <w:gridSpan w:val="25"/>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2011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300" w:type="dxa"/>
            <w:vAlign w:val="bottom"/>
            <w:gridSpan w:val="4"/>
            <w:shd w:val="clear" w:color="auto" w:fill="0000EE"/>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Agreement, Form 2 (incorporated by reference to Exhibit 10.3 to Honeywell’s Form 10-Q for the quarter</w:t>
              </w:r>
            </w:hyperlink>
          </w:p>
        </w:tc>
        <w:tc>
          <w:tcPr>
            <w:tcW w:w="44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204">
              <w:r>
                <w:rPr>
                  <w:rFonts w:ascii="Arial" w:cs="Arial" w:eastAsia="Arial" w:hAnsi="Arial"/>
                  <w:sz w:val="19"/>
                  <w:szCs w:val="19"/>
                  <w:color w:val="0000EE"/>
                </w:rPr>
                <w:t>ended March 31, 2014)</w:t>
              </w:r>
            </w:hyperlink>
          </w:p>
        </w:tc>
        <w:tc>
          <w:tcPr>
            <w:tcW w:w="7280" w:type="dxa"/>
            <w:vAlign w:val="bottom"/>
            <w:gridSpan w:val="1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10.55*</w:t>
            </w:r>
          </w:p>
        </w:tc>
        <w:tc>
          <w:tcPr>
            <w:tcW w:w="894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2011 Stock Incentive Plan of Honeywell International Inc. and Its Affiliates—Form of Stock Option Award</w:t>
              </w:r>
            </w:hyperlink>
          </w:p>
        </w:tc>
        <w:tc>
          <w:tcPr>
            <w:tcW w:w="52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Agreement (incorporated by reference to Exhibit 10.4 to Honeywell’s Form 10-Q for the quarter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5"/>
          </w:tcPr>
          <w:p>
            <w:pPr>
              <w:spacing w:after="0" w:line="196" w:lineRule="exact"/>
              <w:rPr>
                <w:rFonts w:ascii="Arial" w:cs="Arial" w:eastAsia="Arial" w:hAnsi="Arial"/>
                <w:sz w:val="19"/>
                <w:szCs w:val="19"/>
                <w:color w:val="0000EE"/>
              </w:rPr>
            </w:pPr>
            <w:hyperlink r:id="rId205">
              <w:r>
                <w:rPr>
                  <w:rFonts w:ascii="Arial" w:cs="Arial" w:eastAsia="Arial" w:hAnsi="Arial"/>
                  <w:sz w:val="19"/>
                  <w:szCs w:val="19"/>
                  <w:color w:val="0000EE"/>
                </w:rPr>
                <w:t>March 31, 2014)</w:t>
              </w:r>
            </w:hyperlink>
          </w:p>
        </w:tc>
        <w:tc>
          <w:tcPr>
            <w:tcW w:w="580" w:type="dxa"/>
            <w:vAlign w:val="bottom"/>
            <w:gridSpan w:val="9"/>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520" w:type="dxa"/>
            <w:vAlign w:val="bottom"/>
            <w:gridSpan w:val="21"/>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10.56*</w:t>
            </w:r>
          </w:p>
        </w:tc>
        <w:tc>
          <w:tcPr>
            <w:tcW w:w="894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206">
              <w:r>
                <w:rPr>
                  <w:rFonts w:ascii="Arial" w:cs="Arial" w:eastAsia="Arial" w:hAnsi="Arial"/>
                  <w:sz w:val="19"/>
                  <w:szCs w:val="19"/>
                  <w:color w:val="0000EE"/>
                </w:rPr>
                <w:t>2011 Stock Incentive Plan of Honeywell International Inc. and Its Affiliates—Form of Stock Option Award</w:t>
              </w:r>
            </w:hyperlink>
          </w:p>
        </w:tc>
        <w:tc>
          <w:tcPr>
            <w:tcW w:w="52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206">
              <w:r>
                <w:rPr>
                  <w:rFonts w:ascii="Arial" w:cs="Arial" w:eastAsia="Arial" w:hAnsi="Arial"/>
                  <w:sz w:val="19"/>
                  <w:szCs w:val="19"/>
                  <w:color w:val="0000EE"/>
                </w:rPr>
                <w:t>Agreement, Form 2 (incorporated by reference to Exhibit 10.39 to Honeywell’s Form 10-K for the year ended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9"/>
                <w:szCs w:val="19"/>
                <w:color w:val="0000EE"/>
              </w:rPr>
            </w:pPr>
            <w:hyperlink r:id="rId206">
              <w:r>
                <w:rPr>
                  <w:rFonts w:ascii="Arial" w:cs="Arial" w:eastAsia="Arial" w:hAnsi="Arial"/>
                  <w:sz w:val="19"/>
                  <w:szCs w:val="19"/>
                  <w:color w:val="0000EE"/>
                </w:rPr>
                <w:t>December 31, 2014)</w:t>
              </w:r>
            </w:hyperlink>
          </w:p>
        </w:tc>
        <w:tc>
          <w:tcPr>
            <w:tcW w:w="7520" w:type="dxa"/>
            <w:vAlign w:val="bottom"/>
            <w:gridSpan w:val="21"/>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7900" w:type="dxa"/>
            <w:vAlign w:val="bottom"/>
            <w:gridSpan w:val="8"/>
          </w:tcPr>
          <w:p>
            <w:pPr>
              <w:ind w:left="3640"/>
              <w:spacing w:after="0"/>
              <w:rPr>
                <w:sz w:val="20"/>
                <w:szCs w:val="20"/>
                <w:color w:val="auto"/>
              </w:rPr>
            </w:pPr>
            <w:r>
              <w:rPr>
                <w:rFonts w:ascii="Arial" w:cs="Arial" w:eastAsia="Arial" w:hAnsi="Arial"/>
                <w:sz w:val="19"/>
                <w:szCs w:val="19"/>
                <w:color w:val="auto"/>
              </w:rPr>
              <w:t>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24"/>
          </w:tcPr>
          <w:p>
            <w:pPr>
              <w:ind w:left="216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10.57*</w:t>
            </w:r>
          </w:p>
        </w:tc>
        <w:tc>
          <w:tcPr>
            <w:tcW w:w="9300" w:type="dxa"/>
            <w:vAlign w:val="bottom"/>
            <w:tcBorders>
              <w:bottom w:val="single" w:sz="8" w:color="0000EE"/>
            </w:tcBorders>
            <w:gridSpan w:val="29"/>
          </w:tcPr>
          <w:p>
            <w:pPr>
              <w:spacing w:after="0" w:line="196" w:lineRule="exact"/>
              <w:rPr>
                <w:rFonts w:ascii="Arial" w:cs="Arial" w:eastAsia="Arial" w:hAnsi="Arial"/>
                <w:sz w:val="19"/>
                <w:szCs w:val="19"/>
                <w:color w:val="0000EE"/>
              </w:rPr>
            </w:pPr>
            <w:hyperlink r:id="rId209">
              <w:r>
                <w:rPr>
                  <w:rFonts w:ascii="Arial" w:cs="Arial" w:eastAsia="Arial" w:hAnsi="Arial"/>
                  <w:sz w:val="19"/>
                  <w:szCs w:val="19"/>
                  <w:color w:val="0000EE"/>
                </w:rPr>
                <w:t>2011 Stock Incentive Plan of Honeywell International Inc. and Its Affiliates—Form of Growth Plan Agreement</w:t>
              </w:r>
            </w:hyperlink>
          </w:p>
        </w:tc>
        <w:tc>
          <w:tcPr>
            <w:tcW w:w="16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9"/>
          </w:tcPr>
          <w:p>
            <w:pPr>
              <w:spacing w:after="0" w:line="196" w:lineRule="exact"/>
              <w:rPr>
                <w:rFonts w:ascii="Arial" w:cs="Arial" w:eastAsia="Arial" w:hAnsi="Arial"/>
                <w:sz w:val="19"/>
                <w:szCs w:val="19"/>
                <w:color w:val="0000EE"/>
              </w:rPr>
            </w:pPr>
            <w:hyperlink r:id="rId209">
              <w:r>
                <w:rPr>
                  <w:rFonts w:ascii="Arial" w:cs="Arial" w:eastAsia="Arial" w:hAnsi="Arial"/>
                  <w:sz w:val="19"/>
                  <w:szCs w:val="19"/>
                  <w:color w:val="0000EE"/>
                </w:rPr>
                <w:t>(incorporated by reference to Exhibit 10.5 to Honeywell’s Form 10-Q for the quarter ended March 31, 2014)</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10.58*</w:t>
            </w:r>
          </w:p>
        </w:tc>
        <w:tc>
          <w:tcPr>
            <w:tcW w:w="9460" w:type="dxa"/>
            <w:vAlign w:val="bottom"/>
            <w:gridSpan w:val="31"/>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2016 Stock Incentive Plan of Honeywell International Inc. and its Affiliates—Form of Performance Plan Grant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120" w:type="dxa"/>
            <w:vAlign w:val="bottom"/>
            <w:tcBorders>
              <w:top w:val="single" w:sz="8" w:color="0000EE"/>
            </w:tcBorders>
            <w:gridSpan w:val="28"/>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Agreement (incorporated by reference to Exhibit 10.2 to Honeywell’s Form 10-Q for the quarter ended</w:t>
              </w:r>
            </w:hyperlink>
          </w:p>
        </w:tc>
        <w:tc>
          <w:tcPr>
            <w:tcW w:w="16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9"/>
          </w:tcPr>
          <w:p>
            <w:pPr>
              <w:spacing w:after="0" w:line="196" w:lineRule="exact"/>
              <w:rPr>
                <w:rFonts w:ascii="Arial" w:cs="Arial" w:eastAsia="Arial" w:hAnsi="Arial"/>
                <w:sz w:val="19"/>
                <w:szCs w:val="19"/>
                <w:color w:val="0000EE"/>
              </w:rPr>
            </w:pPr>
            <w:hyperlink r:id="rId210">
              <w:r>
                <w:rPr>
                  <w:rFonts w:ascii="Arial" w:cs="Arial" w:eastAsia="Arial" w:hAnsi="Arial"/>
                  <w:sz w:val="19"/>
                  <w:szCs w:val="19"/>
                  <w:color w:val="0000EE"/>
                </w:rPr>
                <w:t>March 31, 2017)</w:t>
              </w:r>
            </w:hyperlink>
          </w:p>
        </w:tc>
        <w:tc>
          <w:tcPr>
            <w:tcW w:w="580" w:type="dxa"/>
            <w:vAlign w:val="bottom"/>
            <w:gridSpan w:val="11"/>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10.59*</w:t>
            </w:r>
          </w:p>
        </w:tc>
        <w:tc>
          <w:tcPr>
            <w:tcW w:w="828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211">
              <w:r>
                <w:rPr>
                  <w:rFonts w:ascii="Arial" w:cs="Arial" w:eastAsia="Arial" w:hAnsi="Arial"/>
                  <w:sz w:val="19"/>
                  <w:szCs w:val="19"/>
                  <w:color w:val="0000EE"/>
                </w:rPr>
                <w:t>Letter Agreement dated August 4, 2011 between Honeywell International Inc. and David M. Cote</w:t>
              </w:r>
            </w:hyperlink>
          </w:p>
        </w:tc>
        <w:tc>
          <w:tcPr>
            <w:tcW w:w="1180" w:type="dxa"/>
            <w:vAlign w:val="bottom"/>
            <w:gridSpan w:val="1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bottom w:val="single" w:sz="8" w:color="0000EE"/>
            </w:tcBorders>
            <w:gridSpan w:val="26"/>
          </w:tcPr>
          <w:p>
            <w:pPr>
              <w:spacing w:after="0" w:line="196" w:lineRule="exact"/>
              <w:rPr>
                <w:rFonts w:ascii="Arial" w:cs="Arial" w:eastAsia="Arial" w:hAnsi="Arial"/>
                <w:sz w:val="19"/>
                <w:szCs w:val="19"/>
                <w:color w:val="0000EE"/>
              </w:rPr>
            </w:pPr>
            <w:hyperlink r:id="rId211">
              <w:r>
                <w:rPr>
                  <w:rFonts w:ascii="Arial" w:cs="Arial" w:eastAsia="Arial" w:hAnsi="Arial"/>
                  <w:sz w:val="19"/>
                  <w:szCs w:val="19"/>
                  <w:color w:val="0000EE"/>
                </w:rPr>
                <w:t>(incorporated by reference to Exhibit 10.1 to Honeywell’s Form 10-Q for the quarter ended September 30,</w:t>
              </w:r>
            </w:hyperlink>
          </w:p>
        </w:tc>
        <w:tc>
          <w:tcPr>
            <w:tcW w:w="24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660" w:type="dxa"/>
            <w:vAlign w:val="bottom"/>
            <w:gridSpan w:val="2"/>
          </w:tcPr>
          <w:p>
            <w:pPr>
              <w:ind w:left="180"/>
              <w:spacing w:after="0" w:line="196" w:lineRule="exact"/>
              <w:rPr>
                <w:rFonts w:ascii="Arial" w:cs="Arial" w:eastAsia="Arial" w:hAnsi="Arial"/>
                <w:sz w:val="19"/>
                <w:szCs w:val="19"/>
                <w:color w:val="0000EE"/>
                <w:w w:val="94"/>
              </w:rPr>
            </w:pPr>
            <w:hyperlink r:id="rId211">
              <w:r>
                <w:rPr>
                  <w:rFonts w:ascii="Arial" w:cs="Arial" w:eastAsia="Arial" w:hAnsi="Arial"/>
                  <w:sz w:val="19"/>
                  <w:szCs w:val="19"/>
                  <w:color w:val="0000EE"/>
                  <w:w w:val="94"/>
                </w:rPr>
                <w:t>2011)</w:t>
              </w:r>
            </w:hyperlink>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10.60*</w:t>
            </w:r>
          </w:p>
        </w:tc>
        <w:tc>
          <w:tcPr>
            <w:tcW w:w="850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212">
              <w:r>
                <w:rPr>
                  <w:rFonts w:ascii="Arial" w:cs="Arial" w:eastAsia="Arial" w:hAnsi="Arial"/>
                  <w:sz w:val="19"/>
                  <w:szCs w:val="19"/>
                  <w:color w:val="0000EE"/>
                </w:rPr>
                <w:t>Letter Agreement dated April 7, 2014 between Honeywell International Inc. and Thomas A. Szlosek</w:t>
              </w:r>
            </w:hyperlink>
          </w:p>
        </w:tc>
        <w:tc>
          <w:tcPr>
            <w:tcW w:w="960" w:type="dxa"/>
            <w:vAlign w:val="bottom"/>
            <w:gridSpan w:val="1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212">
              <w:r>
                <w:rPr>
                  <w:rFonts w:ascii="Arial" w:cs="Arial" w:eastAsia="Arial" w:hAnsi="Arial"/>
                  <w:sz w:val="19"/>
                  <w:szCs w:val="19"/>
                  <w:color w:val="0000EE"/>
                </w:rPr>
                <w:t>(incorporated by reference to Exhibit 10.10 to Honeywell’s Form 10-Q for the quarter ended March 31, 2014)</w:t>
              </w:r>
            </w:hyperlink>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10.61*</w:t>
            </w:r>
          </w:p>
        </w:tc>
        <w:tc>
          <w:tcPr>
            <w:tcW w:w="936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213">
              <w:r>
                <w:rPr>
                  <w:rFonts w:ascii="Arial" w:cs="Arial" w:eastAsia="Arial" w:hAnsi="Arial"/>
                  <w:sz w:val="19"/>
                  <w:szCs w:val="19"/>
                  <w:color w:val="0000EE"/>
                </w:rPr>
                <w:t>CEO Retention Agreement, as approved by the Board of Directors of Honeywell International Inc. on October</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bottom w:val="single" w:sz="8" w:color="0000EE"/>
            </w:tcBorders>
            <w:gridSpan w:val="29"/>
          </w:tcPr>
          <w:p>
            <w:pPr>
              <w:spacing w:after="0" w:line="196" w:lineRule="exact"/>
              <w:rPr>
                <w:rFonts w:ascii="Arial" w:cs="Arial" w:eastAsia="Arial" w:hAnsi="Arial"/>
                <w:sz w:val="19"/>
                <w:szCs w:val="19"/>
                <w:color w:val="0000EE"/>
              </w:rPr>
            </w:pPr>
            <w:hyperlink r:id="rId213">
              <w:r>
                <w:rPr>
                  <w:rFonts w:ascii="Arial" w:cs="Arial" w:eastAsia="Arial" w:hAnsi="Arial"/>
                  <w:sz w:val="19"/>
                  <w:szCs w:val="19"/>
                  <w:color w:val="0000EE"/>
                </w:rPr>
                <w:t>31, 2014 and agreed to by David M. Cote on December 11, 2014 (incorporated by reference to Exhibit 99.2</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bottom w:val="single" w:sz="8" w:color="0000EE"/>
            </w:tcBorders>
            <w:gridSpan w:val="8"/>
          </w:tcPr>
          <w:p>
            <w:pPr>
              <w:spacing w:after="0" w:line="196" w:lineRule="exact"/>
              <w:rPr>
                <w:rFonts w:ascii="Arial" w:cs="Arial" w:eastAsia="Arial" w:hAnsi="Arial"/>
                <w:sz w:val="19"/>
                <w:szCs w:val="19"/>
                <w:color w:val="0000EE"/>
              </w:rPr>
            </w:pPr>
            <w:hyperlink r:id="rId213">
              <w:r>
                <w:rPr>
                  <w:rFonts w:ascii="Arial" w:cs="Arial" w:eastAsia="Arial" w:hAnsi="Arial"/>
                  <w:sz w:val="19"/>
                  <w:szCs w:val="19"/>
                  <w:color w:val="0000EE"/>
                </w:rPr>
                <w:t>to Honeywell’s Form 8-K filed December 12, 2014)</w:t>
              </w:r>
            </w:hyperlink>
          </w:p>
        </w:tc>
        <w:tc>
          <w:tcPr>
            <w:tcW w:w="4940" w:type="dxa"/>
            <w:vAlign w:val="bottom"/>
            <w:gridSpan w:val="22"/>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10.62*</w:t>
            </w:r>
          </w:p>
        </w:tc>
        <w:tc>
          <w:tcPr>
            <w:tcW w:w="9460" w:type="dxa"/>
            <w:vAlign w:val="bottom"/>
            <w:gridSpan w:val="31"/>
          </w:tcPr>
          <w:p>
            <w:pPr>
              <w:spacing w:after="0" w:line="196" w:lineRule="exact"/>
              <w:rPr>
                <w:rFonts w:ascii="Arial" w:cs="Arial" w:eastAsia="Arial" w:hAnsi="Arial"/>
                <w:sz w:val="19"/>
                <w:szCs w:val="19"/>
                <w:color w:val="0000EE"/>
              </w:rPr>
            </w:pPr>
            <w:hyperlink r:id="rId214">
              <w:r>
                <w:rPr>
                  <w:rFonts w:ascii="Arial" w:cs="Arial" w:eastAsia="Arial" w:hAnsi="Arial"/>
                  <w:sz w:val="19"/>
                  <w:szCs w:val="19"/>
                  <w:color w:val="0000EE"/>
                </w:rPr>
                <w:t>Chief Executive Officer Business Continuity Agreement as approved by the Board of Directors of Honeywell</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9"/>
                <w:szCs w:val="19"/>
                <w:color w:val="0000EE"/>
              </w:rPr>
            </w:pPr>
            <w:hyperlink r:id="rId214">
              <w:r>
                <w:rPr>
                  <w:rFonts w:ascii="Arial" w:cs="Arial" w:eastAsia="Arial" w:hAnsi="Arial"/>
                  <w:sz w:val="19"/>
                  <w:szCs w:val="19"/>
                  <w:color w:val="0000EE"/>
                </w:rPr>
                <w:t>International Inc. on June 28, 2016 (incorporated by reference to Exhibit 99.1 to Honeywell’s Form 8-K filed</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top w:val="single" w:sz="8" w:color="0000EE"/>
            </w:tcBorders>
            <w:gridSpan w:val="29"/>
          </w:tcPr>
          <w:p>
            <w:pPr>
              <w:spacing w:after="0" w:line="196" w:lineRule="exact"/>
              <w:rPr>
                <w:rFonts w:ascii="Arial" w:cs="Arial" w:eastAsia="Arial" w:hAnsi="Arial"/>
                <w:sz w:val="19"/>
                <w:szCs w:val="19"/>
                <w:color w:val="0000EE"/>
              </w:rPr>
            </w:pPr>
            <w:hyperlink r:id="rId214">
              <w:r>
                <w:rPr>
                  <w:rFonts w:ascii="Arial" w:cs="Arial" w:eastAsia="Arial" w:hAnsi="Arial"/>
                  <w:sz w:val="19"/>
                  <w:szCs w:val="19"/>
                  <w:color w:val="0000EE"/>
                </w:rPr>
                <w:t>June 28, 2016)</w:t>
              </w:r>
            </w:hyperlink>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10.63*</w:t>
            </w:r>
          </w:p>
        </w:tc>
        <w:tc>
          <w:tcPr>
            <w:tcW w:w="9360" w:type="dxa"/>
            <w:vAlign w:val="bottom"/>
            <w:tcBorders>
              <w:bottom w:val="single" w:sz="8" w:color="0000EE"/>
            </w:tcBorders>
            <w:gridSpan w:val="30"/>
          </w:tcPr>
          <w:p>
            <w:pPr>
              <w:spacing w:after="0" w:line="196" w:lineRule="exact"/>
              <w:rPr>
                <w:rFonts w:ascii="Arial" w:cs="Arial" w:eastAsia="Arial" w:hAnsi="Arial"/>
                <w:sz w:val="19"/>
                <w:szCs w:val="19"/>
                <w:color w:val="0000EE"/>
              </w:rPr>
            </w:pPr>
            <w:hyperlink r:id="rId215">
              <w:r>
                <w:rPr>
                  <w:rFonts w:ascii="Arial" w:cs="Arial" w:eastAsia="Arial" w:hAnsi="Arial"/>
                  <w:sz w:val="19"/>
                  <w:szCs w:val="19"/>
                  <w:color w:val="0000EE"/>
                </w:rPr>
                <w:t>Amendment to Chief Executive Officer Business Continuity Agreement as approved by the Board of Directors</w:t>
              </w:r>
            </w:hyperlink>
          </w:p>
        </w:tc>
        <w:tc>
          <w:tcPr>
            <w:tcW w:w="10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bottom w:val="single" w:sz="8" w:color="0000EE"/>
            </w:tcBorders>
            <w:gridSpan w:val="27"/>
          </w:tcPr>
          <w:p>
            <w:pPr>
              <w:spacing w:after="0" w:line="196" w:lineRule="exact"/>
              <w:rPr>
                <w:rFonts w:ascii="Arial" w:cs="Arial" w:eastAsia="Arial" w:hAnsi="Arial"/>
                <w:sz w:val="19"/>
                <w:szCs w:val="19"/>
                <w:color w:val="0000EE"/>
              </w:rPr>
            </w:pPr>
            <w:hyperlink r:id="rId215">
              <w:r>
                <w:rPr>
                  <w:rFonts w:ascii="Arial" w:cs="Arial" w:eastAsia="Arial" w:hAnsi="Arial"/>
                  <w:sz w:val="19"/>
                  <w:szCs w:val="19"/>
                  <w:color w:val="0000EE"/>
                </w:rPr>
                <w:t>of Honeywell International Inc. on June 28, 2016 (incorporated by reference to Exhibit 10.1 to Honeywell’s</w:t>
              </w:r>
            </w:hyperlink>
          </w:p>
        </w:tc>
        <w:tc>
          <w:tcPr>
            <w:tcW w:w="22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7"/>
          </w:tcPr>
          <w:p>
            <w:pPr>
              <w:spacing w:after="0" w:line="196" w:lineRule="exact"/>
              <w:rPr>
                <w:rFonts w:ascii="Arial" w:cs="Arial" w:eastAsia="Arial" w:hAnsi="Arial"/>
                <w:sz w:val="19"/>
                <w:szCs w:val="19"/>
                <w:color w:val="0000EE"/>
              </w:rPr>
            </w:pPr>
            <w:hyperlink r:id="rId215">
              <w:r>
                <w:rPr>
                  <w:rFonts w:ascii="Arial" w:cs="Arial" w:eastAsia="Arial" w:hAnsi="Arial"/>
                  <w:sz w:val="19"/>
                  <w:szCs w:val="19"/>
                  <w:color w:val="0000EE"/>
                </w:rPr>
                <w:t>Form 10-Q for the quarter ended March 31, 2017)</w:t>
              </w:r>
            </w:hyperlink>
          </w:p>
        </w:tc>
        <w:tc>
          <w:tcPr>
            <w:tcW w:w="5020" w:type="dxa"/>
            <w:vAlign w:val="bottom"/>
            <w:gridSpan w:val="23"/>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10.64*</w:t>
            </w:r>
          </w:p>
        </w:tc>
        <w:tc>
          <w:tcPr>
            <w:tcW w:w="880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216">
              <w:r>
                <w:rPr>
                  <w:rFonts w:ascii="Arial" w:cs="Arial" w:eastAsia="Arial" w:hAnsi="Arial"/>
                  <w:sz w:val="19"/>
                  <w:szCs w:val="19"/>
                  <w:color w:val="0000EE"/>
                </w:rPr>
                <w:t>Letter Agreement dated February 24, 2012 between Honeywell and Darius Adamczyk (incorporated by</w:t>
              </w:r>
            </w:hyperlink>
          </w:p>
        </w:tc>
        <w:tc>
          <w:tcPr>
            <w:tcW w:w="66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tcBorders>
              <w:bottom w:val="single" w:sz="8" w:color="0000EE"/>
            </w:tcBorders>
            <w:gridSpan w:val="11"/>
          </w:tcPr>
          <w:p>
            <w:pPr>
              <w:spacing w:after="0" w:line="196" w:lineRule="exact"/>
              <w:rPr>
                <w:rFonts w:ascii="Arial" w:cs="Arial" w:eastAsia="Arial" w:hAnsi="Arial"/>
                <w:sz w:val="19"/>
                <w:szCs w:val="19"/>
                <w:color w:val="0000EE"/>
              </w:rPr>
            </w:pPr>
            <w:hyperlink r:id="rId216">
              <w:r>
                <w:rPr>
                  <w:rFonts w:ascii="Arial" w:cs="Arial" w:eastAsia="Arial" w:hAnsi="Arial"/>
                  <w:sz w:val="19"/>
                  <w:szCs w:val="19"/>
                  <w:color w:val="0000EE"/>
                </w:rPr>
                <w:t>reference to Exhibit 10.1 to Honeywell’s Form 10-Q for the quarter ended March 31, 2016)</w:t>
              </w:r>
            </w:hyperlink>
          </w:p>
        </w:tc>
        <w:tc>
          <w:tcPr>
            <w:tcW w:w="1560" w:type="dxa"/>
            <w:vAlign w:val="bottom"/>
            <w:gridSpan w:val="19"/>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10.65*</w:t>
            </w:r>
          </w:p>
        </w:tc>
        <w:tc>
          <w:tcPr>
            <w:tcW w:w="89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217">
              <w:r>
                <w:rPr>
                  <w:rFonts w:ascii="Arial" w:cs="Arial" w:eastAsia="Arial" w:hAnsi="Arial"/>
                  <w:sz w:val="19"/>
                  <w:szCs w:val="19"/>
                  <w:color w:val="0000EE"/>
                </w:rPr>
                <w:t>Offer letter dated March 31, 2016 from Honeywell International Inc. to Darius Adamczyk (incorporated by</w:t>
              </w:r>
            </w:hyperlink>
          </w:p>
        </w:tc>
        <w:tc>
          <w:tcPr>
            <w:tcW w:w="50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217">
              <w:r>
                <w:rPr>
                  <w:rFonts w:ascii="Arial" w:cs="Arial" w:eastAsia="Arial" w:hAnsi="Arial"/>
                  <w:sz w:val="19"/>
                  <w:szCs w:val="19"/>
                  <w:color w:val="0000EE"/>
                </w:rPr>
                <w:t>reference to Exhibit 99.1 to Honeywell’s Form 8-K filed April 6, 2016)</w:t>
              </w:r>
            </w:hyperlink>
          </w:p>
        </w:tc>
        <w:tc>
          <w:tcPr>
            <w:tcW w:w="3400" w:type="dxa"/>
            <w:vAlign w:val="bottom"/>
            <w:gridSpan w:val="21"/>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10.66*</w:t>
            </w:r>
          </w:p>
        </w:tc>
        <w:tc>
          <w:tcPr>
            <w:tcW w:w="9080" w:type="dxa"/>
            <w:vAlign w:val="bottom"/>
            <w:tcBorders>
              <w:bottom w:val="single" w:sz="8" w:color="0000EE"/>
            </w:tcBorders>
            <w:gridSpan w:val="25"/>
          </w:tcPr>
          <w:p>
            <w:pPr>
              <w:spacing w:after="0" w:line="196" w:lineRule="exact"/>
              <w:rPr>
                <w:rFonts w:ascii="Arial" w:cs="Arial" w:eastAsia="Arial" w:hAnsi="Arial"/>
                <w:sz w:val="19"/>
                <w:szCs w:val="19"/>
                <w:color w:val="0000EE"/>
              </w:rPr>
            </w:pPr>
            <w:hyperlink r:id="rId218">
              <w:r>
                <w:rPr>
                  <w:rFonts w:ascii="Arial" w:cs="Arial" w:eastAsia="Arial" w:hAnsi="Arial"/>
                  <w:sz w:val="19"/>
                  <w:szCs w:val="19"/>
                  <w:color w:val="0000EE"/>
                </w:rPr>
                <w:t>Employment Offer Letter dated March 1, 2017 between Honeywell and Darius Adamczyk (incorporated by</w:t>
              </w:r>
            </w:hyperlink>
          </w:p>
        </w:tc>
        <w:tc>
          <w:tcPr>
            <w:tcW w:w="38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9"/>
                <w:szCs w:val="19"/>
                <w:color w:val="0000EE"/>
              </w:rPr>
            </w:pPr>
            <w:hyperlink r:id="rId218">
              <w:r>
                <w:rPr>
                  <w:rFonts w:ascii="Arial" w:cs="Arial" w:eastAsia="Arial" w:hAnsi="Arial"/>
                  <w:sz w:val="19"/>
                  <w:szCs w:val="19"/>
                  <w:color w:val="0000EE"/>
                </w:rPr>
                <w:t>reference to Exhibit 99.1 to Honeywell’s Form 8-K filed March 6, 2017)</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10.67*</w:t>
            </w:r>
          </w:p>
        </w:tc>
        <w:tc>
          <w:tcPr>
            <w:tcW w:w="906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219">
              <w:r>
                <w:rPr>
                  <w:rFonts w:ascii="Arial" w:cs="Arial" w:eastAsia="Arial" w:hAnsi="Arial"/>
                  <w:sz w:val="19"/>
                  <w:szCs w:val="19"/>
                  <w:color w:val="0000EE"/>
                </w:rPr>
                <w:t>Offer letter dated March 11, 2013 from Honeywell International Inc. to Krishna Mikkilineni (incorporated by</w:t>
              </w:r>
            </w:hyperlink>
          </w:p>
        </w:tc>
        <w:tc>
          <w:tcPr>
            <w:tcW w:w="40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9"/>
                <w:szCs w:val="19"/>
                <w:color w:val="0000EE"/>
              </w:rPr>
            </w:pPr>
            <w:hyperlink r:id="rId219">
              <w:r>
                <w:rPr>
                  <w:rFonts w:ascii="Arial" w:cs="Arial" w:eastAsia="Arial" w:hAnsi="Arial"/>
                  <w:sz w:val="19"/>
                  <w:szCs w:val="19"/>
                  <w:color w:val="0000EE"/>
                </w:rPr>
                <w:t>reference to Exhibit 10.43 to Honeywell’s Form 10-K for the year ended December 31, 2016)</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96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10.68*</w:t>
            </w:r>
          </w:p>
        </w:tc>
        <w:tc>
          <w:tcPr>
            <w:tcW w:w="88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2016 Stock Incentive Plan of Honeywell International Inc. and its Affiliates (incorporated by reference to</w:t>
              </w:r>
            </w:hyperlink>
          </w:p>
        </w:tc>
        <w:tc>
          <w:tcPr>
            <w:tcW w:w="62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6"/>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Honeywell’s Proxy Statement, dated March 10, 2016, filed pursuant to Rule 14a-6 of the Securities</w:t>
              </w:r>
            </w:hyperlink>
          </w:p>
        </w:tc>
        <w:tc>
          <w:tcPr>
            <w:tcW w:w="840" w:type="dxa"/>
            <w:vAlign w:val="bottom"/>
            <w:gridSpan w:val="1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Exchange Act of 1934)</w:t>
              </w:r>
            </w:hyperlink>
          </w:p>
        </w:tc>
        <w:tc>
          <w:tcPr>
            <w:tcW w:w="7320" w:type="dxa"/>
            <w:vAlign w:val="bottom"/>
            <w:gridSpan w:val="24"/>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10.69*</w:t>
            </w:r>
          </w:p>
        </w:tc>
        <w:tc>
          <w:tcPr>
            <w:tcW w:w="9460" w:type="dxa"/>
            <w:vAlign w:val="bottom"/>
            <w:gridSpan w:val="31"/>
          </w:tcPr>
          <w:p>
            <w:pPr>
              <w:spacing w:after="0" w:line="196" w:lineRule="exact"/>
              <w:rPr>
                <w:rFonts w:ascii="Arial" w:cs="Arial" w:eastAsia="Arial" w:hAnsi="Arial"/>
                <w:sz w:val="19"/>
                <w:szCs w:val="19"/>
                <w:color w:val="0000EE"/>
              </w:rPr>
            </w:pPr>
            <w:hyperlink r:id="rId221">
              <w:r>
                <w:rPr>
                  <w:rFonts w:ascii="Arial" w:cs="Arial" w:eastAsia="Arial" w:hAnsi="Arial"/>
                  <w:sz w:val="19"/>
                  <w:szCs w:val="19"/>
                  <w:color w:val="0000EE"/>
                </w:rPr>
                <w:t>2016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9"/>
                <w:szCs w:val="19"/>
                <w:color w:val="0000EE"/>
              </w:rPr>
            </w:pPr>
            <w:hyperlink r:id="rId221">
              <w:r>
                <w:rPr>
                  <w:rFonts w:ascii="Arial" w:cs="Arial" w:eastAsia="Arial" w:hAnsi="Arial"/>
                  <w:sz w:val="19"/>
                  <w:szCs w:val="19"/>
                  <w:color w:val="0000EE"/>
                </w:rPr>
                <w:t>Agreement (incorporated by reference to Exhibit 10.1 to Honeywell’s Form 10-Q for the quarter ended June</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460" w:type="dxa"/>
            <w:vAlign w:val="bottom"/>
            <w:gridSpan w:val="4"/>
          </w:tcPr>
          <w:p>
            <w:pPr>
              <w:ind w:left="180"/>
              <w:spacing w:after="0" w:line="196" w:lineRule="exact"/>
              <w:rPr>
                <w:rFonts w:ascii="Arial" w:cs="Arial" w:eastAsia="Arial" w:hAnsi="Arial"/>
                <w:sz w:val="19"/>
                <w:szCs w:val="19"/>
                <w:color w:val="0000EE"/>
              </w:rPr>
            </w:pPr>
            <w:hyperlink r:id="rId221">
              <w:r>
                <w:rPr>
                  <w:rFonts w:ascii="Arial" w:cs="Arial" w:eastAsia="Arial" w:hAnsi="Arial"/>
                  <w:sz w:val="19"/>
                  <w:szCs w:val="19"/>
                  <w:color w:val="0000EE"/>
                </w:rPr>
                <w:t>30, 2016)</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10.70*</w:t>
            </w:r>
          </w:p>
        </w:tc>
        <w:tc>
          <w:tcPr>
            <w:tcW w:w="9460" w:type="dxa"/>
            <w:vAlign w:val="bottom"/>
            <w:gridSpan w:val="31"/>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2016 Stock Incentive Plan of Honeywell International Inc. and its Affiliates—Form of Restricted Unit</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6420" w:type="dxa"/>
            <w:vAlign w:val="bottom"/>
            <w:gridSpan w:val="9"/>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Agreement, Form 2 (incorporated by reference to Exhibit 10.2 to Honeywell’s Form 10-Q for the quarter</w:t>
              </w:r>
            </w:hyperlink>
          </w:p>
        </w:tc>
        <w:tc>
          <w:tcPr>
            <w:tcW w:w="44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222">
              <w:r>
                <w:rPr>
                  <w:rFonts w:ascii="Arial" w:cs="Arial" w:eastAsia="Arial" w:hAnsi="Arial"/>
                  <w:sz w:val="19"/>
                  <w:szCs w:val="19"/>
                  <w:color w:val="0000EE"/>
                </w:rPr>
                <w:t>ended June 30, 2016)</w:t>
              </w:r>
            </w:hyperlink>
          </w:p>
        </w:tc>
        <w:tc>
          <w:tcPr>
            <w:tcW w:w="7400" w:type="dxa"/>
            <w:vAlign w:val="bottom"/>
            <w:gridSpan w:val="25"/>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10.71*</w:t>
            </w:r>
          </w:p>
        </w:tc>
        <w:tc>
          <w:tcPr>
            <w:tcW w:w="9460" w:type="dxa"/>
            <w:vAlign w:val="bottom"/>
            <w:gridSpan w:val="31"/>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2016 Stock Incentive Plan of Honeywell International Inc. and its Affiliates—Form of Stock Option Award</w:t>
              </w:r>
            </w:hyperlink>
          </w:p>
        </w:tc>
      </w:tr>
      <w:tr>
        <w:trPr>
          <w:trHeight w:val="20"/>
        </w:trPr>
        <w:tc>
          <w:tcPr>
            <w:tcW w:w="1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20"/>
            <w:shd w:val="clear" w:color="auto" w:fill="0000EE"/>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30"/>
          </w:tcPr>
          <w:p>
            <w:pPr>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Agreement (incorporated by reference to Exhibit 10.3 to Honeywell’s Form 10-Q for the quarter ended June</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460" w:type="dxa"/>
            <w:vAlign w:val="bottom"/>
            <w:gridSpan w:val="4"/>
          </w:tcPr>
          <w:p>
            <w:pPr>
              <w:ind w:left="180"/>
              <w:spacing w:after="0" w:line="196" w:lineRule="exact"/>
              <w:rPr>
                <w:rFonts w:ascii="Arial" w:cs="Arial" w:eastAsia="Arial" w:hAnsi="Arial"/>
                <w:sz w:val="19"/>
                <w:szCs w:val="19"/>
                <w:color w:val="0000EE"/>
              </w:rPr>
            </w:pPr>
            <w:hyperlink r:id="rId223">
              <w:r>
                <w:rPr>
                  <w:rFonts w:ascii="Arial" w:cs="Arial" w:eastAsia="Arial" w:hAnsi="Arial"/>
                  <w:sz w:val="19"/>
                  <w:szCs w:val="19"/>
                  <w:color w:val="0000EE"/>
                </w:rPr>
                <w:t>30, 2016)</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92"/>
        </w:trPr>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3440" w:type="dxa"/>
            <w:vAlign w:val="bottom"/>
            <w:gridSpan w:val="5"/>
          </w:tcPr>
          <w:p>
            <w:pPr>
              <w:jc w:val="right"/>
              <w:ind w:right="441"/>
              <w:spacing w:after="0"/>
              <w:rPr>
                <w:sz w:val="20"/>
                <w:szCs w:val="20"/>
                <w:color w:val="auto"/>
              </w:rPr>
            </w:pPr>
            <w:r>
              <w:rPr>
                <w:rFonts w:ascii="Arial" w:cs="Arial" w:eastAsia="Arial" w:hAnsi="Arial"/>
                <w:sz w:val="19"/>
                <w:szCs w:val="19"/>
                <w:color w:val="auto"/>
              </w:rPr>
              <w:t>100</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24"/>
          </w:tcPr>
          <w:p>
            <w:pPr>
              <w:ind w:left="186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10.72*</w:t>
            </w:r>
          </w:p>
        </w:tc>
        <w:tc>
          <w:tcPr>
            <w:tcW w:w="9460" w:type="dxa"/>
            <w:vAlign w:val="bottom"/>
            <w:gridSpan w:val="28"/>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2016 Stock Incentive Plan of Honeywell International Inc. and its Affiliates—Form of Growth Plan Agreement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60" w:type="dxa"/>
            <w:vAlign w:val="bottom"/>
            <w:tcBorders>
              <w:top w:val="single" w:sz="8" w:color="0000EE"/>
              <w:bottom w:val="single" w:sz="8" w:color="0000EE"/>
            </w:tcBorders>
            <w:gridSpan w:val="20"/>
          </w:tcPr>
          <w:p>
            <w:pPr>
              <w:spacing w:after="0" w:line="196" w:lineRule="exact"/>
              <w:rPr>
                <w:rFonts w:ascii="Arial" w:cs="Arial" w:eastAsia="Arial" w:hAnsi="Arial"/>
                <w:sz w:val="19"/>
                <w:szCs w:val="19"/>
                <w:color w:val="0000EE"/>
              </w:rPr>
            </w:pPr>
            <w:hyperlink r:id="rId226">
              <w:r>
                <w:rPr>
                  <w:rFonts w:ascii="Arial" w:cs="Arial" w:eastAsia="Arial" w:hAnsi="Arial"/>
                  <w:sz w:val="19"/>
                  <w:szCs w:val="19"/>
                  <w:color w:val="0000EE"/>
                </w:rPr>
                <w:t>(incorporated by reference to Exhibit 10.4 to Honeywell’s Form 10-Q for the quarter ended June 30, 2016)</w:t>
              </w:r>
            </w:hyperlink>
          </w:p>
        </w:tc>
        <w:tc>
          <w:tcPr>
            <w:tcW w:w="40" w:type="dxa"/>
            <w:vAlign w:val="bottom"/>
            <w:tcBorders>
              <w:top w:val="single" w:sz="8" w:color="0000EE"/>
            </w:tcBorders>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10.73*</w:t>
            </w:r>
          </w:p>
        </w:tc>
        <w:tc>
          <w:tcPr>
            <w:tcW w:w="9460" w:type="dxa"/>
            <w:vAlign w:val="bottom"/>
            <w:gridSpan w:val="28"/>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2016 Stock Plan for Non-Employee Directors (incorporated by reference to Honeywell’s Proxy Statement,</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40" w:type="dxa"/>
            <w:vAlign w:val="bottom"/>
            <w:tcBorders>
              <w:top w:val="single" w:sz="8" w:color="0000EE"/>
            </w:tcBorders>
            <w:gridSpan w:val="12"/>
          </w:tcPr>
          <w:p>
            <w:pPr>
              <w:spacing w:after="0" w:line="196" w:lineRule="exact"/>
              <w:rPr>
                <w:rFonts w:ascii="Arial" w:cs="Arial" w:eastAsia="Arial" w:hAnsi="Arial"/>
                <w:sz w:val="19"/>
                <w:szCs w:val="19"/>
                <w:color w:val="0000EE"/>
              </w:rPr>
            </w:pPr>
            <w:hyperlink r:id="rId220">
              <w:r>
                <w:rPr>
                  <w:rFonts w:ascii="Arial" w:cs="Arial" w:eastAsia="Arial" w:hAnsi="Arial"/>
                  <w:sz w:val="19"/>
                  <w:szCs w:val="19"/>
                  <w:color w:val="0000EE"/>
                </w:rPr>
                <w:t>dated March 10, 2016, filed pursuant to Rule 14a-6 of the Securities Exchange Act of 1934)</w:t>
              </w:r>
            </w:hyperlink>
          </w:p>
        </w:tc>
        <w:tc>
          <w:tcPr>
            <w:tcW w:w="440" w:type="dxa"/>
            <w:vAlign w:val="bottom"/>
            <w:gridSpan w:val="15"/>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10.74*</w:t>
            </w:r>
          </w:p>
        </w:tc>
        <w:tc>
          <w:tcPr>
            <w:tcW w:w="9460" w:type="dxa"/>
            <w:vAlign w:val="bottom"/>
            <w:gridSpan w:val="28"/>
          </w:tcPr>
          <w:p>
            <w:pPr>
              <w:spacing w:after="0" w:line="196" w:lineRule="exact"/>
              <w:rPr>
                <w:rFonts w:ascii="Arial" w:cs="Arial" w:eastAsia="Arial" w:hAnsi="Arial"/>
                <w:sz w:val="19"/>
                <w:szCs w:val="19"/>
                <w:color w:val="0000EE"/>
              </w:rPr>
            </w:pPr>
            <w:hyperlink w:anchor="page106">
              <w:r>
                <w:rPr>
                  <w:rFonts w:ascii="Arial" w:cs="Arial" w:eastAsia="Arial" w:hAnsi="Arial"/>
                  <w:sz w:val="19"/>
                  <w:szCs w:val="19"/>
                  <w:color w:val="0000EE"/>
                </w:rPr>
                <w:t>2016 Stock Plan for Non-Employee Directors of Honeywell International Inc.—Form of Stock Option Award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40" w:type="dxa"/>
            <w:vAlign w:val="bottom"/>
            <w:tcBorders>
              <w:top w:val="single" w:sz="8" w:color="0000EE"/>
            </w:tcBorders>
            <w:gridSpan w:val="16"/>
          </w:tcPr>
          <w:p>
            <w:pPr>
              <w:spacing w:after="0" w:line="196" w:lineRule="exact"/>
              <w:rPr>
                <w:rFonts w:ascii="Arial" w:cs="Arial" w:eastAsia="Arial" w:hAnsi="Arial"/>
                <w:sz w:val="19"/>
                <w:szCs w:val="19"/>
                <w:color w:val="0000EE"/>
              </w:rPr>
            </w:pPr>
            <w:hyperlink w:anchor="page106">
              <w:r>
                <w:rPr>
                  <w:rFonts w:ascii="Arial" w:cs="Arial" w:eastAsia="Arial" w:hAnsi="Arial"/>
                  <w:sz w:val="19"/>
                  <w:szCs w:val="19"/>
                  <w:color w:val="0000EE"/>
                </w:rPr>
                <w:t>Agreement (filed herewith)</w:t>
              </w:r>
            </w:hyperlink>
          </w:p>
        </w:tc>
        <w:tc>
          <w:tcPr>
            <w:tcW w:w="340" w:type="dxa"/>
            <w:vAlign w:val="bottom"/>
            <w:gridSpan w:val="11"/>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10.75*</w:t>
            </w:r>
          </w:p>
        </w:tc>
        <w:tc>
          <w:tcPr>
            <w:tcW w:w="870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227">
              <w:r>
                <w:rPr>
                  <w:rFonts w:ascii="Arial" w:cs="Arial" w:eastAsia="Arial" w:hAnsi="Arial"/>
                  <w:sz w:val="19"/>
                  <w:szCs w:val="19"/>
                  <w:color w:val="0000EE"/>
                </w:rPr>
                <w:t>2016 Stock Plan for Non-Employee Directors of Honeywell International Inc.—Form of Restricted Unit</w:t>
              </w:r>
            </w:hyperlink>
          </w:p>
        </w:tc>
        <w:tc>
          <w:tcPr>
            <w:tcW w:w="760" w:type="dxa"/>
            <w:vAlign w:val="bottom"/>
            <w:gridSpan w:val="1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tcBorders>
              <w:bottom w:val="single" w:sz="8" w:color="0000EE"/>
            </w:tcBorders>
            <w:gridSpan w:val="24"/>
          </w:tcPr>
          <w:p>
            <w:pPr>
              <w:spacing w:after="0" w:line="196" w:lineRule="exact"/>
              <w:rPr>
                <w:rFonts w:ascii="Arial" w:cs="Arial" w:eastAsia="Arial" w:hAnsi="Arial"/>
                <w:sz w:val="19"/>
                <w:szCs w:val="19"/>
                <w:color w:val="0000EE"/>
              </w:rPr>
            </w:pPr>
            <w:hyperlink r:id="rId227">
              <w:r>
                <w:rPr>
                  <w:rFonts w:ascii="Arial" w:cs="Arial" w:eastAsia="Arial" w:hAnsi="Arial"/>
                  <w:sz w:val="19"/>
                  <w:szCs w:val="19"/>
                  <w:color w:val="0000EE"/>
                </w:rPr>
                <w:t>Agreement (incorporated by reference to Exhibit 10.6 to Honeywell’s Form 10-Q for the quarter ended June</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000" w:type="dxa"/>
            <w:vAlign w:val="bottom"/>
            <w:gridSpan w:val="2"/>
          </w:tcPr>
          <w:p>
            <w:pPr>
              <w:ind w:left="180"/>
              <w:spacing w:after="0" w:line="196" w:lineRule="exact"/>
              <w:rPr>
                <w:rFonts w:ascii="Arial" w:cs="Arial" w:eastAsia="Arial" w:hAnsi="Arial"/>
                <w:sz w:val="19"/>
                <w:szCs w:val="19"/>
                <w:color w:val="0000EE"/>
                <w:w w:val="99"/>
              </w:rPr>
            </w:pPr>
            <w:hyperlink r:id="rId227">
              <w:r>
                <w:rPr>
                  <w:rFonts w:ascii="Arial" w:cs="Arial" w:eastAsia="Arial" w:hAnsi="Arial"/>
                  <w:sz w:val="19"/>
                  <w:szCs w:val="19"/>
                  <w:color w:val="0000EE"/>
                  <w:w w:val="99"/>
                </w:rPr>
                <w:t>30, 2016)</w:t>
              </w:r>
            </w:hyperlink>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10.76*</w:t>
            </w:r>
          </w:p>
        </w:tc>
        <w:tc>
          <w:tcPr>
            <w:tcW w:w="690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w:anchor="page111">
              <w:r>
                <w:rPr>
                  <w:rFonts w:ascii="Arial" w:cs="Arial" w:eastAsia="Arial" w:hAnsi="Arial"/>
                  <w:sz w:val="19"/>
                  <w:szCs w:val="19"/>
                  <w:color w:val="0000EE"/>
                </w:rPr>
                <w:t>UOP LLC Supplemental Pension Plan, as amended and restated (filed herewith)</w:t>
              </w:r>
            </w:hyperlink>
          </w:p>
        </w:tc>
        <w:tc>
          <w:tcPr>
            <w:tcW w:w="2560" w:type="dxa"/>
            <w:vAlign w:val="bottom"/>
            <w:gridSpan w:val="23"/>
          </w:tcPr>
          <w:p>
            <w:pPr>
              <w:spacing w:after="0"/>
              <w:rPr>
                <w:sz w:val="17"/>
                <w:szCs w:val="17"/>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10.77</w:t>
            </w:r>
          </w:p>
        </w:tc>
        <w:tc>
          <w:tcPr>
            <w:tcW w:w="9460" w:type="dxa"/>
            <w:vAlign w:val="bottom"/>
            <w:gridSpan w:val="28"/>
          </w:tcPr>
          <w:p>
            <w:pPr>
              <w:spacing w:after="0"/>
              <w:rPr>
                <w:rFonts w:ascii="Arial" w:cs="Arial" w:eastAsia="Arial" w:hAnsi="Arial"/>
                <w:sz w:val="19"/>
                <w:szCs w:val="19"/>
                <w:color w:val="0000EE"/>
              </w:rPr>
            </w:pPr>
            <w:hyperlink r:id="rId228">
              <w:r>
                <w:rPr>
                  <w:rFonts w:ascii="Arial" w:cs="Arial" w:eastAsia="Arial" w:hAnsi="Arial"/>
                  <w:sz w:val="19"/>
                  <w:szCs w:val="19"/>
                  <w:color w:val="0000EE"/>
                </w:rPr>
                <w:t>Amended and Restated Five Year Credit Agreement dated as of July 10, 2015 among Honeywell International</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20" w:type="dxa"/>
            <w:vAlign w:val="bottom"/>
            <w:tcBorders>
              <w:top w:val="single" w:sz="8" w:color="0000EE"/>
            </w:tcBorders>
            <w:gridSpan w:val="25"/>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Inc., the banks, financial institutions and other institutional lenders parties thereto, Citibank, N.A., as</w:t>
              </w:r>
            </w:hyperlink>
          </w:p>
        </w:tc>
        <w:tc>
          <w:tcPr>
            <w:tcW w:w="60" w:type="dxa"/>
            <w:vAlign w:val="bottom"/>
            <w:gridSpan w:val="2"/>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0" w:type="dxa"/>
            <w:vAlign w:val="bottom"/>
            <w:tcBorders>
              <w:bottom w:val="single" w:sz="8" w:color="0000EE"/>
            </w:tcBorders>
            <w:gridSpan w:val="18"/>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administrative agent, Citibank International Limited, as swing line agent, JPMorgan Chase Bank, N.A., as</w:t>
              </w:r>
            </w:hyperlink>
          </w:p>
        </w:tc>
        <w:tc>
          <w:tcPr>
            <w:tcW w:w="28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bottom w:val="single" w:sz="8" w:color="0000EE"/>
            </w:tcBorders>
            <w:gridSpan w:val="14"/>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syndication agent, Bank of America, N.A., Barclays Bank PLC, Deutsche Bank Securities Inc., Goldman</w:t>
              </w:r>
            </w:hyperlink>
          </w:p>
        </w:tc>
        <w:tc>
          <w:tcPr>
            <w:tcW w:w="38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7"/>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Sachs Bank USA, Morgan Stanley MUFG Loan Partners, LLC and Wells Fargo Bank, National Association,</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80" w:type="dxa"/>
            <w:vAlign w:val="bottom"/>
            <w:tcBorders>
              <w:top w:val="single" w:sz="8" w:color="0000EE"/>
            </w:tcBorders>
            <w:gridSpan w:val="23"/>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as documentation agents, and Citigroup Global Markets Inc., and J.P. Morgan Securities LLC, as joint lead</w:t>
              </w:r>
            </w:hyperlink>
          </w:p>
        </w:tc>
        <w:tc>
          <w:tcPr>
            <w:tcW w:w="10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00" w:type="dxa"/>
            <w:vAlign w:val="bottom"/>
            <w:tcBorders>
              <w:top w:val="single" w:sz="8" w:color="0000EE"/>
            </w:tcBorders>
            <w:gridSpan w:val="21"/>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arrangers and co-book managers (incorporated by reference to Exhibit 10.1 to Honeywell’s Form 8-K filed</w:t>
              </w:r>
            </w:hyperlink>
          </w:p>
        </w:tc>
        <w:tc>
          <w:tcPr>
            <w:tcW w:w="18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top w:val="single" w:sz="8" w:color="0000EE"/>
            </w:tcBorders>
            <w:gridSpan w:val="19"/>
          </w:tcPr>
          <w:p>
            <w:pPr>
              <w:spacing w:after="0" w:line="196" w:lineRule="exact"/>
              <w:rPr>
                <w:rFonts w:ascii="Arial" w:cs="Arial" w:eastAsia="Arial" w:hAnsi="Arial"/>
                <w:sz w:val="19"/>
                <w:szCs w:val="19"/>
                <w:color w:val="0000EE"/>
              </w:rPr>
            </w:pPr>
            <w:hyperlink r:id="rId228">
              <w:r>
                <w:rPr>
                  <w:rFonts w:ascii="Arial" w:cs="Arial" w:eastAsia="Arial" w:hAnsi="Arial"/>
                  <w:sz w:val="19"/>
                  <w:szCs w:val="19"/>
                  <w:color w:val="0000EE"/>
                </w:rPr>
                <w:t>July 10, 2015)</w:t>
              </w:r>
            </w:hyperlink>
          </w:p>
        </w:tc>
        <w:tc>
          <w:tcPr>
            <w:tcW w:w="240" w:type="dxa"/>
            <w:vAlign w:val="bottom"/>
            <w:gridSpan w:val="8"/>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10.78</w:t>
            </w:r>
          </w:p>
        </w:tc>
        <w:tc>
          <w:tcPr>
            <w:tcW w:w="8560" w:type="dxa"/>
            <w:vAlign w:val="bottom"/>
            <w:tcBorders>
              <w:bottom w:val="single" w:sz="8" w:color="0000EE"/>
            </w:tcBorders>
            <w:gridSpan w:val="8"/>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Amendment No. 1, dated as of September 30, 2015, to the Amended and Restated Five Year Credit</w:t>
              </w:r>
            </w:hyperlink>
          </w:p>
        </w:tc>
        <w:tc>
          <w:tcPr>
            <w:tcW w:w="900" w:type="dxa"/>
            <w:vAlign w:val="bottom"/>
            <w:gridSpan w:val="20"/>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7"/>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Agreement dated as of July 10, 2015 among Honeywell International Inc., the banks, financial institutions</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40" w:type="dxa"/>
            <w:vAlign w:val="bottom"/>
            <w:gridSpan w:val="5"/>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7"/>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and other institutional lenders parties thereto, Citibank, N.A., as administrative agent, Citibank International</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top w:val="single" w:sz="8" w:color="0000EE"/>
            </w:tcBorders>
            <w:gridSpan w:val="22"/>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Limited, as swing line agent, JPMorgan Chase Bank, N.A., as syndication agent, Bank of America, N.A.,</w:t>
              </w:r>
            </w:hyperlink>
          </w:p>
        </w:tc>
        <w:tc>
          <w:tcPr>
            <w:tcW w:w="140" w:type="dxa"/>
            <w:vAlign w:val="bottom"/>
            <w:gridSpan w:val="5"/>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00" w:type="dxa"/>
            <w:vAlign w:val="bottom"/>
            <w:tcBorders>
              <w:top w:val="single" w:sz="8" w:color="0000EE"/>
            </w:tcBorders>
            <w:gridSpan w:val="14"/>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Barclays Bank PLC, Deutsche Bank Securities Inc., Goldman Sachs Bank USA, Morgan Stanley MUFG</w:t>
              </w:r>
            </w:hyperlink>
          </w:p>
        </w:tc>
        <w:tc>
          <w:tcPr>
            <w:tcW w:w="380" w:type="dxa"/>
            <w:vAlign w:val="bottom"/>
            <w:gridSpan w:val="13"/>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40" w:type="dxa"/>
            <w:vAlign w:val="bottom"/>
            <w:gridSpan w:val="5"/>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4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Loan Partners, LLC and Wells Fargo Bank, National Association, as documentation agents, and Citigroup</w:t>
              </w:r>
            </w:hyperlink>
          </w:p>
        </w:tc>
        <w:tc>
          <w:tcPr>
            <w:tcW w:w="24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tcBorders>
              <w:bottom w:val="single" w:sz="8" w:color="0000EE"/>
            </w:tcBorders>
            <w:gridSpan w:val="8"/>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Global Markets Inc. and J.P. Morgan Securities LLC, as joint lead arrangers and co-book managers</w:t>
              </w:r>
            </w:hyperlink>
          </w:p>
        </w:tc>
        <w:tc>
          <w:tcPr>
            <w:tcW w:w="760" w:type="dxa"/>
            <w:vAlign w:val="bottom"/>
            <w:gridSpan w:val="1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tcBorders>
              <w:bottom w:val="single" w:sz="8" w:color="0000EE"/>
            </w:tcBorders>
            <w:gridSpan w:val="5"/>
          </w:tcPr>
          <w:p>
            <w:pPr>
              <w:spacing w:after="0" w:line="196" w:lineRule="exact"/>
              <w:rPr>
                <w:rFonts w:ascii="Arial" w:cs="Arial" w:eastAsia="Arial" w:hAnsi="Arial"/>
                <w:sz w:val="19"/>
                <w:szCs w:val="19"/>
                <w:color w:val="0000EE"/>
              </w:rPr>
            </w:pPr>
            <w:hyperlink r:id="rId229">
              <w:r>
                <w:rPr>
                  <w:rFonts w:ascii="Arial" w:cs="Arial" w:eastAsia="Arial" w:hAnsi="Arial"/>
                  <w:sz w:val="19"/>
                  <w:szCs w:val="19"/>
                  <w:color w:val="0000EE"/>
                </w:rPr>
                <w:t>(incorporated by reference to Exhibit 10.1 to Honeywell’s Form 8-K filed October 1, 2015)</w:t>
              </w:r>
            </w:hyperlink>
          </w:p>
        </w:tc>
        <w:tc>
          <w:tcPr>
            <w:tcW w:w="1640" w:type="dxa"/>
            <w:vAlign w:val="bottom"/>
            <w:gridSpan w:val="22"/>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10.79</w:t>
            </w:r>
          </w:p>
        </w:tc>
        <w:tc>
          <w:tcPr>
            <w:tcW w:w="900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Amendment No. 2, dated as of April 29, 2016, to the Amended and Restated Five Year Credit Agreement</w:t>
              </w:r>
            </w:hyperlink>
          </w:p>
        </w:tc>
        <w:tc>
          <w:tcPr>
            <w:tcW w:w="460" w:type="dxa"/>
            <w:vAlign w:val="bottom"/>
            <w:gridSpan w:val="1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10"/>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dated as of July 10, 2015, as amended by Amendment No. 1 dated as of September 30, 2015, among</w:t>
              </w:r>
            </w:hyperlink>
          </w:p>
        </w:tc>
        <w:tc>
          <w:tcPr>
            <w:tcW w:w="540" w:type="dxa"/>
            <w:vAlign w:val="bottom"/>
            <w:gridSpan w:val="1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7"/>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Honeywell International Inc., the banks, financial institutions and other institutional lenders parties thereto,</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9"/>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bottom w:val="single" w:sz="8" w:color="0000EE"/>
            </w:tcBorders>
            <w:gridSpan w:val="26"/>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Citibank, N.A., as administrative agent, Citibank International Limited, as swing line agent, JPMorgan Chase</w:t>
              </w:r>
            </w:hyperlink>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92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Bank, N.A., as syndication agent, Bank of America, N.A., Barclays Bank PLC, Deutsche Bank Securities</w:t>
              </w:r>
            </w:hyperlink>
          </w:p>
        </w:tc>
        <w:tc>
          <w:tcPr>
            <w:tcW w:w="36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80" w:type="dxa"/>
            <w:vAlign w:val="bottom"/>
            <w:tcBorders>
              <w:bottom w:val="single" w:sz="8" w:color="0000EE"/>
            </w:tcBorders>
            <w:gridSpan w:val="9"/>
          </w:tcPr>
          <w:p>
            <w:pPr>
              <w:spacing w:after="0" w:line="196" w:lineRule="exact"/>
              <w:rPr>
                <w:rFonts w:ascii="Arial" w:cs="Arial" w:eastAsia="Arial" w:hAnsi="Arial"/>
                <w:sz w:val="19"/>
                <w:szCs w:val="19"/>
                <w:color w:val="0000EE"/>
              </w:rPr>
            </w:pPr>
            <w:hyperlink r:id="rId230">
              <w:r>
                <w:rPr>
                  <w:rFonts w:ascii="Arial" w:cs="Arial" w:eastAsia="Arial" w:hAnsi="Arial"/>
                  <w:sz w:val="19"/>
                  <w:szCs w:val="19"/>
                  <w:color w:val="0000EE"/>
                </w:rPr>
                <w:t>Inc., Goldman Sachs Bank USA, Morgan Stanley MUFG Loan Partners, LLC and Wells Fargo Bank,</w:t>
              </w:r>
            </w:hyperlink>
          </w:p>
        </w:tc>
        <w:tc>
          <w:tcPr>
            <w:tcW w:w="700" w:type="dxa"/>
            <w:vAlign w:val="bottom"/>
            <w:gridSpan w:val="18"/>
          </w:tcPr>
          <w:p>
            <w:pPr>
              <w:spacing w:after="0"/>
              <w:rPr>
                <w:sz w:val="17"/>
                <w:szCs w:val="17"/>
                <w:color w:val="auto"/>
              </w:rPr>
            </w:pPr>
          </w:p>
        </w:tc>
      </w:tr>
    </w:tbl>
    <w:p>
      <w:pPr>
        <w:spacing w:after="0" w:line="14" w:lineRule="exact"/>
        <w:rPr>
          <w:sz w:val="20"/>
          <w:szCs w:val="20"/>
          <w:color w:val="auto"/>
        </w:rPr>
      </w:pPr>
    </w:p>
    <w:p>
      <w:pPr>
        <w:ind w:left="2140" w:right="140"/>
        <w:spacing w:after="0" w:line="245" w:lineRule="auto"/>
        <w:rPr>
          <w:rFonts w:ascii="Arial" w:cs="Arial" w:eastAsia="Arial" w:hAnsi="Arial"/>
          <w:sz w:val="19"/>
          <w:szCs w:val="19"/>
          <w:u w:val="single" w:color="auto"/>
          <w:color w:val="0000EE"/>
        </w:rPr>
      </w:pPr>
      <w:hyperlink r:id="rId230">
        <w:r>
          <w:rPr>
            <w:rFonts w:ascii="Arial" w:cs="Arial" w:eastAsia="Arial" w:hAnsi="Arial"/>
            <w:sz w:val="19"/>
            <w:szCs w:val="19"/>
            <w:u w:val="single" w:color="auto"/>
            <w:color w:val="0000EE"/>
          </w:rPr>
          <w:t>National Association, as documentation agents, and Citigroup Global Markets Inc. and J.P. Morgan</w:t>
        </w:r>
      </w:hyperlink>
      <w:r>
        <w:rPr>
          <w:rFonts w:ascii="Arial" w:cs="Arial" w:eastAsia="Arial" w:hAnsi="Arial"/>
          <w:sz w:val="19"/>
          <w:szCs w:val="19"/>
          <w:u w:val="single" w:color="auto"/>
          <w:color w:val="0000EE"/>
        </w:rPr>
        <w:t xml:space="preserve"> </w:t>
      </w:r>
      <w:hyperlink r:id="rId230">
        <w:r>
          <w:rPr>
            <w:rFonts w:ascii="Arial" w:cs="Arial" w:eastAsia="Arial" w:hAnsi="Arial"/>
            <w:sz w:val="19"/>
            <w:szCs w:val="19"/>
            <w:u w:val="single" w:color="auto"/>
            <w:color w:val="0000EE"/>
          </w:rPr>
          <w:t>Securities LLC, as joint lead arrangers and co-book managers (incorporated by reference to Exhibit 10.2 to</w:t>
        </w:r>
      </w:hyperlink>
      <w:r>
        <w:rPr>
          <w:rFonts w:ascii="Arial" w:cs="Arial" w:eastAsia="Arial" w:hAnsi="Arial"/>
          <w:sz w:val="19"/>
          <w:szCs w:val="19"/>
          <w:u w:val="single" w:color="auto"/>
          <w:color w:val="0000EE"/>
        </w:rPr>
        <w:t xml:space="preserve"> </w:t>
      </w:r>
      <w:hyperlink r:id="rId230">
        <w:r>
          <w:rPr>
            <w:rFonts w:ascii="Arial" w:cs="Arial" w:eastAsia="Arial" w:hAnsi="Arial"/>
            <w:sz w:val="19"/>
            <w:szCs w:val="19"/>
            <w:u w:val="single" w:color="auto"/>
            <w:color w:val="0000EE"/>
          </w:rPr>
          <w:t>Honeywell’s Form 8-K filed April 29, 2016)</w:t>
        </w:r>
      </w:hyperlink>
    </w:p>
    <w:p>
      <w:pPr>
        <w:spacing w:after="0" w:line="330" w:lineRule="exact"/>
        <w:rPr>
          <w:rFonts w:ascii="Arial" w:cs="Arial" w:eastAsia="Arial" w:hAnsi="Arial"/>
          <w:sz w:val="19"/>
          <w:szCs w:val="19"/>
          <w:u w:val="single" w:color="auto"/>
          <w:color w:val="0000EE"/>
        </w:rPr>
      </w:pPr>
    </w:p>
    <w:p>
      <w:pPr>
        <w:jc w:val="center"/>
        <w:spacing w:after="0"/>
        <w:rPr>
          <w:sz w:val="20"/>
          <w:szCs w:val="20"/>
          <w:color w:val="auto"/>
        </w:rPr>
      </w:pPr>
      <w:r>
        <w:rPr>
          <w:rFonts w:ascii="Arial" w:cs="Arial" w:eastAsia="Arial" w:hAnsi="Arial"/>
          <w:sz w:val="19"/>
          <w:szCs w:val="19"/>
          <w:color w:val="auto"/>
        </w:rPr>
        <w:t>101</w:t>
      </w:r>
    </w:p>
    <w:p>
      <w:pPr>
        <w:spacing w:after="0" w:line="20" w:lineRule="exact"/>
        <w:rPr>
          <w:rFonts w:ascii="Arial" w:cs="Arial" w:eastAsia="Arial" w:hAnsi="Arial"/>
          <w:sz w:val="19"/>
          <w:szCs w:val="19"/>
          <w:u w:val="single" w:color="auto"/>
          <w:color w:val="0000EE"/>
        </w:rPr>
      </w:pPr>
      <w:r>
        <w:rPr>
          <w:rFonts w:ascii="Arial" w:cs="Arial" w:eastAsia="Arial" w:hAnsi="Arial"/>
          <w:sz w:val="19"/>
          <w:szCs w:val="19"/>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20"/>
          </w:tcPr>
          <w:p>
            <w:pPr>
              <w:ind w:left="80"/>
              <w:spacing w:after="0"/>
              <w:rPr>
                <w:sz w:val="20"/>
                <w:szCs w:val="20"/>
                <w:color w:val="auto"/>
              </w:rPr>
            </w:pPr>
            <w:r>
              <w:rPr>
                <w:rFonts w:ascii="Arial" w:cs="Arial" w:eastAsia="Arial" w:hAnsi="Arial"/>
                <w:sz w:val="16"/>
                <w:szCs w:val="16"/>
                <w:b w:val="1"/>
                <w:bCs w:val="1"/>
                <w:color w:val="auto"/>
              </w:rPr>
              <w:t>Description</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10.80</w:t>
            </w:r>
          </w:p>
        </w:tc>
        <w:tc>
          <w:tcPr>
            <w:tcW w:w="9000" w:type="dxa"/>
            <w:vAlign w:val="bottom"/>
            <w:tcBorders>
              <w:bottom w:val="single" w:sz="8" w:color="0000EE"/>
            </w:tcBorders>
            <w:gridSpan w:val="17"/>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Amendment No. 3, dated as of April 28, 2017, to the Amended and Restated Five Year Credit Agreement</w:t>
              </w:r>
            </w:hyperlink>
          </w:p>
        </w:tc>
        <w:tc>
          <w:tcPr>
            <w:tcW w:w="46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bottom w:val="single" w:sz="8" w:color="0000EE"/>
            </w:tcBorders>
            <w:gridSpan w:val="15"/>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dated as of July 10, 2015, as amended by Amendment No. 1 dated as of September 30, 2015 and that</w:t>
              </w:r>
            </w:hyperlink>
          </w:p>
        </w:tc>
        <w:tc>
          <w:tcPr>
            <w:tcW w:w="48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certain Amendment No. 2 dated as of April 29, 2016, among Honeywell International Inc., the banks,</w:t>
              </w:r>
            </w:hyperlink>
          </w:p>
        </w:tc>
        <w:tc>
          <w:tcPr>
            <w:tcW w:w="680" w:type="dxa"/>
            <w:vAlign w:val="bottom"/>
            <w:gridSpan w:val="1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financial institutions and other institutional lenders parties thereto, Citibank, N.A., as administrative agent,</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Citibank International Limited, as swing line agent, JPMorgan Chase Bank, N.A., as syndication agent, Bank</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EE"/>
              <w:bottom w:val="single" w:sz="8" w:color="0000EE"/>
            </w:tcBorders>
            <w:gridSpan w:val="21"/>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of America, N.A., Barclays Bank PLC, Deutsche Bank Securities Inc., Goldman Sachs Bank USA, Morgan</w:t>
              </w:r>
            </w:hyperlink>
          </w:p>
        </w:tc>
        <w:tc>
          <w:tcPr>
            <w:tcW w:w="1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tcBorders>
              <w:bottom w:val="single" w:sz="8" w:color="0000EE"/>
            </w:tcBorders>
            <w:gridSpan w:val="22"/>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Stanley MUFG Loan Partners, LLC and Wells Fargo Bank, National Association, as documentation agents,</w:t>
              </w:r>
            </w:hyperlink>
          </w:p>
        </w:tc>
        <w:tc>
          <w:tcPr>
            <w:tcW w:w="12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and Citigroup Global Markets Inc. and J.P. Morgan Securities LLC, as joint lead arrangers and co-book</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60" w:type="dxa"/>
            <w:vAlign w:val="bottom"/>
            <w:tcBorders>
              <w:top w:val="single" w:sz="8" w:color="0000EE"/>
              <w:bottom w:val="single" w:sz="8" w:color="0000EE"/>
            </w:tcBorders>
            <w:gridSpan w:val="9"/>
          </w:tcPr>
          <w:p>
            <w:pPr>
              <w:spacing w:after="0" w:line="196" w:lineRule="exact"/>
              <w:rPr>
                <w:rFonts w:ascii="Arial" w:cs="Arial" w:eastAsia="Arial" w:hAnsi="Arial"/>
                <w:sz w:val="19"/>
                <w:szCs w:val="19"/>
                <w:color w:val="0000EE"/>
              </w:rPr>
            </w:pPr>
            <w:hyperlink r:id="rId232">
              <w:r>
                <w:rPr>
                  <w:rFonts w:ascii="Arial" w:cs="Arial" w:eastAsia="Arial" w:hAnsi="Arial"/>
                  <w:sz w:val="19"/>
                  <w:szCs w:val="19"/>
                  <w:color w:val="0000EE"/>
                </w:rPr>
                <w:t>managers (incorporated by reference to Exhibit 10.2 to Honeywell’s Form 8-K filed April 28, 2017)</w:t>
              </w:r>
            </w:hyperlink>
          </w:p>
        </w:tc>
        <w:tc>
          <w:tcPr>
            <w:tcW w:w="420" w:type="dxa"/>
            <w:vAlign w:val="bottom"/>
            <w:tcBorders>
              <w:top w:val="single" w:sz="8" w:color="0000EE"/>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10.81</w:t>
            </w:r>
          </w:p>
        </w:tc>
        <w:tc>
          <w:tcPr>
            <w:tcW w:w="8760" w:type="dxa"/>
            <w:vAlign w:val="bottom"/>
            <w:tcBorders>
              <w:bottom w:val="single" w:sz="8" w:color="0000EE"/>
            </w:tcBorders>
            <w:gridSpan w:val="12"/>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364-Day Credit Agreement, dated as of April 28, 2017, among Honeywell International Inc., the banks,</w:t>
              </w:r>
            </w:hyperlink>
          </w:p>
        </w:tc>
        <w:tc>
          <w:tcPr>
            <w:tcW w:w="700" w:type="dxa"/>
            <w:vAlign w:val="bottom"/>
            <w:gridSpan w:val="1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financial institutions and other institutional lenders parties thereto, Citibank, N.A., as administrative agent,</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JPMorgan Chase Bank, N.A., as syndication agent, Bank of America, N.A., Barclays Bank PLC, Deutsche</w:t>
              </w:r>
            </w:hyperlink>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60" w:type="dxa"/>
            <w:vAlign w:val="bottom"/>
            <w:tcBorders>
              <w:top w:val="single" w:sz="8" w:color="0000EE"/>
            </w:tcBorders>
            <w:gridSpan w:val="20"/>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Bank Securities Inc., Goldman Sachs Bank USA, Morgan Stanley MUFG Loan Partners, LLC and Wells</w:t>
              </w:r>
            </w:hyperlink>
          </w:p>
        </w:tc>
        <w:tc>
          <w:tcPr>
            <w:tcW w:w="22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10"/>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Fargo Bank, National Association, as documentation agents, and Citigroup Global Markets Inc. and</w:t>
              </w:r>
            </w:hyperlink>
          </w:p>
        </w:tc>
        <w:tc>
          <w:tcPr>
            <w:tcW w:w="360" w:type="dxa"/>
            <w:vAlign w:val="bottom"/>
            <w:tcBorders>
              <w:top w:val="single" w:sz="8" w:color="0000EE"/>
            </w:tcBorders>
            <w:gridSpan w:val="7"/>
          </w:tcPr>
          <w:p>
            <w:pPr>
              <w:spacing w:after="0"/>
              <w:rPr>
                <w:sz w:val="17"/>
                <w:szCs w:val="17"/>
                <w:color w:val="auto"/>
              </w:rPr>
            </w:pPr>
          </w:p>
        </w:tc>
        <w:tc>
          <w:tcPr>
            <w:tcW w:w="420" w:type="dxa"/>
            <w:vAlign w:val="bottom"/>
            <w:gridSpan w:val="7"/>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JPMorgan Chase Bank, N.A., as joint lead arrangers and co-book managers (incorporated by reference to</w:t>
              </w:r>
            </w:hyperlink>
          </w:p>
        </w:tc>
        <w:tc>
          <w:tcPr>
            <w:tcW w:w="20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00" w:type="dxa"/>
            <w:vAlign w:val="bottom"/>
            <w:tcBorders>
              <w:bottom w:val="single" w:sz="8" w:color="0000EE"/>
            </w:tcBorders>
            <w:gridSpan w:val="6"/>
          </w:tcPr>
          <w:p>
            <w:pPr>
              <w:spacing w:after="0" w:line="196" w:lineRule="exact"/>
              <w:rPr>
                <w:rFonts w:ascii="Arial" w:cs="Arial" w:eastAsia="Arial" w:hAnsi="Arial"/>
                <w:sz w:val="19"/>
                <w:szCs w:val="19"/>
                <w:color w:val="0000EE"/>
              </w:rPr>
            </w:pPr>
            <w:hyperlink r:id="rId233">
              <w:r>
                <w:rPr>
                  <w:rFonts w:ascii="Arial" w:cs="Arial" w:eastAsia="Arial" w:hAnsi="Arial"/>
                  <w:sz w:val="19"/>
                  <w:szCs w:val="19"/>
                  <w:color w:val="0000EE"/>
                </w:rPr>
                <w:t>Exhibit 10.1 to Honeywell’s Form 8-K filed April 28, 2017)</w:t>
              </w:r>
            </w:hyperlink>
          </w:p>
        </w:tc>
        <w:tc>
          <w:tcPr>
            <w:tcW w:w="4380" w:type="dxa"/>
            <w:vAlign w:val="bottom"/>
            <w:gridSpan w:val="18"/>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12</w:t>
            </w:r>
          </w:p>
        </w:tc>
        <w:tc>
          <w:tcPr>
            <w:tcW w:w="9460" w:type="dxa"/>
            <w:vAlign w:val="bottom"/>
            <w:gridSpan w:val="25"/>
          </w:tcPr>
          <w:p>
            <w:pPr>
              <w:spacing w:after="0" w:line="196" w:lineRule="exact"/>
              <w:rPr>
                <w:rFonts w:ascii="Arial" w:cs="Arial" w:eastAsia="Arial" w:hAnsi="Arial"/>
                <w:sz w:val="19"/>
                <w:szCs w:val="19"/>
                <w:color w:val="0000EE"/>
              </w:rPr>
            </w:pPr>
            <w:hyperlink w:anchor="page117">
              <w:r>
                <w:rPr>
                  <w:rFonts w:ascii="Arial" w:cs="Arial" w:eastAsia="Arial" w:hAnsi="Arial"/>
                  <w:sz w:val="19"/>
                  <w:szCs w:val="19"/>
                  <w:color w:val="0000EE"/>
                </w:rPr>
                <w:t>Statement re: Computation of Ratio of Earnings to Fixed Charges (filed herewith)</w:t>
              </w:r>
            </w:hyperlink>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21</w:t>
            </w:r>
          </w:p>
        </w:tc>
        <w:tc>
          <w:tcPr>
            <w:tcW w:w="3860" w:type="dxa"/>
            <w:vAlign w:val="bottom"/>
            <w:tcBorders>
              <w:top w:val="single" w:sz="8" w:color="0000EE"/>
              <w:bottom w:val="single" w:sz="8" w:color="0000EE"/>
            </w:tcBorders>
            <w:gridSpan w:val="4"/>
          </w:tcPr>
          <w:p>
            <w:pPr>
              <w:spacing w:after="0"/>
              <w:rPr>
                <w:rFonts w:ascii="Arial" w:cs="Arial" w:eastAsia="Arial" w:hAnsi="Arial"/>
                <w:sz w:val="19"/>
                <w:szCs w:val="19"/>
                <w:color w:val="0000EE"/>
              </w:rPr>
            </w:pPr>
            <w:hyperlink w:anchor="page118">
              <w:r>
                <w:rPr>
                  <w:rFonts w:ascii="Arial" w:cs="Arial" w:eastAsia="Arial" w:hAnsi="Arial"/>
                  <w:sz w:val="19"/>
                  <w:szCs w:val="19"/>
                  <w:color w:val="0000EE"/>
                </w:rPr>
                <w:t>Subsidiaries of the Registrant (filed herewith)</w:t>
              </w:r>
            </w:hyperlink>
          </w:p>
        </w:tc>
        <w:tc>
          <w:tcPr>
            <w:tcW w:w="3060" w:type="dxa"/>
            <w:vAlign w:val="bottom"/>
            <w:tcBorders>
              <w:top w:val="single" w:sz="8" w:color="0000EE"/>
            </w:tcBorders>
            <w:gridSpan w:val="5"/>
          </w:tcPr>
          <w:p>
            <w:pPr>
              <w:spacing w:after="0"/>
              <w:rPr>
                <w:sz w:val="19"/>
                <w:szCs w:val="19"/>
                <w:color w:val="auto"/>
              </w:rPr>
            </w:pPr>
          </w:p>
        </w:tc>
        <w:tc>
          <w:tcPr>
            <w:tcW w:w="2540" w:type="dxa"/>
            <w:vAlign w:val="bottom"/>
            <w:gridSpan w:val="16"/>
          </w:tcPr>
          <w:p>
            <w:pPr>
              <w:spacing w:after="0"/>
              <w:rPr>
                <w:sz w:val="19"/>
                <w:szCs w:val="19"/>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23.1</w:t>
            </w:r>
          </w:p>
        </w:tc>
        <w:tc>
          <w:tcPr>
            <w:tcW w:w="9460" w:type="dxa"/>
            <w:vAlign w:val="bottom"/>
            <w:gridSpan w:val="25"/>
          </w:tcPr>
          <w:p>
            <w:pPr>
              <w:spacing w:after="0"/>
              <w:rPr>
                <w:rFonts w:ascii="Arial" w:cs="Arial" w:eastAsia="Arial" w:hAnsi="Arial"/>
                <w:sz w:val="19"/>
                <w:szCs w:val="19"/>
                <w:color w:val="0000EE"/>
              </w:rPr>
            </w:pPr>
            <w:hyperlink w:anchor="page119">
              <w:r>
                <w:rPr>
                  <w:rFonts w:ascii="Arial" w:cs="Arial" w:eastAsia="Arial" w:hAnsi="Arial"/>
                  <w:sz w:val="19"/>
                  <w:szCs w:val="19"/>
                  <w:color w:val="0000EE"/>
                </w:rPr>
                <w:t>Consent of Deloitte &amp; Touche LLP (filed herewith)</w:t>
              </w:r>
            </w:hyperlink>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24</w:t>
            </w:r>
          </w:p>
        </w:tc>
        <w:tc>
          <w:tcPr>
            <w:tcW w:w="2960" w:type="dxa"/>
            <w:vAlign w:val="bottom"/>
            <w:tcBorders>
              <w:top w:val="single" w:sz="8" w:color="0000EE"/>
              <w:bottom w:val="single" w:sz="8" w:color="0000EE"/>
            </w:tcBorders>
            <w:gridSpan w:val="3"/>
          </w:tcPr>
          <w:p>
            <w:pPr>
              <w:spacing w:after="0"/>
              <w:rPr>
                <w:rFonts w:ascii="Arial" w:cs="Arial" w:eastAsia="Arial" w:hAnsi="Arial"/>
                <w:sz w:val="19"/>
                <w:szCs w:val="19"/>
                <w:color w:val="0000EE"/>
              </w:rPr>
            </w:pPr>
            <w:hyperlink w:anchor="page120">
              <w:r>
                <w:rPr>
                  <w:rFonts w:ascii="Arial" w:cs="Arial" w:eastAsia="Arial" w:hAnsi="Arial"/>
                  <w:sz w:val="19"/>
                  <w:szCs w:val="19"/>
                  <w:color w:val="0000EE"/>
                </w:rPr>
                <w:t>Powers of Attorney (filed herewith)</w:t>
              </w:r>
            </w:hyperlink>
          </w:p>
        </w:tc>
        <w:tc>
          <w:tcPr>
            <w:tcW w:w="1260" w:type="dxa"/>
            <w:vAlign w:val="bottom"/>
            <w:tcBorders>
              <w:top w:val="single" w:sz="8" w:color="0000EE"/>
            </w:tcBorders>
            <w:gridSpan w:val="2"/>
          </w:tcPr>
          <w:p>
            <w:pPr>
              <w:spacing w:after="0"/>
              <w:rPr>
                <w:sz w:val="19"/>
                <w:szCs w:val="19"/>
                <w:color w:val="auto"/>
              </w:rPr>
            </w:pPr>
          </w:p>
        </w:tc>
        <w:tc>
          <w:tcPr>
            <w:tcW w:w="5240" w:type="dxa"/>
            <w:vAlign w:val="bottom"/>
            <w:gridSpan w:val="20"/>
          </w:tcPr>
          <w:p>
            <w:pPr>
              <w:spacing w:after="0"/>
              <w:rPr>
                <w:sz w:val="19"/>
                <w:szCs w:val="19"/>
                <w:color w:val="auto"/>
              </w:rPr>
            </w:pPr>
          </w:p>
        </w:tc>
      </w:tr>
      <w:tr>
        <w:trPr>
          <w:trHeight w:val="223"/>
        </w:trPr>
        <w:tc>
          <w:tcPr>
            <w:tcW w:w="1960" w:type="dxa"/>
            <w:vAlign w:val="bottom"/>
          </w:tcPr>
          <w:p>
            <w:pPr>
              <w:spacing w:after="0"/>
              <w:rPr>
                <w:sz w:val="20"/>
                <w:szCs w:val="20"/>
                <w:color w:val="auto"/>
              </w:rPr>
            </w:pPr>
            <w:r>
              <w:rPr>
                <w:rFonts w:ascii="Arial" w:cs="Arial" w:eastAsia="Arial" w:hAnsi="Arial"/>
                <w:sz w:val="19"/>
                <w:szCs w:val="19"/>
                <w:color w:val="auto"/>
              </w:rPr>
              <w:t>31.1</w:t>
            </w:r>
          </w:p>
        </w:tc>
        <w:tc>
          <w:tcPr>
            <w:tcW w:w="9460" w:type="dxa"/>
            <w:vAlign w:val="bottom"/>
            <w:gridSpan w:val="25"/>
          </w:tcPr>
          <w:p>
            <w:pPr>
              <w:spacing w:after="0"/>
              <w:rPr>
                <w:rFonts w:ascii="Arial" w:cs="Arial" w:eastAsia="Arial" w:hAnsi="Arial"/>
                <w:sz w:val="19"/>
                <w:szCs w:val="19"/>
                <w:color w:val="0000EE"/>
              </w:rPr>
            </w:pPr>
            <w:hyperlink w:anchor="page128">
              <w:r>
                <w:rPr>
                  <w:rFonts w:ascii="Arial" w:cs="Arial" w:eastAsia="Arial" w:hAnsi="Arial"/>
                  <w:sz w:val="19"/>
                  <w:szCs w:val="19"/>
                  <w:color w:val="0000EE"/>
                </w:rPr>
                <w:t>Certification of Principal Executive Officer Pursuant to Section 302 of the Sarbanes-Oxley Act of 2002 (filed</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00" w:type="dxa"/>
            <w:vAlign w:val="bottom"/>
            <w:tcBorders>
              <w:top w:val="single" w:sz="8" w:color="0000EE"/>
            </w:tcBorders>
            <w:gridSpan w:val="19"/>
          </w:tcPr>
          <w:p>
            <w:pPr>
              <w:spacing w:after="0" w:line="196" w:lineRule="exact"/>
              <w:rPr>
                <w:rFonts w:ascii="Arial" w:cs="Arial" w:eastAsia="Arial" w:hAnsi="Arial"/>
                <w:sz w:val="19"/>
                <w:szCs w:val="19"/>
                <w:color w:val="0000EE"/>
              </w:rPr>
            </w:pPr>
            <w:hyperlink w:anchor="page128">
              <w:r>
                <w:rPr>
                  <w:rFonts w:ascii="Arial" w:cs="Arial" w:eastAsia="Arial" w:hAnsi="Arial"/>
                  <w:sz w:val="19"/>
                  <w:szCs w:val="19"/>
                  <w:color w:val="0000EE"/>
                </w:rPr>
                <w:t>herewith)</w:t>
              </w:r>
            </w:hyperlink>
          </w:p>
        </w:tc>
        <w:tc>
          <w:tcPr>
            <w:tcW w:w="280" w:type="dxa"/>
            <w:vAlign w:val="bottom"/>
            <w:gridSpan w:val="5"/>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31.2</w:t>
            </w:r>
          </w:p>
        </w:tc>
        <w:tc>
          <w:tcPr>
            <w:tcW w:w="9100" w:type="dxa"/>
            <w:vAlign w:val="bottom"/>
            <w:tcBorders>
              <w:bottom w:val="single" w:sz="8" w:color="0000EE"/>
            </w:tcBorders>
            <w:gridSpan w:val="19"/>
          </w:tcPr>
          <w:p>
            <w:pPr>
              <w:spacing w:after="0" w:line="196" w:lineRule="exact"/>
              <w:rPr>
                <w:rFonts w:ascii="Arial" w:cs="Arial" w:eastAsia="Arial" w:hAnsi="Arial"/>
                <w:sz w:val="19"/>
                <w:szCs w:val="19"/>
                <w:color w:val="0000EE"/>
              </w:rPr>
            </w:pPr>
            <w:hyperlink w:anchor="page129">
              <w:r>
                <w:rPr>
                  <w:rFonts w:ascii="Arial" w:cs="Arial" w:eastAsia="Arial" w:hAnsi="Arial"/>
                  <w:sz w:val="19"/>
                  <w:szCs w:val="19"/>
                  <w:color w:val="0000EE"/>
                </w:rPr>
                <w:t>Certification of Principal Financial Officer Pursuant to Section 302 of the Sarbanes-Oxley Act of 2002 (filed</w:t>
              </w:r>
            </w:hyperlink>
          </w:p>
        </w:tc>
        <w:tc>
          <w:tcPr>
            <w:tcW w:w="360" w:type="dxa"/>
            <w:vAlign w:val="bottom"/>
            <w:gridSpan w:val="6"/>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80" w:type="dxa"/>
            <w:vAlign w:val="bottom"/>
            <w:gridSpan w:val="24"/>
          </w:tcPr>
          <w:p>
            <w:pPr>
              <w:spacing w:after="0" w:line="196" w:lineRule="exact"/>
              <w:rPr>
                <w:rFonts w:ascii="Arial" w:cs="Arial" w:eastAsia="Arial" w:hAnsi="Arial"/>
                <w:sz w:val="19"/>
                <w:szCs w:val="19"/>
                <w:color w:val="0000EE"/>
              </w:rPr>
            </w:pPr>
            <w:hyperlink w:anchor="page129">
              <w:r>
                <w:rPr>
                  <w:rFonts w:ascii="Arial" w:cs="Arial" w:eastAsia="Arial" w:hAnsi="Arial"/>
                  <w:sz w:val="19"/>
                  <w:szCs w:val="19"/>
                  <w:color w:val="0000EE"/>
                </w:rPr>
                <w:t>herewith)</w:t>
              </w:r>
            </w:hyperlink>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6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32.1</w:t>
            </w:r>
          </w:p>
        </w:tc>
        <w:tc>
          <w:tcPr>
            <w:tcW w:w="9460" w:type="dxa"/>
            <w:vAlign w:val="bottom"/>
            <w:gridSpan w:val="25"/>
          </w:tcPr>
          <w:p>
            <w:pPr>
              <w:spacing w:after="0" w:line="196" w:lineRule="exact"/>
              <w:rPr>
                <w:rFonts w:ascii="Arial" w:cs="Arial" w:eastAsia="Arial" w:hAnsi="Arial"/>
                <w:sz w:val="19"/>
                <w:szCs w:val="19"/>
                <w:color w:val="0000EE"/>
              </w:rPr>
            </w:pPr>
            <w:hyperlink w:anchor="page130">
              <w:r>
                <w:rPr>
                  <w:rFonts w:ascii="Arial" w:cs="Arial" w:eastAsia="Arial" w:hAnsi="Arial"/>
                  <w:sz w:val="19"/>
                  <w:szCs w:val="19"/>
                  <w:color w:val="0000EE"/>
                </w:rPr>
                <w:t>Certification of Principal Executive Officer Pursuant to 18 U.S.C. Section 1350, as Adopted Pursuant to</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360" w:type="dxa"/>
            <w:vAlign w:val="bottom"/>
            <w:tcBorders>
              <w:top w:val="single" w:sz="8" w:color="0000EE"/>
              <w:bottom w:val="single" w:sz="8" w:color="0000EE"/>
            </w:tcBorders>
            <w:gridSpan w:val="7"/>
          </w:tcPr>
          <w:p>
            <w:pPr>
              <w:spacing w:after="0" w:line="196" w:lineRule="exact"/>
              <w:rPr>
                <w:rFonts w:ascii="Arial" w:cs="Arial" w:eastAsia="Arial" w:hAnsi="Arial"/>
                <w:sz w:val="19"/>
                <w:szCs w:val="19"/>
                <w:color w:val="0000EE"/>
              </w:rPr>
            </w:pPr>
            <w:hyperlink w:anchor="page130">
              <w:r>
                <w:rPr>
                  <w:rFonts w:ascii="Arial" w:cs="Arial" w:eastAsia="Arial" w:hAnsi="Arial"/>
                  <w:sz w:val="19"/>
                  <w:szCs w:val="19"/>
                  <w:color w:val="0000EE"/>
                </w:rPr>
                <w:t>Section 906 of the Sarbanes-Oxley Act of 2002 (filed herewith)</w:t>
              </w:r>
            </w:hyperlink>
          </w:p>
        </w:tc>
        <w:tc>
          <w:tcPr>
            <w:tcW w:w="3260" w:type="dxa"/>
            <w:vAlign w:val="bottom"/>
            <w:tcBorders>
              <w:top w:val="single" w:sz="8" w:color="0000EE"/>
            </w:tcBorders>
            <w:gridSpan w:val="6"/>
          </w:tcPr>
          <w:p>
            <w:pPr>
              <w:spacing w:after="0"/>
              <w:rPr>
                <w:sz w:val="17"/>
                <w:szCs w:val="17"/>
                <w:color w:val="auto"/>
              </w:rPr>
            </w:pPr>
          </w:p>
        </w:tc>
        <w:tc>
          <w:tcPr>
            <w:tcW w:w="660" w:type="dxa"/>
            <w:vAlign w:val="bottom"/>
            <w:gridSpan w:val="11"/>
          </w:tcPr>
          <w:p>
            <w:pPr>
              <w:spacing w:after="0"/>
              <w:rPr>
                <w:sz w:val="17"/>
                <w:szCs w:val="17"/>
                <w:color w:val="auto"/>
              </w:rPr>
            </w:pP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9"/>
                <w:szCs w:val="19"/>
                <w:color w:val="auto"/>
              </w:rPr>
              <w:t>32.2</w:t>
            </w:r>
          </w:p>
        </w:tc>
        <w:tc>
          <w:tcPr>
            <w:tcW w:w="9460" w:type="dxa"/>
            <w:vAlign w:val="bottom"/>
            <w:gridSpan w:val="25"/>
          </w:tcPr>
          <w:p>
            <w:pPr>
              <w:spacing w:after="0" w:line="196" w:lineRule="exact"/>
              <w:rPr>
                <w:rFonts w:ascii="Arial" w:cs="Arial" w:eastAsia="Arial" w:hAnsi="Arial"/>
                <w:sz w:val="19"/>
                <w:szCs w:val="19"/>
                <w:color w:val="0000EE"/>
              </w:rPr>
            </w:pPr>
            <w:hyperlink w:anchor="page131">
              <w:r>
                <w:rPr>
                  <w:rFonts w:ascii="Arial" w:cs="Arial" w:eastAsia="Arial" w:hAnsi="Arial"/>
                  <w:sz w:val="19"/>
                  <w:szCs w:val="19"/>
                  <w:color w:val="0000EE"/>
                </w:rPr>
                <w:t>Certification of Principal Financial Officer Pursuant to 18 U.S.C. Section 1350, as Adopted Pursuant to Section</w:t>
              </w:r>
            </w:hyperlink>
          </w:p>
        </w:tc>
      </w:tr>
      <w:tr>
        <w:trPr>
          <w:trHeight w:val="196"/>
        </w:trPr>
        <w:tc>
          <w:tcPr>
            <w:tcW w:w="19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660" w:type="dxa"/>
            <w:vAlign w:val="bottom"/>
            <w:tcBorders>
              <w:top w:val="single" w:sz="8" w:color="0000EE"/>
              <w:bottom w:val="single" w:sz="8" w:color="0000EE"/>
            </w:tcBorders>
            <w:gridSpan w:val="5"/>
          </w:tcPr>
          <w:p>
            <w:pPr>
              <w:spacing w:after="0" w:line="196" w:lineRule="exact"/>
              <w:rPr>
                <w:rFonts w:ascii="Arial" w:cs="Arial" w:eastAsia="Arial" w:hAnsi="Arial"/>
                <w:sz w:val="19"/>
                <w:szCs w:val="19"/>
                <w:color w:val="0000EE"/>
              </w:rPr>
            </w:pPr>
            <w:hyperlink w:anchor="page131">
              <w:r>
                <w:rPr>
                  <w:rFonts w:ascii="Arial" w:cs="Arial" w:eastAsia="Arial" w:hAnsi="Arial"/>
                  <w:sz w:val="19"/>
                  <w:szCs w:val="19"/>
                  <w:color w:val="0000EE"/>
                </w:rPr>
                <w:t>906 of the Sarbanes-Oxley Act of 2002 (filed herewith)</w:t>
              </w:r>
            </w:hyperlink>
          </w:p>
        </w:tc>
        <w:tc>
          <w:tcPr>
            <w:tcW w:w="460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41"/>
        </w:trPr>
        <w:tc>
          <w:tcPr>
            <w:tcW w:w="1960" w:type="dxa"/>
            <w:vAlign w:val="bottom"/>
          </w:tcPr>
          <w:p>
            <w:pPr>
              <w:spacing w:after="0"/>
              <w:rPr>
                <w:sz w:val="20"/>
                <w:szCs w:val="20"/>
                <w:color w:val="auto"/>
              </w:rPr>
            </w:pPr>
            <w:r>
              <w:rPr>
                <w:rFonts w:ascii="Arial" w:cs="Arial" w:eastAsia="Arial" w:hAnsi="Arial"/>
                <w:sz w:val="19"/>
                <w:szCs w:val="19"/>
                <w:color w:val="auto"/>
              </w:rPr>
              <w:t>101.INS</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Instance Document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101.SCH</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Taxonomy Extension Schema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101.CAL</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Taxonomy Extension Calculation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101.DEF</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Taxonomy Extension Definition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101.LAB</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Taxonomy Extension Label Linkbase (filed herewith)</w:t>
            </w:r>
          </w:p>
        </w:tc>
      </w:tr>
      <w:tr>
        <w:trPr>
          <w:trHeight w:val="243"/>
        </w:trPr>
        <w:tc>
          <w:tcPr>
            <w:tcW w:w="1960" w:type="dxa"/>
            <w:vAlign w:val="bottom"/>
          </w:tcPr>
          <w:p>
            <w:pPr>
              <w:spacing w:after="0"/>
              <w:rPr>
                <w:sz w:val="20"/>
                <w:szCs w:val="20"/>
                <w:color w:val="auto"/>
              </w:rPr>
            </w:pPr>
            <w:r>
              <w:rPr>
                <w:rFonts w:ascii="Arial" w:cs="Arial" w:eastAsia="Arial" w:hAnsi="Arial"/>
                <w:sz w:val="19"/>
                <w:szCs w:val="19"/>
                <w:color w:val="auto"/>
              </w:rPr>
              <w:t>101.PRE</w:t>
            </w:r>
          </w:p>
        </w:tc>
        <w:tc>
          <w:tcPr>
            <w:tcW w:w="9460" w:type="dxa"/>
            <w:vAlign w:val="bottom"/>
            <w:gridSpan w:val="25"/>
          </w:tcPr>
          <w:p>
            <w:pPr>
              <w:spacing w:after="0"/>
              <w:rPr>
                <w:sz w:val="20"/>
                <w:szCs w:val="20"/>
                <w:color w:val="auto"/>
              </w:rPr>
            </w:pPr>
            <w:r>
              <w:rPr>
                <w:rFonts w:ascii="Arial" w:cs="Arial" w:eastAsia="Arial" w:hAnsi="Arial"/>
                <w:sz w:val="19"/>
                <w:szCs w:val="19"/>
                <w:color w:val="auto"/>
              </w:rPr>
              <w:t>XBRL Taxonomy Extension Presentation Linkbase (filed herewith)</w:t>
            </w:r>
          </w:p>
        </w:tc>
      </w:tr>
    </w:tbl>
    <w:p>
      <w:pPr>
        <w:spacing w:after="0" w:line="334" w:lineRule="exact"/>
        <w:rPr>
          <w:sz w:val="20"/>
          <w:szCs w:val="20"/>
          <w:color w:val="auto"/>
        </w:rPr>
      </w:pPr>
    </w:p>
    <w:p>
      <w:pPr>
        <w:ind w:left="5560" w:right="1020" w:hanging="5186"/>
        <w:spacing w:after="0" w:line="372" w:lineRule="auto"/>
        <w:rPr>
          <w:sz w:val="20"/>
          <w:szCs w:val="20"/>
          <w:color w:val="auto"/>
        </w:rPr>
      </w:pPr>
      <w:r>
        <w:rPr>
          <w:rFonts w:ascii="Arial" w:cs="Arial" w:eastAsia="Arial" w:hAnsi="Arial"/>
          <w:sz w:val="19"/>
          <w:szCs w:val="19"/>
          <w:color w:val="auto"/>
        </w:rPr>
        <w:t>The Exhibits identified above with an asterisk (*) are management contracts or compensatory plans or arrangements.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10.74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NON-EMPLOYEE DIRECTORS</w:t>
      </w: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219"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STOCK OPTION AWARD AGREEMENT made in Morris Plains, New Jersey, as of the [DAY] day of [MONTH, YEAR] (the “Date of Grant”) between Honeywell International Inc. (the “Company”) and [DIRECTOR NAME] (the “Director”).</w:t>
      </w:r>
    </w:p>
    <w:p>
      <w:pPr>
        <w:spacing w:after="0" w:line="166" w:lineRule="exact"/>
        <w:rPr>
          <w:sz w:val="20"/>
          <w:szCs w:val="20"/>
          <w:color w:val="auto"/>
        </w:rPr>
      </w:pPr>
    </w:p>
    <w:p>
      <w:pPr>
        <w:jc w:val="both"/>
        <w:ind w:left="460" w:hanging="452"/>
        <w:spacing w:after="0" w:line="266" w:lineRule="auto"/>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has granted you an Option to purchase [NUMBER] Shares of Common Stock, subject to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2016 Stock Plan for Non-Employee Directors of Honeywell International Inc. This Option is a nonqualified Option for federal income tax purposes.</w:t>
      </w:r>
    </w:p>
    <w:p>
      <w:pPr>
        <w:spacing w:after="0" w:line="176" w:lineRule="exact"/>
        <w:rPr>
          <w:rFonts w:ascii="Arial" w:cs="Arial" w:eastAsia="Arial" w:hAnsi="Arial"/>
          <w:sz w:val="18"/>
          <w:szCs w:val="18"/>
          <w:b w:val="1"/>
          <w:bCs w:val="1"/>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purchase price of the Shares covered by the Option will be [DOLLAR AMOUNT] per Share.</w:t>
      </w:r>
    </w:p>
    <w:p>
      <w:pPr>
        <w:spacing w:after="0" w:line="225" w:lineRule="exact"/>
        <w:rPr>
          <w:rFonts w:ascii="Arial" w:cs="Arial" w:eastAsia="Arial" w:hAnsi="Arial"/>
          <w:sz w:val="18"/>
          <w:szCs w:val="18"/>
          <w:b w:val="1"/>
          <w:bCs w:val="1"/>
          <w:color w:val="auto"/>
        </w:rPr>
      </w:pPr>
    </w:p>
    <w:p>
      <w:pPr>
        <w:jc w:val="both"/>
        <w:ind w:left="460" w:hanging="452"/>
        <w:spacing w:after="0" w:line="266" w:lineRule="auto"/>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earlier vesting of the Option as provided below upon your retirement from the Company’s Board of Directors at or after age 75,</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or a Change in Control, the Option will become exercisable as follows: [VESTING PROVISIONS CONSISTENT WITH THE PLAN].</w:t>
      </w:r>
    </w:p>
    <w:p>
      <w:pPr>
        <w:spacing w:after="0" w:line="176" w:lineRule="exact"/>
        <w:rPr>
          <w:rFonts w:ascii="Arial" w:cs="Arial" w:eastAsia="Arial" w:hAnsi="Arial"/>
          <w:sz w:val="18"/>
          <w:szCs w:val="18"/>
          <w:b w:val="1"/>
          <w:bCs w:val="1"/>
          <w:color w:val="auto"/>
        </w:rPr>
      </w:pPr>
    </w:p>
    <w:p>
      <w:pPr>
        <w:jc w:val="both"/>
        <w:ind w:left="460" w:hanging="452"/>
        <w:spacing w:after="0" w:line="266" w:lineRule="auto"/>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of Option. </w:t>
      </w:r>
      <w:r>
        <w:rPr>
          <w:rFonts w:ascii="Arial" w:cs="Arial" w:eastAsia="Arial" w:hAnsi="Arial"/>
          <w:sz w:val="18"/>
          <w:szCs w:val="18"/>
          <w:color w:val="auto"/>
        </w:rPr>
        <w:t>The Option must be exercised prior to the close of the New York Stock Exchange (“NYSE”) on [EXPIRATION DATE],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termination or cancellation as provided below. If the NYSE is not open for business on the expiration date specified, the Option will expire at the close of the NYSE on the business day immediately preceding [EXPIRATION DATE].</w:t>
      </w:r>
    </w:p>
    <w:p>
      <w:pPr>
        <w:spacing w:after="0" w:line="176" w:lineRule="exact"/>
        <w:rPr>
          <w:rFonts w:ascii="Arial" w:cs="Arial" w:eastAsia="Arial" w:hAnsi="Arial"/>
          <w:sz w:val="18"/>
          <w:szCs w:val="18"/>
          <w:b w:val="1"/>
          <w:bCs w:val="1"/>
          <w:color w:val="auto"/>
        </w:rPr>
      </w:pPr>
    </w:p>
    <w:p>
      <w:pPr>
        <w:jc w:val="both"/>
        <w:ind w:left="460" w:hanging="452"/>
        <w:spacing w:after="0" w:line="289" w:lineRule="auto"/>
        <w:tabs>
          <w:tab w:leader="none" w:pos="4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Exercise Price. </w:t>
      </w:r>
      <w:r>
        <w:rPr>
          <w:rFonts w:ascii="Arial" w:cs="Arial" w:eastAsia="Arial" w:hAnsi="Arial"/>
          <w:sz w:val="17"/>
          <w:szCs w:val="17"/>
          <w:color w:val="auto"/>
        </w:rPr>
        <w:t>You may pay the Exercise Price by cash, certified check, bank draft, wire transfer, postal or express money order,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58" w:lineRule="exact"/>
        <w:rPr>
          <w:rFonts w:ascii="Arial" w:cs="Arial" w:eastAsia="Arial" w:hAnsi="Arial"/>
          <w:sz w:val="17"/>
          <w:szCs w:val="17"/>
          <w:b w:val="1"/>
          <w:bCs w:val="1"/>
          <w:color w:val="auto"/>
        </w:rPr>
      </w:pPr>
    </w:p>
    <w:p>
      <w:pPr>
        <w:jc w:val="both"/>
        <w:ind w:left="460" w:hanging="452"/>
        <w:spacing w:after="0" w:line="281" w:lineRule="auto"/>
        <w:tabs>
          <w:tab w:leader="none" w:pos="4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of Option. </w:t>
      </w:r>
      <w:r>
        <w:rPr>
          <w:rFonts w:ascii="Arial" w:cs="Arial" w:eastAsia="Arial" w:hAnsi="Arial"/>
          <w:sz w:val="17"/>
          <w:szCs w:val="17"/>
          <w:color w:val="auto"/>
        </w:rPr>
        <w:t>Subject to the terms and conditions of this Agreement, the Option may be exercised by providing notice to the Company by</w:t>
      </w:r>
      <w:r>
        <w:rPr>
          <w:rFonts w:ascii="Arial" w:cs="Arial" w:eastAsia="Arial" w:hAnsi="Arial"/>
          <w:sz w:val="17"/>
          <w:szCs w:val="17"/>
          <w:b w:val="1"/>
          <w:bCs w:val="1"/>
          <w:color w:val="auto"/>
        </w:rPr>
        <w:t xml:space="preserve"> </w:t>
      </w:r>
      <w:r>
        <w:rPr>
          <w:rFonts w:ascii="Arial" w:cs="Arial" w:eastAsia="Arial" w:hAnsi="Arial"/>
          <w:sz w:val="17"/>
          <w:szCs w:val="17"/>
          <w:color w:val="auto"/>
        </w:rPr>
        <w:t>contacting the Director - Executive Compensation, or the Corporate Secretary.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left="520" w:hanging="444"/>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Retirement, Disability or Death. </w:t>
      </w:r>
      <w:r>
        <w:rPr>
          <w:rFonts w:ascii="Arial" w:cs="Arial" w:eastAsia="Arial" w:hAnsi="Arial"/>
          <w:sz w:val="18"/>
          <w:szCs w:val="18"/>
          <w:color w:val="auto"/>
        </w:rPr>
        <w:t>The Option will vest and remain exercisable as follows:</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b w:val="1"/>
                <w:bCs w:val="1"/>
                <w:color w:val="auto"/>
              </w:rPr>
              <w:t>Event</w:t>
            </w:r>
          </w:p>
        </w:tc>
        <w:tc>
          <w:tcPr>
            <w:tcW w:w="3920" w:type="dxa"/>
            <w:vAlign w:val="bottom"/>
            <w:gridSpan w:val="3"/>
          </w:tcPr>
          <w:p>
            <w:pPr>
              <w:ind w:left="220"/>
              <w:spacing w:after="0"/>
              <w:rPr>
                <w:sz w:val="20"/>
                <w:szCs w:val="20"/>
                <w:color w:val="auto"/>
              </w:rPr>
            </w:pPr>
            <w:r>
              <w:rPr>
                <w:rFonts w:ascii="Arial" w:cs="Arial" w:eastAsia="Arial" w:hAnsi="Arial"/>
                <w:sz w:val="18"/>
                <w:szCs w:val="18"/>
                <w:b w:val="1"/>
                <w:bCs w:val="1"/>
                <w:color w:val="auto"/>
              </w:rPr>
              <w:t>Vesting</w:t>
            </w:r>
          </w:p>
        </w:tc>
        <w:tc>
          <w:tcPr>
            <w:tcW w:w="3520" w:type="dxa"/>
            <w:vAlign w:val="bottom"/>
          </w:tcPr>
          <w:p>
            <w:pPr>
              <w:spacing w:after="0"/>
              <w:rPr>
                <w:sz w:val="20"/>
                <w:szCs w:val="20"/>
                <w:color w:val="auto"/>
              </w:rPr>
            </w:pPr>
            <w:r>
              <w:rPr>
                <w:rFonts w:ascii="Arial" w:cs="Arial" w:eastAsia="Arial" w:hAnsi="Arial"/>
                <w:sz w:val="18"/>
                <w:szCs w:val="18"/>
                <w:b w:val="1"/>
                <w:bCs w:val="1"/>
                <w:color w:val="auto"/>
              </w:rPr>
              <w:t>Exercise</w:t>
            </w:r>
          </w:p>
        </w:tc>
      </w:tr>
      <w:tr>
        <w:trPr>
          <w:trHeight w:val="209"/>
        </w:trPr>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Death</w:t>
            </w:r>
          </w:p>
        </w:tc>
        <w:tc>
          <w:tcPr>
            <w:tcW w:w="220" w:type="dxa"/>
            <w:vAlign w:val="bottom"/>
          </w:tcPr>
          <w:p>
            <w:pPr>
              <w:spacing w:after="0"/>
              <w:rPr>
                <w:sz w:val="18"/>
                <w:szCs w:val="18"/>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Immediate vesting as of death.</w:t>
            </w:r>
          </w:p>
        </w:tc>
        <w:tc>
          <w:tcPr>
            <w:tcW w:w="200" w:type="dxa"/>
            <w:vAlign w:val="bottom"/>
          </w:tcPr>
          <w:p>
            <w:pPr>
              <w:spacing w:after="0"/>
              <w:rPr>
                <w:sz w:val="18"/>
                <w:szCs w:val="18"/>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Expires on original expiration date.</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Disability</w:t>
            </w: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rPr>
              <w:t>Immediate  vesting  as  of  incurrence  of</w:t>
            </w:r>
          </w:p>
        </w:tc>
        <w:tc>
          <w:tcPr>
            <w:tcW w:w="3520" w:type="dxa"/>
            <w:vAlign w:val="bottom"/>
          </w:tcPr>
          <w:p>
            <w:pPr>
              <w:spacing w:after="0"/>
              <w:rPr>
                <w:sz w:val="20"/>
                <w:szCs w:val="20"/>
                <w:color w:val="auto"/>
              </w:rPr>
            </w:pPr>
            <w:r>
              <w:rPr>
                <w:rFonts w:ascii="Arial" w:cs="Arial" w:eastAsia="Arial" w:hAnsi="Arial"/>
                <w:sz w:val="18"/>
                <w:szCs w:val="18"/>
                <w:color w:val="auto"/>
              </w:rPr>
              <w:t>Expires on original expiration date.</w:t>
            </w:r>
          </w:p>
        </w:tc>
      </w:tr>
      <w:tr>
        <w:trPr>
          <w:trHeight w:val="230"/>
        </w:trPr>
        <w:tc>
          <w:tcPr>
            <w:tcW w:w="3480" w:type="dxa"/>
            <w:vAlign w:val="bottom"/>
          </w:tcPr>
          <w:p>
            <w:pPr>
              <w:spacing w:after="0"/>
              <w:rPr>
                <w:sz w:val="19"/>
                <w:szCs w:val="19"/>
                <w:color w:val="auto"/>
              </w:rPr>
            </w:pP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rPr>
              <w:t>Disability.</w:t>
            </w:r>
          </w:p>
        </w:tc>
        <w:tc>
          <w:tcPr>
            <w:tcW w:w="352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Retirement at or after age 75</w:t>
            </w: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rPr>
              <w:t>Immediate vesting as of retirement.</w:t>
            </w:r>
          </w:p>
        </w:tc>
        <w:tc>
          <w:tcPr>
            <w:tcW w:w="3520" w:type="dxa"/>
            <w:vAlign w:val="bottom"/>
          </w:tcPr>
          <w:p>
            <w:pPr>
              <w:spacing w:after="0"/>
              <w:rPr>
                <w:sz w:val="20"/>
                <w:szCs w:val="20"/>
                <w:color w:val="auto"/>
              </w:rPr>
            </w:pPr>
            <w:r>
              <w:rPr>
                <w:rFonts w:ascii="Arial" w:cs="Arial" w:eastAsia="Arial" w:hAnsi="Arial"/>
                <w:sz w:val="18"/>
                <w:szCs w:val="18"/>
                <w:color w:val="auto"/>
              </w:rPr>
              <w:t>Expires on original expiration date.</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5"/>
              </w:rPr>
              <w:t>Voluntary  termination  other  than  for  death,</w:t>
            </w: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rPr>
              <w:t>Unvested Option forfeited as of termination.</w:t>
            </w:r>
          </w:p>
        </w:tc>
        <w:tc>
          <w:tcPr>
            <w:tcW w:w="3520" w:type="dxa"/>
            <w:vAlign w:val="bottom"/>
          </w:tcPr>
          <w:p>
            <w:pPr>
              <w:spacing w:after="0"/>
              <w:rPr>
                <w:sz w:val="20"/>
                <w:szCs w:val="20"/>
                <w:color w:val="auto"/>
              </w:rPr>
            </w:pPr>
            <w:r>
              <w:rPr>
                <w:rFonts w:ascii="Arial" w:cs="Arial" w:eastAsia="Arial" w:hAnsi="Arial"/>
                <w:sz w:val="18"/>
                <w:szCs w:val="18"/>
                <w:color w:val="auto"/>
                <w:w w:val="95"/>
              </w:rPr>
              <w:t>Expires earlier of (i) original expiration date, 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Disability or retirement at or after age 75</w:t>
            </w: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(ii) 3 months after termination. If you die or</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incur a Disability prior to end of this 3-month</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7"/>
              </w:rPr>
              <w:t>period, expires earlier of (i) original expiration</w:t>
            </w:r>
          </w:p>
        </w:tc>
      </w:tr>
      <w:tr>
        <w:trPr>
          <w:trHeight w:val="230"/>
        </w:trPr>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date, or (ii) 1 year after death or Disability.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Involuntary termination other than for death,</w:t>
            </w:r>
          </w:p>
        </w:tc>
        <w:tc>
          <w:tcPr>
            <w:tcW w:w="3920" w:type="dxa"/>
            <w:vAlign w:val="bottom"/>
            <w:gridSpan w:val="3"/>
          </w:tcPr>
          <w:p>
            <w:pPr>
              <w:ind w:left="220"/>
              <w:spacing w:after="0"/>
              <w:rPr>
                <w:sz w:val="20"/>
                <w:szCs w:val="20"/>
                <w:color w:val="auto"/>
              </w:rPr>
            </w:pPr>
            <w:r>
              <w:rPr>
                <w:rFonts w:ascii="Arial" w:cs="Arial" w:eastAsia="Arial" w:hAnsi="Arial"/>
                <w:sz w:val="18"/>
                <w:szCs w:val="18"/>
                <w:color w:val="auto"/>
              </w:rPr>
              <w:t>Unvested Option forfeited as of termination.</w:t>
            </w:r>
          </w:p>
        </w:tc>
        <w:tc>
          <w:tcPr>
            <w:tcW w:w="3520" w:type="dxa"/>
            <w:vAlign w:val="bottom"/>
          </w:tcPr>
          <w:p>
            <w:pPr>
              <w:spacing w:after="0"/>
              <w:rPr>
                <w:sz w:val="20"/>
                <w:szCs w:val="20"/>
                <w:color w:val="auto"/>
              </w:rPr>
            </w:pPr>
            <w:r>
              <w:rPr>
                <w:rFonts w:ascii="Arial" w:cs="Arial" w:eastAsia="Arial" w:hAnsi="Arial"/>
                <w:sz w:val="18"/>
                <w:szCs w:val="18"/>
                <w:color w:val="auto"/>
                <w:w w:val="95"/>
              </w:rPr>
              <w:t>Expires earlier of (i) original expiration date, or</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Disability or retirement at or after age 75</w:t>
            </w: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(ii) 3 years after termination. If you die or incur</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9"/>
              </w:rPr>
              <w:t>a Disability prior to end of this 3-year period,</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expires earlier of (i) original expiration date, or</w:t>
            </w: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8"/>
              </w:rPr>
              <w:t>(ii) later of 3 years after termination or 1 year</w:t>
            </w:r>
          </w:p>
        </w:tc>
      </w:tr>
      <w:tr>
        <w:trPr>
          <w:trHeight w:val="230"/>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after death or Disability.</w:t>
            </w:r>
          </w:p>
        </w:tc>
      </w:tr>
    </w:tbl>
    <w:p>
      <w:pPr>
        <w:spacing w:after="0" w:line="225" w:lineRule="exact"/>
        <w:rPr>
          <w:sz w:val="20"/>
          <w:szCs w:val="20"/>
          <w:color w:val="auto"/>
        </w:rPr>
      </w:pPr>
    </w:p>
    <w:p>
      <w:pPr>
        <w:jc w:val="both"/>
        <w:ind w:left="460" w:hanging="452"/>
        <w:spacing w:after="0" w:line="266" w:lineRule="auto"/>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any portion of the Option that has not vested as of the date of Change in Control will</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become exercisable in full. If your service as a director of the Company terminates for any reason following a Change in Control, that termination will be treated as a retirement from the Board of Directors at or after age 75 for purposes of Section 7 above.</w:t>
      </w:r>
    </w:p>
    <w:p>
      <w:pPr>
        <w:spacing w:after="0" w:line="176"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will have the right, prior to the issuance or delivery of any Shares in connection with the exercise of the Option,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or demand from you the amount necessary to satisfy applicable tax requirements, as determined by the Committee.</w:t>
      </w:r>
    </w:p>
    <w:p>
      <w:pPr>
        <w:spacing w:after="0" w:line="161"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Option. </w:t>
      </w:r>
      <w:r>
        <w:rPr>
          <w:rFonts w:ascii="Arial" w:cs="Arial" w:eastAsia="Arial" w:hAnsi="Arial"/>
          <w:sz w:val="18"/>
          <w:szCs w:val="18"/>
          <w:color w:val="auto"/>
        </w:rPr>
        <w:t>You may not transfer the Option or any interest in the Option except by will or the laws of descent and distribution or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the Committee and as specified in the Plan.</w:t>
      </w:r>
    </w:p>
    <w:p>
      <w:pPr>
        <w:spacing w:after="0" w:line="161" w:lineRule="exact"/>
        <w:rPr>
          <w:rFonts w:ascii="Arial" w:cs="Arial" w:eastAsia="Arial" w:hAnsi="Arial"/>
          <w:sz w:val="18"/>
          <w:szCs w:val="18"/>
          <w:b w:val="1"/>
          <w:bCs w:val="1"/>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Option will be governed by Section 9 of the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7" w:name="page108"/>
    <w:bookmarkEnd w:id="107"/>
    <w:p>
      <w:pPr>
        <w:jc w:val="both"/>
        <w:ind w:left="460" w:hanging="452"/>
        <w:spacing w:after="0" w:line="258"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Exercise. </w:t>
      </w:r>
      <w:r>
        <w:rPr>
          <w:rFonts w:ascii="Arial" w:cs="Arial" w:eastAsia="Arial" w:hAnsi="Arial"/>
          <w:sz w:val="18"/>
          <w:szCs w:val="18"/>
          <w:color w:val="auto"/>
        </w:rPr>
        <w:t>Exercise of the Option is subject to the conditions that, to the extent required at the time of exercise, (a) the Shares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Option will be duly listed, upon official notice of issuance, upon the NYSE,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83" w:lineRule="exact"/>
        <w:rPr>
          <w:rFonts w:ascii="Arial" w:cs="Arial" w:eastAsia="Arial" w:hAnsi="Arial"/>
          <w:sz w:val="18"/>
          <w:szCs w:val="18"/>
          <w:b w:val="1"/>
          <w:bCs w:val="1"/>
          <w:color w:val="auto"/>
        </w:rPr>
      </w:pPr>
    </w:p>
    <w:p>
      <w:pPr>
        <w:jc w:val="both"/>
        <w:ind w:left="460" w:hanging="452"/>
        <w:spacing w:after="0" w:line="295" w:lineRule="auto"/>
        <w:tabs>
          <w:tab w:leader="none" w:pos="4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Disposition of Securities. </w:t>
      </w:r>
      <w:r>
        <w:rPr>
          <w:rFonts w:ascii="Arial" w:cs="Arial" w:eastAsia="Arial" w:hAnsi="Arial"/>
          <w:sz w:val="16"/>
          <w:szCs w:val="16"/>
          <w:color w:val="auto"/>
        </w:rPr>
        <w:t>By accepting the Award, you acknowledge that you have read and understand the Company’s policy, and are aware of and</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your obligations under U.S. federal securities laws in respect of trading in the Company’s securities. You agree not to sell Shares (including by using the Company’s “cashless exercise” program for the Option, or any successor program) at any time when you possess material nonpublic information with respect to the Company or when doing so would otherwise result in a violation of securities law. The Company will have the right to recover, or receive reimbursement for, any compensation or profit realize on the exercise of the Option or by the disposition of Shares received upon exercise of the Option to the extent that the Company has a right of recovery or reimbursement under applicable securities laws.</w:t>
      </w:r>
    </w:p>
    <w:p>
      <w:pPr>
        <w:spacing w:after="0" w:line="155" w:lineRule="exact"/>
        <w:rPr>
          <w:rFonts w:ascii="Arial" w:cs="Arial" w:eastAsia="Arial" w:hAnsi="Arial"/>
          <w:sz w:val="16"/>
          <w:szCs w:val="16"/>
          <w:b w:val="1"/>
          <w:bCs w:val="1"/>
          <w:color w:val="auto"/>
        </w:rPr>
      </w:pPr>
    </w:p>
    <w:p>
      <w:pPr>
        <w:jc w:val="both"/>
        <w:ind w:left="460" w:hanging="452"/>
        <w:spacing w:after="0" w:line="256"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exercise of the Option, the disposition of any Shares received upon exercise of the Option, and the treatment of any gain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disposition of these Shares are subject to the terms of the Plan and any rules that the Board of Directors and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87" w:lineRule="exact"/>
        <w:rPr>
          <w:rFonts w:ascii="Arial" w:cs="Arial" w:eastAsia="Arial" w:hAnsi="Arial"/>
          <w:sz w:val="18"/>
          <w:szCs w:val="18"/>
          <w:b w:val="1"/>
          <w:bCs w:val="1"/>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Personal Data.</w:t>
      </w:r>
    </w:p>
    <w:p>
      <w:pPr>
        <w:spacing w:after="0" w:line="229" w:lineRule="exact"/>
        <w:rPr>
          <w:rFonts w:ascii="Arial" w:cs="Arial" w:eastAsia="Arial" w:hAnsi="Arial"/>
          <w:sz w:val="18"/>
          <w:szCs w:val="18"/>
          <w:b w:val="1"/>
          <w:bCs w:val="1"/>
          <w:color w:val="auto"/>
        </w:rPr>
      </w:pPr>
    </w:p>
    <w:p>
      <w:pPr>
        <w:ind w:left="460" w:right="20" w:firstLine="2"/>
        <w:spacing w:after="0" w:line="277" w:lineRule="auto"/>
        <w:tabs>
          <w:tab w:leader="none" w:pos="6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70" w:lineRule="exact"/>
        <w:rPr>
          <w:rFonts w:ascii="Arial" w:cs="Arial" w:eastAsia="Arial" w:hAnsi="Arial"/>
          <w:sz w:val="18"/>
          <w:szCs w:val="18"/>
          <w:color w:val="auto"/>
        </w:rPr>
      </w:pPr>
    </w:p>
    <w:p>
      <w:pPr>
        <w:jc w:val="both"/>
        <w:ind w:left="460" w:firstLine="2"/>
        <w:spacing w:after="0" w:line="259" w:lineRule="auto"/>
        <w:tabs>
          <w:tab w:leader="none" w:pos="6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options or other entitlement to shares awarded, canceled, exercised, vested, unvested, or outstanding in your favor, for the purpose of managing and administering the Plan (“Data”).</w:t>
      </w:r>
    </w:p>
    <w:p>
      <w:pPr>
        <w:spacing w:after="0" w:line="186" w:lineRule="exact"/>
        <w:rPr>
          <w:rFonts w:ascii="Arial" w:cs="Arial" w:eastAsia="Arial" w:hAnsi="Arial"/>
          <w:sz w:val="18"/>
          <w:szCs w:val="18"/>
          <w:color w:val="auto"/>
        </w:rPr>
      </w:pPr>
    </w:p>
    <w:p>
      <w:pPr>
        <w:jc w:val="both"/>
        <w:ind w:left="460" w:firstLine="2"/>
        <w:spacing w:after="0" w:line="264" w:lineRule="auto"/>
        <w:tabs>
          <w:tab w:leader="none" w:pos="637" w:val="left"/>
        </w:tabs>
        <w:numPr>
          <w:ilvl w:val="1"/>
          <w:numId w:val="37"/>
        </w:numPr>
        <w:rPr>
          <w:rFonts w:ascii="Arial" w:cs="Arial" w:eastAsia="Arial" w:hAnsi="Arial"/>
          <w:sz w:val="18"/>
          <w:szCs w:val="18"/>
          <w:color w:val="auto"/>
        </w:rPr>
      </w:pPr>
      <w:r>
        <w:rPr>
          <w:rFonts w:ascii="Arial" w:cs="Arial" w:eastAsia="Arial" w:hAnsi="Arial"/>
          <w:sz w:val="18"/>
          <w:szCs w:val="18"/>
          <w:color w:val="auto"/>
        </w:rPr>
        <w:t>You further understand that part or all of your Data may be also held by the Company’s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8" w:name="page109"/>
    <w:bookmarkEnd w:id="108"/>
    <w:p>
      <w:pPr>
        <w:jc w:val="both"/>
        <w:ind w:left="460"/>
        <w:spacing w:after="0" w:line="259" w:lineRule="auto"/>
        <w:rPr>
          <w:sz w:val="20"/>
          <w:szCs w:val="20"/>
          <w:color w:val="auto"/>
        </w:rPr>
      </w:pPr>
      <w:r>
        <w:rPr>
          <w:rFonts w:ascii="Arial" w:cs="Arial" w:eastAsia="Arial" w:hAnsi="Arial"/>
          <w:sz w:val="18"/>
          <w:szCs w:val="18"/>
          <w:color w:val="auto"/>
        </w:rPr>
        <w:t>d. 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7"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88"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7" w:lineRule="exact"/>
        <w:rPr>
          <w:sz w:val="20"/>
          <w:szCs w:val="20"/>
          <w:color w:val="auto"/>
        </w:rPr>
      </w:pPr>
    </w:p>
    <w:p>
      <w:pPr>
        <w:ind w:left="460" w:hanging="452"/>
        <w:spacing w:after="0" w:line="282"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Award, you agree to be bound by the terms of this Agreement and acknowledge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65" w:lineRule="exact"/>
        <w:rPr>
          <w:rFonts w:ascii="Arial" w:cs="Arial" w:eastAsia="Arial" w:hAnsi="Arial"/>
          <w:sz w:val="18"/>
          <w:szCs w:val="18"/>
          <w:b w:val="1"/>
          <w:bCs w:val="1"/>
          <w:color w:val="auto"/>
        </w:rPr>
      </w:pPr>
    </w:p>
    <w:p>
      <w:pPr>
        <w:ind w:left="460" w:firstLine="2"/>
        <w:spacing w:after="0" w:line="277" w:lineRule="auto"/>
        <w:tabs>
          <w:tab w:leader="none" w:pos="63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Company is granting your Option, and this Agreement is not derived from any preexisting labor relationship between you and the Company, but rather from a mercantile relationship.</w:t>
      </w:r>
    </w:p>
    <w:p>
      <w:pPr>
        <w:spacing w:after="0" w:line="170" w:lineRule="exact"/>
        <w:rPr>
          <w:rFonts w:ascii="Arial" w:cs="Arial" w:eastAsia="Arial" w:hAnsi="Arial"/>
          <w:sz w:val="18"/>
          <w:szCs w:val="18"/>
          <w:color w:val="auto"/>
        </w:rPr>
      </w:pPr>
    </w:p>
    <w:p>
      <w:pPr>
        <w:ind w:left="640" w:hanging="178"/>
        <w:spacing w:after="0"/>
        <w:tabs>
          <w:tab w:leader="none" w:pos="6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 may administer the Plan from outside your country of residence and United States law will govern all Options granted under the Plan.</w:t>
      </w:r>
    </w:p>
    <w:p>
      <w:pPr>
        <w:spacing w:after="0" w:line="248" w:lineRule="exact"/>
        <w:rPr>
          <w:rFonts w:ascii="Arial" w:cs="Arial" w:eastAsia="Arial" w:hAnsi="Arial"/>
          <w:sz w:val="16"/>
          <w:szCs w:val="16"/>
          <w:color w:val="auto"/>
        </w:rPr>
      </w:pPr>
    </w:p>
    <w:p>
      <w:pPr>
        <w:ind w:left="640" w:hanging="178"/>
        <w:spacing w:after="0"/>
        <w:tabs>
          <w:tab w:leader="none" w:pos="6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Benefits and rights provided under the Plan do not constitute regular or periodic payments.</w:t>
      </w:r>
    </w:p>
    <w:p>
      <w:pPr>
        <w:spacing w:after="0" w:line="221" w:lineRule="exact"/>
        <w:rPr>
          <w:rFonts w:ascii="Arial" w:cs="Arial" w:eastAsia="Arial" w:hAnsi="Arial"/>
          <w:sz w:val="18"/>
          <w:szCs w:val="18"/>
          <w:color w:val="auto"/>
        </w:rPr>
      </w:pPr>
    </w:p>
    <w:p>
      <w:pPr>
        <w:jc w:val="both"/>
        <w:ind w:left="460" w:hanging="452"/>
        <w:spacing w:after="0" w:line="303" w:lineRule="auto"/>
        <w:tabs>
          <w:tab w:leader="none" w:pos="4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w:t>
      </w:r>
      <w:r>
        <w:rPr>
          <w:rFonts w:ascii="Arial" w:cs="Arial" w:eastAsia="Arial" w:hAnsi="Arial"/>
          <w:sz w:val="16"/>
          <w:szCs w:val="16"/>
          <w:color w:val="auto"/>
        </w:rPr>
        <w:t>Nothing in this Agreement or the Plan gives you any right to continue as a member of the Board of Directors of the Company or will</w:t>
      </w:r>
      <w:r>
        <w:rPr>
          <w:rFonts w:ascii="Arial" w:cs="Arial" w:eastAsia="Arial" w:hAnsi="Arial"/>
          <w:sz w:val="16"/>
          <w:szCs w:val="16"/>
          <w:b w:val="1"/>
          <w:bCs w:val="1"/>
          <w:color w:val="auto"/>
        </w:rPr>
        <w:t xml:space="preserve"> </w:t>
      </w:r>
      <w:r>
        <w:rPr>
          <w:rFonts w:ascii="Arial" w:cs="Arial" w:eastAsia="Arial" w:hAnsi="Arial"/>
          <w:sz w:val="16"/>
          <w:szCs w:val="16"/>
          <w:color w:val="auto"/>
        </w:rPr>
        <w:t>prejudice the rights of the Board of Directors or shareowners of the Company with respect to your nomination and election.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51" w:lineRule="exact"/>
        <w:rPr>
          <w:rFonts w:ascii="Arial" w:cs="Arial" w:eastAsia="Arial" w:hAnsi="Arial"/>
          <w:sz w:val="16"/>
          <w:szCs w:val="16"/>
          <w:b w:val="1"/>
          <w:bCs w:val="1"/>
          <w:color w:val="auto"/>
        </w:rPr>
      </w:pPr>
    </w:p>
    <w:p>
      <w:pPr>
        <w:ind w:left="460" w:hanging="452"/>
        <w:spacing w:after="0" w:line="282"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 Company regarding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This Agreement supersedes any prior agreements, commitments or negotiations concerning the Option.</w:t>
      </w:r>
    </w:p>
    <w:p>
      <w:pPr>
        <w:spacing w:after="0" w:line="161"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this Agreement will not affect the validity or enforceability of the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which will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09" w:name="page110"/>
    <w:bookmarkEnd w:id="109"/>
    <w:p>
      <w:pPr>
        <w:ind w:left="500" w:right="20"/>
        <w:spacing w:after="0" w:line="277" w:lineRule="auto"/>
        <w:rPr>
          <w:sz w:val="20"/>
          <w:szCs w:val="20"/>
          <w:color w:val="auto"/>
        </w:rPr>
      </w:pPr>
      <w:r>
        <w:rPr>
          <w:rFonts w:ascii="Arial" w:cs="Arial" w:eastAsia="Arial" w:hAnsi="Arial"/>
          <w:sz w:val="18"/>
          <w:szCs w:val="18"/>
          <w:color w:val="auto"/>
        </w:rPr>
        <w:t>remain in full force and effect. Moreover, if any provision is found to be excessively broad in duration, scope or covered activity, the provision will be construed so as to be enforceable to the maximum extent compatible with applicable law.</w:t>
      </w:r>
    </w:p>
    <w:p>
      <w:pPr>
        <w:spacing w:after="0" w:line="166" w:lineRule="exact"/>
        <w:rPr>
          <w:sz w:val="20"/>
          <w:szCs w:val="20"/>
          <w:color w:val="auto"/>
        </w:rPr>
      </w:pPr>
    </w:p>
    <w:p>
      <w:pPr>
        <w:jc w:val="both"/>
        <w:ind w:left="460" w:hanging="452"/>
        <w:spacing w:after="0" w:line="266" w:lineRule="auto"/>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Acknowledgements and Acceptance. </w:t>
      </w:r>
      <w:r>
        <w:rPr>
          <w:rFonts w:ascii="Arial" w:cs="Arial" w:eastAsia="Arial" w:hAnsi="Arial"/>
          <w:sz w:val="17"/>
          <w:szCs w:val="17"/>
          <w:color w:val="auto"/>
        </w:rPr>
        <w:t>By accepting this Agreement, you agree to the following: (i) you have carefully read, fully understand and agree</w:t>
      </w:r>
      <w:r>
        <w:rPr>
          <w:rFonts w:ascii="Arial" w:cs="Arial" w:eastAsia="Arial" w:hAnsi="Arial"/>
          <w:sz w:val="17"/>
          <w:szCs w:val="17"/>
          <w:b w:val="1"/>
          <w:bCs w:val="1"/>
          <w:color w:val="auto"/>
        </w:rPr>
        <w:t xml:space="preserve"> </w:t>
      </w:r>
      <w:r>
        <w:rPr>
          <w:rFonts w:ascii="Arial" w:cs="Arial" w:eastAsia="Arial" w:hAnsi="Arial"/>
          <w:sz w:val="17"/>
          <w:szCs w:val="17"/>
          <w:color w:val="auto"/>
        </w:rPr>
        <w:t>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10.76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UOP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Pension Plan</w:t>
      </w:r>
    </w:p>
    <w:p>
      <w:pPr>
        <w:jc w:val="center"/>
        <w:spacing w:after="0"/>
        <w:rPr>
          <w:sz w:val="20"/>
          <w:szCs w:val="20"/>
          <w:color w:val="auto"/>
        </w:rPr>
      </w:pPr>
      <w:r>
        <w:rPr>
          <w:rFonts w:ascii="Arial" w:cs="Arial" w:eastAsia="Arial" w:hAnsi="Arial"/>
          <w:sz w:val="22"/>
          <w:szCs w:val="22"/>
          <w:b w:val="1"/>
          <w:bCs w:val="1"/>
          <w:color w:val="auto"/>
        </w:rPr>
        <w:t>(Amended and Restated Effective January 1, 2009)</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 - Purpose</w:t>
      </w:r>
    </w:p>
    <w:p>
      <w:pPr>
        <w:spacing w:after="0" w:line="23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Prior to January 1, 2009, the provisions of the UOP LLC Supplemental Pension Plan (the “Plan”) were contained in the terms of the UOP Pension Plan. Effective January 1, 2009, such terms are amended and restated in this Plan to comply with Section 409A of the Code.</w:t>
      </w:r>
    </w:p>
    <w:p>
      <w:pPr>
        <w:spacing w:after="0" w:line="144"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The purpose of the Plan is to provide participants and their joint annuitants and beneficiaries under the Pension Plan with the amount of certain retirement income that is not provided under the Pension Plan.</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Plan as amended and restated effective January 1, 2009 applies to a Participant who (i) has any portion of a Supplemental Benefit that accrues on or after January 1, 2005, (ii) has any portion of a Supplemental Benefit that accrued prior to January 1, 2005 but was vested on or after December 31, 2004, or (iii) has an increase in the value of any subsidy with respect to Grandfathered Benefits payable upon retirement before the Pension Plan’s normal retirement date that accrues or increases as a result of service after December 31, 2004. The Plan preceding this amendment and restatement applies to a Participant not described in clause (iii) of the preceding sentence whose entire Supplemental Benefit accrued and vested before January 1, 2005 (“Grandfathered Benefit”).</w:t>
      </w:r>
    </w:p>
    <w:p>
      <w:pPr>
        <w:spacing w:after="0" w:line="192"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color w:val="auto"/>
        </w:rPr>
        <w:t>Except to the extent otherwise indicated, and to the extent otherwise inappropriate, the Pension Plan and the provisions thereof are hereby incorporated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 - Definitions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2.1 Accrued Pension Benefit - means the amount of retirement income payable under the Pension Plan to or with respect to a participant at or after termination of employment, or such earlier date requiring payment under this Plan.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2.2 Actuarial Equivalent or Actuarially Equivalent – means, except as otherwise provided in the Plan, a benefit having the same actuarial value as the benefit it replaces, determined using the same assumptions and methods as are used for determining actuarial equivalency benefit under the Pension Plan.</w:t>
      </w:r>
    </w:p>
    <w:p>
      <w:pPr>
        <w:spacing w:after="0" w:line="20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Board of Directors - means the Board of Directors of Honeywell.</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Code - means the Internal Revenue Code of 1986, as amended from time to time.</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Committee - means the Management Development and Compensation Committee of Honeywell.</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2.6 Earliest Retirement Date – means the earliest date as of which the participant would be eligible to commence the receipt of his Pension Plan benefit, whether or not he elects to commence receipt of such Pension Plan benefit as of such date.</w:t>
      </w:r>
    </w:p>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Honeywell - means Honeywell International Inc., a Delaware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20"/>
          <w:szCs w:val="20"/>
          <w:color w:val="auto"/>
        </w:rPr>
        <w:t>2.8 Incentive Plan – means the Salary and Incentive Award Deferral Plan for Selected Employees of Honeywell International Inc. and its Affiliates, as amended from time to time.</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2.9 Pension Plan - means the Provisions Relating to the UOP Pension Plan portion of the Honeywell Retirement Earnings Plan (Supplement HH) (or any successor defined benefit pension plan).</w:t>
      </w:r>
    </w:p>
    <w:p>
      <w:pPr>
        <w:spacing w:after="0" w:line="190"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Plan - means the UOP LLC Supplemental Pension Plan.</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2.11 Separation from Service Date – means the date on which the participant’s separation from service with UOP LLC, Honeywell and their subsidiaries and affiliates occurs within the meaning of Section 409A of the Code. A participant’s Separation from Service Date occurs when the facts and circumstances indicate that the employer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the employer).</w:t>
      </w:r>
    </w:p>
    <w:p>
      <w:pPr>
        <w:spacing w:after="0" w:line="2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2.12 Specified Employee – means any participant who, at any time during the twelve (12) month period ending on the identification date (as determined by the Honeywell Vice President, HR, Compensation and Benefits or his delegate), is a specified employee under Section 409A of the Code, as determined by the Honeywell Vice President, HR, Compensation and Benefits or his delegate, which determination of “specified employees” and identification date shall be made by the Honeywell Vice President, HR, Compensation and Benefits or his delegate in accordance with the provisions of Sections 416(i) and 409A of the Code and the regulations issued thereunder.</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2.13 Supplemental Benefit - means the excess, if any, of (i) the retirement income payable to or with respect to a participant under the Pension Plan that would have been accrued by the participant (1) had the amount of deferred compensation awards under the Incentive Plan been compensation included for calculating benefits under the Pension Plan in the year the award would otherwise have been earned or payable as recognized by the Pension Plan, (2) had participant deferred contributions, as that term is defined in the Supplemental Savings Plan, been compensation included for calculating benefits under the Pension Plan in the year the compensation would otherwise have been earned or payable as recognized by the Pension Plan, (3) had the limits of Code Section 415 and 401(a)(17) not been incorporated in the Pension Plan, and (4) had the participant met all the requirements for a benefit from the Pension Plan with respect to all other pension benefits which Honeywell has become contractually obligated to pay to the participant, over (ii) the participant's Accrued Pension Benefit. A participant’s Supplemental Benefits shall include an estimate of any compensation or service that is required to be taken into account under the Pension Plan after the participant receives payment of his Supplemental Benefits.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2.14 Supplemental Savings Plan – means the Supplemental Non-Qualified Savings Plan for Highly Compensated Employees of Honeywell International Inc. and its Subsidiaries, as amended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III - Participation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Participation in the Plan shall be limited to:</w:t>
      </w:r>
    </w:p>
    <w:p>
      <w:pPr>
        <w:spacing w:after="0" w:line="229" w:lineRule="exact"/>
        <w:rPr>
          <w:sz w:val="20"/>
          <w:szCs w:val="20"/>
          <w:color w:val="auto"/>
        </w:rPr>
      </w:pPr>
    </w:p>
    <w:p>
      <w:pPr>
        <w:ind w:firstLine="656"/>
        <w:spacing w:after="0" w:line="260" w:lineRule="auto"/>
        <w:tabs>
          <w:tab w:leader="none" w:pos="93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those participants in the Pension Plan (and their joint annuitants and beneficiaries) who as a result of having deferred an award under the Incentive Plan or having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2" w:name="page113"/>
    <w:bookmarkEnd w:id="112"/>
    <w:p>
      <w:pPr>
        <w:spacing w:after="0" w:line="260" w:lineRule="auto"/>
        <w:rPr>
          <w:sz w:val="20"/>
          <w:szCs w:val="20"/>
          <w:color w:val="auto"/>
        </w:rPr>
      </w:pPr>
      <w:r>
        <w:rPr>
          <w:rFonts w:ascii="Arial" w:cs="Arial" w:eastAsia="Arial" w:hAnsi="Arial"/>
          <w:sz w:val="20"/>
          <w:szCs w:val="20"/>
          <w:color w:val="auto"/>
        </w:rPr>
        <w:t>compensation under the Supplemental Savings Plan, receive or shall receive a lesser amount under the Pension Plan than would otherwise be paid or payable in the absence of such deferral; and</w:t>
      </w:r>
    </w:p>
    <w:p>
      <w:pPr>
        <w:spacing w:after="0" w:line="190" w:lineRule="exact"/>
        <w:rPr>
          <w:sz w:val="20"/>
          <w:szCs w:val="20"/>
          <w:color w:val="auto"/>
        </w:rPr>
      </w:pPr>
    </w:p>
    <w:p>
      <w:pPr>
        <w:jc w:val="both"/>
        <w:ind w:firstLine="656"/>
        <w:spacing w:after="0" w:line="250" w:lineRule="auto"/>
        <w:tabs>
          <w:tab w:leader="none" w:pos="943"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those participants in the Pension Plan (and their joint annuitants and beneficiaries) who as a result of the limitations contained in Code Sections 415 or 401(a)(17) receive or will receive a lesser amount under the Pension Plan than would otherwise be paid or payable in the absence of such limitations.</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the foregoing, except as otherwise provided by a contractual agreement between UOP LLC or Honeywell and an employee, an employee shall not participate in this Plan if he participates in another supplemental defined benefit pension plan sponsored by Honeywell or its affiliate (such as the Honeywell Supplemental Pension Plan, the UOP International Pension Plan for US Employees, the Norcross Supplemental Pension Plan or the Novar Supplemental Retirement Income Plan).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IV - Supplemental Benefit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4.01 Payment of Supplemental Benefit</w:t>
      </w:r>
    </w:p>
    <w:p>
      <w:pPr>
        <w:spacing w:after="0" w:line="229" w:lineRule="exact"/>
        <w:rPr>
          <w:sz w:val="20"/>
          <w:szCs w:val="20"/>
          <w:color w:val="auto"/>
        </w:rPr>
      </w:pPr>
    </w:p>
    <w:p>
      <w:pPr>
        <w:jc w:val="both"/>
        <w:ind w:firstLine="656"/>
        <w:spacing w:after="0" w:line="244" w:lineRule="auto"/>
        <w:tabs>
          <w:tab w:leader="none" w:pos="917" w:val="left"/>
        </w:tabs>
        <w:numPr>
          <w:ilvl w:val="0"/>
          <w:numId w:val="42"/>
        </w:numPr>
        <w:rPr>
          <w:rFonts w:ascii="Arial" w:cs="Arial" w:eastAsia="Arial" w:hAnsi="Arial"/>
          <w:sz w:val="20"/>
          <w:szCs w:val="20"/>
          <w:color w:val="auto"/>
        </w:rPr>
      </w:pPr>
      <w:r>
        <w:rPr>
          <w:rFonts w:ascii="Arial" w:cs="Arial" w:eastAsia="Arial" w:hAnsi="Arial"/>
          <w:sz w:val="20"/>
          <w:szCs w:val="20"/>
          <w:color w:val="auto"/>
        </w:rPr>
        <w:t>Supplemental Benefits shall be payable directly to such participant, or such participant's joint annuitant or beneficiary, as applicable, from the general assets of Honeywell and Honeywell shall not be under any obligation to set aside any funds or other assets for the payment of the Supplemental Benefits under this Plan. Honeywell may, in its sole discretion, establish funds for payment of these Supplemental Benefits. However, any and all such funds shall remain assets of Honeywell and subject to the claims of creditors of the corporation. Such funds, if any, shall not be deemed to be assets of this Plan.</w:t>
      </w:r>
    </w:p>
    <w:p>
      <w:pPr>
        <w:spacing w:after="0" w:line="208" w:lineRule="exact"/>
        <w:rPr>
          <w:rFonts w:ascii="Arial" w:cs="Arial" w:eastAsia="Arial" w:hAnsi="Arial"/>
          <w:sz w:val="20"/>
          <w:szCs w:val="20"/>
          <w:color w:val="auto"/>
        </w:rPr>
      </w:pPr>
    </w:p>
    <w:p>
      <w:pPr>
        <w:ind w:left="940" w:hanging="284"/>
        <w:spacing w:after="0"/>
        <w:tabs>
          <w:tab w:leader="none" w:pos="94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following rules shall be used in determining the time and form of payment for the Supplemental Benefits:</w:t>
      </w:r>
    </w:p>
    <w:p>
      <w:pPr>
        <w:spacing w:after="0" w:line="15" w:lineRule="exact"/>
        <w:rPr>
          <w:rFonts w:ascii="Arial" w:cs="Arial" w:eastAsia="Arial" w:hAnsi="Arial"/>
          <w:sz w:val="20"/>
          <w:szCs w:val="20"/>
          <w:color w:val="auto"/>
        </w:rPr>
      </w:pPr>
    </w:p>
    <w:p>
      <w:pPr>
        <w:jc w:val="both"/>
        <w:ind w:firstLine="1305"/>
        <w:spacing w:after="0"/>
        <w:tabs>
          <w:tab w:leader="none" w:pos="1929" w:val="left"/>
        </w:tabs>
        <w:numPr>
          <w:ilvl w:val="1"/>
          <w:numId w:val="42"/>
        </w:numPr>
        <w:rPr>
          <w:rFonts w:ascii="Arial" w:cs="Arial" w:eastAsia="Arial" w:hAnsi="Arial"/>
          <w:sz w:val="20"/>
          <w:szCs w:val="20"/>
          <w:color w:val="auto"/>
        </w:rPr>
      </w:pPr>
      <w:r>
        <w:rPr>
          <w:rFonts w:ascii="Arial" w:cs="Arial" w:eastAsia="Arial" w:hAnsi="Arial"/>
          <w:sz w:val="20"/>
          <w:szCs w:val="20"/>
          <w:color w:val="auto"/>
        </w:rPr>
        <w:t>Except as otherwise provided in this paragraph (b), the participant’s Supplemental Benefits shall be paid in an annuity form with such participant entitled to elect from among the Actuarially Equivalent annuity forms of payment available to the participant under the Pension Plan other than annuity forms with a level income option, and such payments to begin as of the first day of the month following 105 days after the later of the participant’s Separation from Service Date or Earliest Retirement Date. If a participant fails to elect an annuity payment form, his Supplemental Benefits shall be paid in a single life annuity if he is unmarried on his benefit commencement date or in a joint and 50% survivor annuity, with his spouse on his benefit commencement date as his contingent annuitant, if he is married on his benefit commencement date.</w:t>
      </w:r>
    </w:p>
    <w:p>
      <w:pPr>
        <w:spacing w:after="0" w:line="211" w:lineRule="exact"/>
        <w:rPr>
          <w:sz w:val="20"/>
          <w:szCs w:val="20"/>
          <w:color w:val="auto"/>
        </w:rPr>
      </w:pPr>
    </w:p>
    <w:p>
      <w:pPr>
        <w:jc w:val="both"/>
        <w:ind w:firstLine="1305"/>
        <w:spacing w:after="0" w:line="250" w:lineRule="auto"/>
        <w:tabs>
          <w:tab w:leader="none" w:pos="2047" w:val="left"/>
        </w:tabs>
        <w:numPr>
          <w:ilvl w:val="1"/>
          <w:numId w:val="43"/>
        </w:numPr>
        <w:rPr>
          <w:rFonts w:ascii="Arial" w:cs="Arial" w:eastAsia="Arial" w:hAnsi="Arial"/>
          <w:sz w:val="20"/>
          <w:szCs w:val="20"/>
          <w:color w:val="auto"/>
        </w:rPr>
      </w:pPr>
      <w:r>
        <w:rPr>
          <w:rFonts w:ascii="Arial" w:cs="Arial" w:eastAsia="Arial" w:hAnsi="Arial"/>
          <w:sz w:val="20"/>
          <w:szCs w:val="20"/>
          <w:color w:val="auto"/>
        </w:rPr>
        <w:t>If the Actuarial Equivalent lump sum value of a participant’s Supplemental Benefits is $10,000 or less, then such Supplemental Benefits shall be paid to the participant in a single lump sum as of the first day of the month following 105 days after the later of the participant’s Separation from Service Date or Earliest Retirement Date.</w:t>
      </w:r>
    </w:p>
    <w:p>
      <w:pPr>
        <w:spacing w:after="0" w:line="199" w:lineRule="exact"/>
        <w:rPr>
          <w:rFonts w:ascii="Arial" w:cs="Arial" w:eastAsia="Arial" w:hAnsi="Arial"/>
          <w:sz w:val="20"/>
          <w:szCs w:val="20"/>
          <w:color w:val="auto"/>
        </w:rPr>
      </w:pPr>
    </w:p>
    <w:p>
      <w:pPr>
        <w:ind w:right="20" w:firstLine="1305"/>
        <w:spacing w:after="0" w:line="260" w:lineRule="auto"/>
        <w:tabs>
          <w:tab w:leader="none" w:pos="1871" w:val="left"/>
        </w:tabs>
        <w:numPr>
          <w:ilvl w:val="1"/>
          <w:numId w:val="43"/>
        </w:numPr>
        <w:rPr>
          <w:rFonts w:ascii="Arial" w:cs="Arial" w:eastAsia="Arial" w:hAnsi="Arial"/>
          <w:sz w:val="20"/>
          <w:szCs w:val="20"/>
          <w:color w:val="auto"/>
        </w:rPr>
      </w:pPr>
      <w:r>
        <w:rPr>
          <w:rFonts w:ascii="Arial" w:cs="Arial" w:eastAsia="Arial" w:hAnsi="Arial"/>
          <w:sz w:val="20"/>
          <w:szCs w:val="20"/>
          <w:color w:val="auto"/>
        </w:rPr>
        <w:t>A participant who is entitled to Supplemental Benefits and whose Separation from Service Date and Earliest Retirement Date both occur before July 1, 2009 shall receive his Supplemental Benefits as of July 1, 2009.</w:t>
      </w:r>
    </w:p>
    <w:p>
      <w:pPr>
        <w:spacing w:after="0" w:line="190" w:lineRule="exact"/>
        <w:rPr>
          <w:rFonts w:ascii="Arial" w:cs="Arial" w:eastAsia="Arial" w:hAnsi="Arial"/>
          <w:sz w:val="20"/>
          <w:szCs w:val="20"/>
          <w:color w:val="auto"/>
        </w:rPr>
      </w:pPr>
    </w:p>
    <w:p>
      <w:pPr>
        <w:ind w:right="20" w:firstLine="656"/>
        <w:spacing w:after="0" w:line="260" w:lineRule="auto"/>
        <w:tabs>
          <w:tab w:leader="none" w:pos="1371" w:val="left"/>
        </w:tabs>
        <w:numPr>
          <w:ilvl w:val="0"/>
          <w:numId w:val="44"/>
        </w:numPr>
        <w:rPr>
          <w:rFonts w:ascii="Arial" w:cs="Arial" w:eastAsia="Arial" w:hAnsi="Arial"/>
          <w:sz w:val="20"/>
          <w:szCs w:val="20"/>
          <w:color w:val="auto"/>
        </w:rPr>
      </w:pPr>
      <w:r>
        <w:rPr>
          <w:rFonts w:ascii="Arial" w:cs="Arial" w:eastAsia="Arial" w:hAnsi="Arial"/>
          <w:sz w:val="20"/>
          <w:szCs w:val="20"/>
          <w:color w:val="auto"/>
        </w:rPr>
        <w:t>A participant’s Supplemental Benefits shall include an estimate of any service or compensation following the participant’s benefit commencement date that is required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3" w:name="page114"/>
    <w:bookmarkEnd w:id="113"/>
    <w:p>
      <w:pPr>
        <w:spacing w:after="0" w:line="260" w:lineRule="auto"/>
        <w:rPr>
          <w:sz w:val="20"/>
          <w:szCs w:val="20"/>
          <w:color w:val="auto"/>
        </w:rPr>
      </w:pPr>
      <w:r>
        <w:rPr>
          <w:rFonts w:ascii="Arial" w:cs="Arial" w:eastAsia="Arial" w:hAnsi="Arial"/>
          <w:sz w:val="20"/>
          <w:szCs w:val="20"/>
          <w:color w:val="auto"/>
        </w:rPr>
        <w:t>into account in calculating a participant’s Supplemental Benefits. In no event will Honeywell be required to recalculate or otherwise true up the Supplemental Benefits actually paid.</w:t>
      </w:r>
    </w:p>
    <w:p>
      <w:pPr>
        <w:spacing w:after="0" w:line="190" w:lineRule="exact"/>
        <w:rPr>
          <w:sz w:val="20"/>
          <w:szCs w:val="20"/>
          <w:color w:val="auto"/>
        </w:rPr>
      </w:pPr>
    </w:p>
    <w:p>
      <w:pPr>
        <w:ind w:firstLine="656"/>
        <w:spacing w:after="0" w:line="260" w:lineRule="auto"/>
        <w:tabs>
          <w:tab w:leader="none" w:pos="1373"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 the purpose of determining the Actuarial Equivalent present value of a Participant's accrued Supplemental Benefit, the "Applicable Mortality Table" and the "Applicable Interest Rate" shall be used, as defined below.</w:t>
      </w:r>
    </w:p>
    <w:p>
      <w:pPr>
        <w:spacing w:after="0" w:line="190" w:lineRule="exact"/>
        <w:rPr>
          <w:sz w:val="20"/>
          <w:szCs w:val="20"/>
          <w:color w:val="auto"/>
        </w:rPr>
      </w:pPr>
    </w:p>
    <w:p>
      <w:pPr>
        <w:ind w:left="1960" w:right="5800" w:hanging="331"/>
        <w:spacing w:after="0" w:line="302" w:lineRule="auto"/>
        <w:tabs>
          <w:tab w:leader="none" w:pos="191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"Applicable Mortality Table" means the mortality table prescribed by the Secretary of the Treasury pursuant to Code Section 417(e). Such table shall be based on the prevailing commissioners' standard table (described in Code Section 807(d)(5)(A)) used to determine reserves for group annuity contracts issued on</w:t>
      </w:r>
    </w:p>
    <w:p>
      <w:pPr>
        <w:spacing w:after="0" w:line="2" w:lineRule="exact"/>
        <w:rPr>
          <w:rFonts w:ascii="Arial" w:cs="Arial" w:eastAsia="Arial" w:hAnsi="Arial"/>
          <w:sz w:val="16"/>
          <w:szCs w:val="16"/>
          <w:color w:val="auto"/>
        </w:rPr>
      </w:pPr>
    </w:p>
    <w:p>
      <w:pPr>
        <w:ind w:left="1960" w:right="4880"/>
        <w:spacing w:after="0" w:line="241" w:lineRule="auto"/>
        <w:rPr>
          <w:rFonts w:ascii="Arial" w:cs="Arial" w:eastAsia="Arial" w:hAnsi="Arial"/>
          <w:sz w:val="16"/>
          <w:szCs w:val="16"/>
          <w:color w:val="auto"/>
        </w:rPr>
      </w:pPr>
      <w:r>
        <w:rPr>
          <w:rFonts w:ascii="Arial" w:cs="Arial" w:eastAsia="Arial" w:hAnsi="Arial"/>
          <w:sz w:val="20"/>
          <w:szCs w:val="20"/>
          <w:color w:val="auto"/>
        </w:rPr>
        <w:t>the date as of which the present value is being determined (without regard to any other subparagraph of Code Section 807(d)(5)).</w:t>
      </w:r>
    </w:p>
    <w:p>
      <w:pPr>
        <w:spacing w:after="0" w:line="209" w:lineRule="exact"/>
        <w:rPr>
          <w:rFonts w:ascii="Arial" w:cs="Arial" w:eastAsia="Arial" w:hAnsi="Arial"/>
          <w:sz w:val="16"/>
          <w:szCs w:val="16"/>
          <w:color w:val="auto"/>
        </w:rPr>
      </w:pPr>
    </w:p>
    <w:p>
      <w:pPr>
        <w:ind w:left="1900" w:hanging="271"/>
        <w:spacing w:after="0"/>
        <w:tabs>
          <w:tab w:leader="none" w:pos="19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"Applicable Interest Rate" means the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average annual rate of interest on 30-year</w:t>
      </w:r>
    </w:p>
    <w:p>
      <w:pPr>
        <w:ind w:left="1960"/>
        <w:spacing w:after="0"/>
        <w:rPr>
          <w:sz w:val="20"/>
          <w:szCs w:val="20"/>
          <w:color w:val="auto"/>
        </w:rPr>
      </w:pPr>
      <w:r>
        <w:rPr>
          <w:rFonts w:ascii="Arial" w:cs="Arial" w:eastAsia="Arial" w:hAnsi="Arial"/>
          <w:sz w:val="20"/>
          <w:szCs w:val="20"/>
          <w:color w:val="auto"/>
        </w:rPr>
        <w:t>Treasury securities determined as of the third</w:t>
      </w:r>
    </w:p>
    <w:p>
      <w:pPr>
        <w:ind w:left="1960"/>
        <w:spacing w:after="0"/>
        <w:rPr>
          <w:sz w:val="20"/>
          <w:szCs w:val="20"/>
          <w:color w:val="auto"/>
        </w:rPr>
      </w:pPr>
      <w:r>
        <w:rPr>
          <w:rFonts w:ascii="Arial" w:cs="Arial" w:eastAsia="Arial" w:hAnsi="Arial"/>
          <w:sz w:val="20"/>
          <w:szCs w:val="20"/>
          <w:color w:val="auto"/>
        </w:rPr>
        <w:t>calendar month preceding the month during which</w:t>
      </w:r>
    </w:p>
    <w:p>
      <w:pPr>
        <w:ind w:left="1960"/>
        <w:spacing w:after="0"/>
        <w:rPr>
          <w:sz w:val="20"/>
          <w:szCs w:val="20"/>
          <w:color w:val="auto"/>
        </w:rPr>
      </w:pPr>
      <w:r>
        <w:rPr>
          <w:rFonts w:ascii="Arial" w:cs="Arial" w:eastAsia="Arial" w:hAnsi="Arial"/>
          <w:sz w:val="20"/>
          <w:szCs w:val="20"/>
          <w:color w:val="auto"/>
        </w:rPr>
        <w:t>the benefit commencement occurs.</w:t>
      </w:r>
    </w:p>
    <w:p>
      <w:pPr>
        <w:spacing w:after="0" w:line="213" w:lineRule="exact"/>
        <w:rPr>
          <w:sz w:val="20"/>
          <w:szCs w:val="20"/>
          <w:color w:val="auto"/>
        </w:rPr>
      </w:pPr>
    </w:p>
    <w:p>
      <w:pPr>
        <w:jc w:val="both"/>
        <w:ind w:firstLine="656"/>
        <w:spacing w:after="0" w:line="246" w:lineRule="auto"/>
        <w:tabs>
          <w:tab w:leader="none" w:pos="124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the event that a Supplemental Benefit becomes payable and the Pension Plan is terminated in accordance with its terms, then the Participant shall have a right to only the Supplemental Benefit accrued to the date of termination of the Pension Plan. In such event, Honeywell shall remain liable for the payment of the Supplemental Benefit and payment shall be made at such times and in such manner as provided in this Section 4.01.</w:t>
      </w:r>
    </w:p>
    <w:p>
      <w:pPr>
        <w:spacing w:after="0" w:line="205" w:lineRule="exact"/>
        <w:rPr>
          <w:rFonts w:ascii="Arial" w:cs="Arial" w:eastAsia="Arial" w:hAnsi="Arial"/>
          <w:sz w:val="20"/>
          <w:szCs w:val="20"/>
          <w:color w:val="auto"/>
        </w:rPr>
      </w:pPr>
    </w:p>
    <w:p>
      <w:pPr>
        <w:jc w:val="both"/>
        <w:ind w:firstLine="656"/>
        <w:spacing w:after="0" w:line="246" w:lineRule="auto"/>
        <w:tabs>
          <w:tab w:leader="none" w:pos="125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rights and interest of any participant, joint annuitant, or beneficiary to a Supplemental Benefit under this Plan shall be the same as any other unsecured creditor of Honeywell (or any successor thereto). In the event of any bankruptcy proceeding by or against Honeywell, a participant, joint annuitant or beneficiary shall be entitled to prove a claim for any unpaid portion of the benefit provided by the Plan.</w:t>
      </w:r>
    </w:p>
    <w:p>
      <w:pPr>
        <w:spacing w:after="0" w:line="205" w:lineRule="exact"/>
        <w:rPr>
          <w:rFonts w:ascii="Arial" w:cs="Arial" w:eastAsia="Arial" w:hAnsi="Arial"/>
          <w:sz w:val="20"/>
          <w:szCs w:val="20"/>
          <w:color w:val="auto"/>
        </w:rPr>
      </w:pPr>
    </w:p>
    <w:p>
      <w:pPr>
        <w:ind w:firstLine="656"/>
        <w:spacing w:after="0" w:line="260" w:lineRule="auto"/>
        <w:tabs>
          <w:tab w:leader="none" w:pos="1229" w:val="left"/>
        </w:tabs>
        <w:numPr>
          <w:ilvl w:val="0"/>
          <w:numId w:val="47"/>
        </w:numPr>
        <w:rPr>
          <w:rFonts w:ascii="Arial" w:cs="Arial" w:eastAsia="Arial" w:hAnsi="Arial"/>
          <w:sz w:val="20"/>
          <w:szCs w:val="20"/>
          <w:color w:val="auto"/>
        </w:rPr>
      </w:pPr>
      <w:r>
        <w:rPr>
          <w:rFonts w:ascii="Arial" w:cs="Arial" w:eastAsia="Arial" w:hAnsi="Arial"/>
          <w:sz w:val="20"/>
          <w:szCs w:val="20"/>
          <w:color w:val="auto"/>
        </w:rPr>
        <w:t>No person shall have a right to acceleration of any payment under the Plan. No person shall be entitled to anticipate such benefit by assignment, pledge or transfer in any form or manner prior to actual or constructive receipt of payment.</w:t>
      </w:r>
    </w:p>
    <w:p>
      <w:pPr>
        <w:spacing w:after="0" w:line="190" w:lineRule="exact"/>
        <w:rPr>
          <w:rFonts w:ascii="Arial" w:cs="Arial" w:eastAsia="Arial" w:hAnsi="Arial"/>
          <w:sz w:val="20"/>
          <w:szCs w:val="20"/>
          <w:color w:val="auto"/>
        </w:rPr>
      </w:pPr>
    </w:p>
    <w:p>
      <w:pPr>
        <w:jc w:val="both"/>
        <w:ind w:firstLine="656"/>
        <w:spacing w:after="0" w:line="260" w:lineRule="auto"/>
        <w:tabs>
          <w:tab w:leader="none" w:pos="1324"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Notwithstanding any provision of this Section 4.01 to the contrary, if a participant is a Specified Employee at his Separation from Service Date and payment under this Section 4.01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4" w:name="page115"/>
    <w:bookmarkEnd w:id="114"/>
    <w:p>
      <w:pPr>
        <w:spacing w:after="0"/>
        <w:tabs>
          <w:tab w:leader="none" w:pos="68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6"/>
          <w:szCs w:val="16"/>
          <w:color w:val="auto"/>
        </w:rPr>
        <w:t>Death Benefits</w:t>
      </w:r>
    </w:p>
    <w:p>
      <w:pPr>
        <w:spacing w:after="0" w:line="229" w:lineRule="exact"/>
        <w:rPr>
          <w:sz w:val="20"/>
          <w:szCs w:val="20"/>
          <w:color w:val="auto"/>
        </w:rPr>
      </w:pPr>
    </w:p>
    <w:p>
      <w:pPr>
        <w:ind w:firstLine="656"/>
        <w:spacing w:after="0" w:line="260" w:lineRule="auto"/>
        <w:tabs>
          <w:tab w:leader="none" w:pos="1239"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a participant receives his Supplemental Benefits in a single lump sum payment, no Supplemental Benefits shall be paid to his surviving spouse or beneficiary following his death.</w:t>
      </w:r>
    </w:p>
    <w:p>
      <w:pPr>
        <w:spacing w:after="0" w:line="190" w:lineRule="exact"/>
        <w:rPr>
          <w:rFonts w:ascii="Arial" w:cs="Arial" w:eastAsia="Arial" w:hAnsi="Arial"/>
          <w:sz w:val="20"/>
          <w:szCs w:val="20"/>
          <w:color w:val="auto"/>
        </w:rPr>
      </w:pPr>
    </w:p>
    <w:p>
      <w:pPr>
        <w:jc w:val="both"/>
        <w:ind w:firstLine="656"/>
        <w:spacing w:after="0" w:line="250" w:lineRule="auto"/>
        <w:tabs>
          <w:tab w:leader="none" w:pos="1299"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a participant elects to receive his Supplemental Benefits in an annuity that provides a survivor annuity or death benefit, the participant’s surviving spouse or beneficiary, as applicable, shall receive the applicable survivor benefit or death benefit following the participant’s death.</w:t>
      </w:r>
    </w:p>
    <w:p>
      <w:pPr>
        <w:spacing w:after="0" w:line="199" w:lineRule="exact"/>
        <w:rPr>
          <w:rFonts w:ascii="Arial" w:cs="Arial" w:eastAsia="Arial" w:hAnsi="Arial"/>
          <w:sz w:val="20"/>
          <w:szCs w:val="20"/>
          <w:color w:val="auto"/>
        </w:rPr>
      </w:pPr>
    </w:p>
    <w:p>
      <w:pPr>
        <w:jc w:val="both"/>
        <w:ind w:firstLine="656"/>
        <w:spacing w:after="0" w:line="276" w:lineRule="auto"/>
        <w:tabs>
          <w:tab w:leader="none" w:pos="122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participant dies before he receives his Supplemental Benefits, his surviving spouse or beneficiary shall receive the Actuarial Equivalent value of any pre-retirement surviving spouse benefits or death benefits provided by the Pension Plan in the form of a single lump sum payment if the Actuarial Equivalent lump sum value of the Supplemental Benefits payable to the surviving spouse or beneficiary is $10,000 or less or in the form of a single life annuity if the Actuarial Equivalent lump sum value of the Supplemental Benefits payable to the surviving spouse or beneficiary is more than $10,000. Such payment will be paid or begin to be paid as of the first day of the month following 105 days after the later of the participant’s death or the date that would have been the participant’s Earliest Retirement Date.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 - Administration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5.01 Plan Administrator - The Plan Administrator shall be the Honeywell Vice President, HR, Compensation and Benefits. Such Plan Administrator shall serve without compensation. The Plan Administrator shall keep such records as necessary for the proper administration of the Plan and shall report to the Committee at such time or times as the Committee shall designate.</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5.02 Benefit Determination - The Plan Administrator shall determine the amount and timing of any benefit paid under the Plan. The Plan Administrator shall rely on the records of Honeywell in determining any participant's eligibility for and amount of benefit under the Plan. In the event that the Plan Administrator's reliance on the records of Honeywell causes a benefit to be over or under paid, the Plan Administrator shall adjust future payments to be increased or decreased as required. If such future payments are insufficient to recover any overpayment to a participant, the Plan Administrator shall withhold any payments then due a participant and take any action deemed appropriate to recover the balance of the overpayment.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5.03 Benefit Appeals - The Plan Administrator shall establish an appeals procedure as defined by U.S. Department of Labor regulations. Such procedures will provide that the participant has sixty (60) days upon receipt of any benefits or denial of benefits to file an appeal with the Plan Administrator. The Plan Administrator must respond within sixty (60) days of receiving the appeal, in writing, specifically identifying those Plan provisions on which the benefit denial was based and indicating what information the participant must supply in order to perfect a claim for benefits.</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5.04 Nonduplication of Benefits - To avoid the duplication of benefits, the amount of any similar benefits under this Plan shall be offset and reduced by the amount of any similar benefit provided the participant under other supplemental pension plans sponsored by Honeywell International Inc. or its subsidiaries or affiliates (other than the Honeywell International Inc. Supplemental Executive Retirement Plan for Executives in Career Band 6 and Above) for which the participant may be eligible, provided however that payment under all plans shall begin at the same time and in the same form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5" w:name="page116"/>
    <w:bookmarkEnd w:id="115"/>
    <w:p>
      <w:pPr>
        <w:jc w:val="both"/>
        <w:spacing w:after="0" w:line="257" w:lineRule="auto"/>
        <w:rPr>
          <w:sz w:val="20"/>
          <w:szCs w:val="20"/>
          <w:color w:val="auto"/>
        </w:rPr>
      </w:pPr>
      <w:r>
        <w:rPr>
          <w:rFonts w:ascii="Arial" w:cs="Arial" w:eastAsia="Arial" w:hAnsi="Arial"/>
          <w:sz w:val="19"/>
          <w:szCs w:val="19"/>
          <w:color w:val="auto"/>
        </w:rPr>
        <w:t>5.05 Compliance with Section 409A of the Code –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VI - Amendment and Termination</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6.01 Plan Amendments - Honeywell reserves the right to amend the plan from time to time. The Plan may be amended by the Committee or its delegate; provided however, that no amendment shall reduce any benefit being paid or then payable to a participant. Further, no amendment shall reduce the benefits provided by the Plan to participants or alter in any manner the rights of the participants to benefits already accrued and provided under this Plan.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6.02 Plan Termination - Honeywell reserves the right to terminate the Plan. However, such termination shall not adversely affect the rights of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16" w:name="page117"/>
    <w:bookmarkEnd w:id="116"/>
    <w:p>
      <w:pPr>
        <w:ind w:left="10380"/>
        <w:spacing w:after="0"/>
        <w:rPr>
          <w:sz w:val="20"/>
          <w:szCs w:val="20"/>
          <w:color w:val="auto"/>
        </w:rPr>
      </w:pPr>
      <w:r>
        <w:rPr>
          <w:rFonts w:ascii="Arial" w:cs="Arial" w:eastAsia="Arial" w:hAnsi="Arial"/>
          <w:sz w:val="19"/>
          <w:szCs w:val="19"/>
          <w:b w:val="1"/>
          <w:bCs w:val="1"/>
          <w:color w:val="auto"/>
        </w:rPr>
        <w:t>EXHIBIT 12</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STATEMENT RE: COMPUTATION OF RATIO OF EARNINGS TO FIXED CHARGES</w:t>
      </w:r>
    </w:p>
    <w:p>
      <w:pPr>
        <w:jc w:val="center"/>
        <w:spacing w:after="0"/>
        <w:rPr>
          <w:sz w:val="20"/>
          <w:szCs w:val="20"/>
          <w:color w:val="auto"/>
        </w:rPr>
      </w:pPr>
      <w:r>
        <w:rPr>
          <w:rFonts w:ascii="Arial" w:cs="Arial" w:eastAsia="Arial" w:hAnsi="Arial"/>
          <w:sz w:val="19"/>
          <w:szCs w:val="19"/>
          <w:b w:val="1"/>
          <w:b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10"/>
        </w:trPr>
        <w:tc>
          <w:tcPr>
            <w:tcW w:w="64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Determination of Earnings:</w:t>
            </w: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360"/>
              <w:spacing w:after="0"/>
              <w:rPr>
                <w:sz w:val="20"/>
                <w:szCs w:val="20"/>
                <w:color w:val="auto"/>
              </w:rPr>
            </w:pPr>
            <w:r>
              <w:rPr>
                <w:rFonts w:ascii="Arial" w:cs="Arial" w:eastAsia="Arial" w:hAnsi="Arial"/>
                <w:sz w:val="19"/>
                <w:szCs w:val="19"/>
                <w:color w:val="auto"/>
              </w:rPr>
              <w:t>Income before taxes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6,902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6,447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6,586</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5,818</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5,412</w:t>
            </w:r>
          </w:p>
        </w:tc>
        <w:tc>
          <w:tcPr>
            <w:tcW w:w="0" w:type="dxa"/>
            <w:vAlign w:val="bottom"/>
          </w:tcPr>
          <w:p>
            <w:pPr>
              <w:spacing w:after="0"/>
              <w:rPr>
                <w:sz w:val="1"/>
                <w:szCs w:val="1"/>
                <w:color w:val="auto"/>
              </w:rPr>
            </w:pPr>
          </w:p>
        </w:tc>
      </w:tr>
      <w:tr>
        <w:trPr>
          <w:trHeight w:val="216"/>
        </w:trPr>
        <w:tc>
          <w:tcPr>
            <w:tcW w:w="64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Add (Deduct):</w:t>
            </w: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720"/>
              <w:spacing w:after="0"/>
              <w:rPr>
                <w:sz w:val="20"/>
                <w:szCs w:val="20"/>
                <w:color w:val="auto"/>
              </w:rPr>
            </w:pPr>
            <w:r>
              <w:rPr>
                <w:rFonts w:ascii="Arial" w:cs="Arial" w:eastAsia="Arial" w:hAnsi="Arial"/>
                <w:sz w:val="19"/>
                <w:szCs w:val="19"/>
                <w:color w:val="auto"/>
              </w:rPr>
              <w:t>Amortization of capitalized interest</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ind w:left="720"/>
              <w:spacing w:after="0"/>
              <w:rPr>
                <w:sz w:val="20"/>
                <w:szCs w:val="20"/>
                <w:color w:val="auto"/>
              </w:rPr>
            </w:pPr>
            <w:r>
              <w:rPr>
                <w:rFonts w:ascii="Arial" w:cs="Arial" w:eastAsia="Arial" w:hAnsi="Arial"/>
                <w:sz w:val="19"/>
                <w:szCs w:val="19"/>
                <w:color w:val="auto"/>
              </w:rPr>
              <w:t>Fixed charges</w:t>
            </w: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364</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371</w:t>
            </w:r>
          </w:p>
        </w:tc>
        <w:tc>
          <w:tcPr>
            <w:tcW w:w="0" w:type="dxa"/>
            <w:vAlign w:val="bottom"/>
          </w:tcPr>
          <w:p>
            <w:pPr>
              <w:spacing w:after="0"/>
              <w:rPr>
                <w:sz w:val="1"/>
                <w:szCs w:val="1"/>
                <w:color w:val="auto"/>
              </w:rPr>
            </w:pPr>
          </w:p>
        </w:tc>
      </w:tr>
      <w:tr>
        <w:trPr>
          <w:trHeight w:val="250"/>
        </w:trPr>
        <w:tc>
          <w:tcPr>
            <w:tcW w:w="6460" w:type="dxa"/>
            <w:vAlign w:val="bottom"/>
          </w:tcPr>
          <w:p>
            <w:pPr>
              <w:ind w:left="720"/>
              <w:spacing w:after="0"/>
              <w:rPr>
                <w:sz w:val="20"/>
                <w:szCs w:val="20"/>
                <w:color w:val="auto"/>
              </w:rPr>
            </w:pPr>
            <w:r>
              <w:rPr>
                <w:rFonts w:ascii="Arial" w:cs="Arial" w:eastAsia="Arial" w:hAnsi="Arial"/>
                <w:sz w:val="19"/>
                <w:szCs w:val="19"/>
                <w:color w:val="auto"/>
              </w:rPr>
              <w:t>Equity income, net of distributions</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ind w:left="1080"/>
              <w:spacing w:after="0"/>
              <w:rPr>
                <w:sz w:val="20"/>
                <w:szCs w:val="20"/>
                <w:color w:val="auto"/>
              </w:rPr>
            </w:pPr>
            <w:r>
              <w:rPr>
                <w:rFonts w:ascii="Arial" w:cs="Arial" w:eastAsia="Arial" w:hAnsi="Arial"/>
                <w:sz w:val="19"/>
                <w:szCs w:val="19"/>
                <w:b w:val="1"/>
                <w:bCs w:val="1"/>
                <w:color w:val="auto"/>
              </w:rPr>
              <w:t>Total earnings, as defined</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7,235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6,814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6,931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6,165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5,767</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Rents(1)</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50"/>
        </w:trPr>
        <w:tc>
          <w:tcPr>
            <w:tcW w:w="6460" w:type="dxa"/>
            <w:vAlign w:val="bottom"/>
          </w:tcPr>
          <w:p>
            <w:pPr>
              <w:ind w:left="360"/>
              <w:spacing w:after="0"/>
              <w:rPr>
                <w:sz w:val="20"/>
                <w:szCs w:val="20"/>
                <w:color w:val="auto"/>
              </w:rPr>
            </w:pPr>
            <w:r>
              <w:rPr>
                <w:rFonts w:ascii="Arial" w:cs="Arial" w:eastAsia="Arial" w:hAnsi="Arial"/>
                <w:sz w:val="19"/>
                <w:szCs w:val="19"/>
                <w:color w:val="auto"/>
              </w:rPr>
              <w:t>Interest and other financial charges</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318</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327</w:t>
            </w: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364</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371</w:t>
            </w:r>
          </w:p>
        </w:tc>
        <w:tc>
          <w:tcPr>
            <w:tcW w:w="0" w:type="dxa"/>
            <w:vAlign w:val="bottom"/>
          </w:tcPr>
          <w:p>
            <w:pPr>
              <w:spacing w:after="0"/>
              <w:rPr>
                <w:sz w:val="1"/>
                <w:szCs w:val="1"/>
                <w:color w:val="auto"/>
              </w:rPr>
            </w:pPr>
          </w:p>
        </w:tc>
      </w:tr>
      <w:tr>
        <w:trPr>
          <w:trHeight w:val="250"/>
        </w:trPr>
        <w:tc>
          <w:tcPr>
            <w:tcW w:w="6460" w:type="dxa"/>
            <w:vAlign w:val="bottom"/>
          </w:tcPr>
          <w:p>
            <w:pPr>
              <w:ind w:left="360"/>
              <w:spacing w:after="0"/>
              <w:rPr>
                <w:sz w:val="20"/>
                <w:szCs w:val="20"/>
                <w:color w:val="auto"/>
              </w:rPr>
            </w:pPr>
            <w:r>
              <w:rPr>
                <w:rFonts w:ascii="Arial" w:cs="Arial" w:eastAsia="Arial" w:hAnsi="Arial"/>
                <w:sz w:val="19"/>
                <w:szCs w:val="19"/>
                <w:color w:val="auto"/>
              </w:rPr>
              <w:t>Capitalized interest</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0" w:type="dxa"/>
            <w:vAlign w:val="bottom"/>
          </w:tcPr>
          <w:p>
            <w:pPr>
              <w:spacing w:after="0"/>
              <w:rPr>
                <w:sz w:val="1"/>
                <w:szCs w:val="1"/>
                <w:color w:val="auto"/>
              </w:rPr>
            </w:pPr>
          </w:p>
        </w:tc>
      </w:tr>
      <w:tr>
        <w:trPr>
          <w:trHeight w:val="243"/>
        </w:trPr>
        <w:tc>
          <w:tcPr>
            <w:tcW w:w="6460" w:type="dxa"/>
            <w:vAlign w:val="bottom"/>
            <w:shd w:val="clear" w:color="auto" w:fill="E5FFFF"/>
          </w:tcPr>
          <w:p>
            <w:pPr>
              <w:ind w:left="1080"/>
              <w:spacing w:after="0"/>
              <w:rPr>
                <w:sz w:val="20"/>
                <w:szCs w:val="20"/>
                <w:color w:val="auto"/>
              </w:rPr>
            </w:pPr>
            <w:r>
              <w:rPr>
                <w:rFonts w:ascii="Arial" w:cs="Arial" w:eastAsia="Arial" w:hAnsi="Arial"/>
                <w:sz w:val="19"/>
                <w:szCs w:val="19"/>
                <w:b w:val="1"/>
                <w:bCs w:val="1"/>
                <w:color w:val="auto"/>
              </w:rPr>
              <w:t>Total fixed charges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376</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60" w:type="dxa"/>
            <w:vAlign w:val="bottom"/>
          </w:tcPr>
          <w:p>
            <w:pPr>
              <w:spacing w:after="0"/>
              <w:rPr>
                <w:sz w:val="20"/>
                <w:szCs w:val="20"/>
                <w:color w:val="auto"/>
              </w:rPr>
            </w:pPr>
            <w:r>
              <w:rPr>
                <w:rFonts w:ascii="Arial" w:cs="Arial" w:eastAsia="Arial" w:hAnsi="Arial"/>
                <w:sz w:val="19"/>
                <w:szCs w:val="19"/>
                <w:b w:val="1"/>
                <w:bCs w:val="1"/>
                <w:color w:val="auto"/>
              </w:rPr>
              <w:t>Ratio of Earnings to Fixed Charges</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19.61</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16.99</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18.43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16.01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14.79</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20" w:right="600" w:hanging="338"/>
        <w:spacing w:after="0" w:line="253" w:lineRule="auto"/>
        <w:tabs>
          <w:tab w:leader="none" w:pos="4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8"/>
        </w:trPr>
        <w:tc>
          <w:tcPr>
            <w:tcW w:w="8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20" w:type="dxa"/>
            <w:vAlign w:val="bottom"/>
            <w:gridSpan w:val="2"/>
          </w:tcPr>
          <w:p>
            <w:pPr>
              <w:jc w:val="center"/>
              <w:ind w:left="183"/>
              <w:spacing w:after="0"/>
              <w:rPr>
                <w:sz w:val="20"/>
                <w:szCs w:val="20"/>
                <w:color w:val="auto"/>
              </w:rPr>
            </w:pPr>
            <w:r>
              <w:rPr>
                <w:rFonts w:ascii="Arial" w:cs="Arial" w:eastAsia="Arial" w:hAnsi="Arial"/>
                <w:sz w:val="19"/>
                <w:szCs w:val="19"/>
                <w:b w:val="1"/>
                <w:bCs w:val="1"/>
                <w:color w:val="auto"/>
              </w:rPr>
              <w:t>EXHIBIT 21</w:t>
            </w:r>
          </w:p>
        </w:tc>
        <w:tc>
          <w:tcPr>
            <w:tcW w:w="0" w:type="dxa"/>
            <w:vAlign w:val="bottom"/>
          </w:tcPr>
          <w:p>
            <w:pPr>
              <w:spacing w:after="0"/>
              <w:rPr>
                <w:sz w:val="1"/>
                <w:szCs w:val="1"/>
                <w:color w:val="auto"/>
              </w:rPr>
            </w:pPr>
          </w:p>
        </w:tc>
      </w:tr>
      <w:tr>
        <w:trPr>
          <w:trHeight w:val="553"/>
        </w:trPr>
        <w:tc>
          <w:tcPr>
            <w:tcW w:w="8000" w:type="dxa"/>
            <w:vAlign w:val="bottom"/>
          </w:tcPr>
          <w:p>
            <w:pPr>
              <w:ind w:left="3760"/>
              <w:spacing w:after="0"/>
              <w:rPr>
                <w:sz w:val="20"/>
                <w:szCs w:val="20"/>
                <w:color w:val="auto"/>
              </w:rPr>
            </w:pPr>
            <w:r>
              <w:rPr>
                <w:rFonts w:ascii="Arial" w:cs="Arial" w:eastAsia="Arial" w:hAnsi="Arial"/>
                <w:sz w:val="23"/>
                <w:szCs w:val="23"/>
                <w:b w:val="1"/>
                <w:bCs w:val="1"/>
                <w:color w:val="auto"/>
              </w:rPr>
              <w:t>HONEYWELL INTERNATIONAL INC.</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000" w:type="dxa"/>
            <w:vAlign w:val="bottom"/>
          </w:tcPr>
          <w:p>
            <w:pPr>
              <w:ind w:left="3980"/>
              <w:spacing w:after="0"/>
              <w:rPr>
                <w:sz w:val="20"/>
                <w:szCs w:val="20"/>
                <w:color w:val="auto"/>
              </w:rPr>
            </w:pPr>
            <w:r>
              <w:rPr>
                <w:rFonts w:ascii="Arial" w:cs="Arial" w:eastAsia="Arial" w:hAnsi="Arial"/>
                <w:sz w:val="19"/>
                <w:szCs w:val="19"/>
                <w:b w:val="1"/>
                <w:bCs w:val="1"/>
                <w:color w:val="auto"/>
              </w:rPr>
              <w:t>SUBSIDIARIES OF THE REGISTRANT</w:t>
            </w:r>
          </w:p>
        </w:tc>
        <w:tc>
          <w:tcPr>
            <w:tcW w:w="300" w:type="dxa"/>
            <w:vAlign w:val="bottom"/>
          </w:tcPr>
          <w:p>
            <w:pPr>
              <w:spacing w:after="0"/>
              <w:rPr>
                <w:sz w:val="22"/>
                <w:szCs w:val="22"/>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Country or State</w:t>
            </w:r>
          </w:p>
        </w:tc>
        <w:tc>
          <w:tcPr>
            <w:tcW w:w="300" w:type="dxa"/>
            <w:vAlign w:val="bottom"/>
          </w:tcPr>
          <w:p>
            <w:pPr>
              <w:spacing w:after="0"/>
              <w:rPr>
                <w:sz w:val="22"/>
                <w:szCs w:val="2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17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tcBorders>
              <w:bottom w:val="single" w:sz="8" w:color="auto"/>
            </w:tcBorders>
          </w:tcPr>
          <w:p>
            <w:pPr>
              <w:ind w:left="380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of Incorporation</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Ownership</w:t>
            </w:r>
          </w:p>
        </w:tc>
        <w:tc>
          <w:tcPr>
            <w:tcW w:w="0" w:type="dxa"/>
            <w:vAlign w:val="bottom"/>
          </w:tcPr>
          <w:p>
            <w:pPr>
              <w:spacing w:after="0"/>
              <w:rPr>
                <w:sz w:val="1"/>
                <w:szCs w:val="1"/>
                <w:color w:val="auto"/>
              </w:rPr>
            </w:pPr>
          </w:p>
        </w:tc>
      </w:tr>
      <w:tr>
        <w:trPr>
          <w:trHeight w:val="237"/>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AlarmNet, Inc.</w:t>
            </w:r>
          </w:p>
        </w:tc>
        <w:tc>
          <w:tcPr>
            <w:tcW w:w="300" w:type="dxa"/>
            <w:vAlign w:val="bottom"/>
            <w:shd w:val="clear" w:color="auto" w:fill="E5FFFF"/>
          </w:tcPr>
          <w:p>
            <w:pPr>
              <w:spacing w:after="0"/>
              <w:rPr>
                <w:sz w:val="20"/>
                <w:szCs w:val="20"/>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AlliedSignal Aerospace Service Corporation</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COM DEV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Elster American Meter Company,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Elster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Elster s.r.o.</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Slovakia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EMS Technologies Canada,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Grimes Aerospace Company</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Hand Held Products,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(China)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Avionics Malaysia Sdn Bhd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Malaysia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Aerospace de México, S. de R.L. de C.V.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Mexico</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UK</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Automation India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India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Automotive Parts Services (Shanghai) Co.,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China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Korea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Control Systems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Deutschland Holding GmbH</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Electronic Materials,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Washington</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Europe NV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Belgium</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Finance LP</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Fluorine Products Europe B.V.</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Netherlands</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Holdings Pty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Australia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International Sàrl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International Sdn. Bhd.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Malaysia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Japan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Japan</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Korea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Korea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Australia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Limited / Honeywell Limitée</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Safety Products USA,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Specialty Chemicals Seelze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Technologies Sàrl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Honeywell Technology Solutions Lab Pvt.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India</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Honeywell UK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Intelligrated Systems,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Intermec Technologies (S) Pte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Singapore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Life Safety Distribution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Novar ED&amp;S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Novar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Salisbury Electrical Safety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UOP CH Sàrl</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Switzerland</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UOP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UOP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9"/>
                <w:szCs w:val="19"/>
                <w:color w:val="auto"/>
              </w:rPr>
              <w:t>UOP Products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43"/>
        </w:trPr>
        <w:tc>
          <w:tcPr>
            <w:tcW w:w="8000" w:type="dxa"/>
            <w:vAlign w:val="bottom"/>
            <w:shd w:val="clear" w:color="auto" w:fill="E5FFFF"/>
          </w:tcPr>
          <w:p>
            <w:pPr>
              <w:spacing w:after="0"/>
              <w:rPr>
                <w:sz w:val="20"/>
                <w:szCs w:val="20"/>
                <w:color w:val="auto"/>
              </w:rPr>
            </w:pPr>
            <w:r>
              <w:rPr>
                <w:rFonts w:ascii="Arial" w:cs="Arial" w:eastAsia="Arial" w:hAnsi="Arial"/>
                <w:sz w:val="19"/>
                <w:szCs w:val="19"/>
                <w:color w:val="auto"/>
              </w:rPr>
              <w:t>UOP Russell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61"/>
        </w:trPr>
        <w:tc>
          <w:tcPr>
            <w:tcW w:w="8000" w:type="dxa"/>
            <w:vAlign w:val="bottom"/>
          </w:tcPr>
          <w:p>
            <w:pPr>
              <w:spacing w:after="0"/>
              <w:rPr>
                <w:sz w:val="20"/>
                <w:szCs w:val="20"/>
                <w:color w:val="auto"/>
              </w:rPr>
            </w:pPr>
            <w:r>
              <w:rPr>
                <w:rFonts w:ascii="Arial" w:cs="Arial" w:eastAsia="Arial" w:hAnsi="Arial"/>
                <w:sz w:val="19"/>
                <w:szCs w:val="19"/>
                <w:color w:val="auto"/>
              </w:rPr>
              <w:t>Vocollect, Inc.</w:t>
            </w:r>
          </w:p>
        </w:tc>
        <w:tc>
          <w:tcPr>
            <w:tcW w:w="3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Pennsylvania</w:t>
            </w:r>
          </w:p>
        </w:tc>
        <w:tc>
          <w:tcPr>
            <w:tcW w:w="1320" w:type="dxa"/>
            <w:vAlign w:val="bottom"/>
            <w:gridSpan w:val="2"/>
          </w:tcPr>
          <w:p>
            <w:pPr>
              <w:jc w:val="right"/>
              <w:ind w:right="101"/>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23.1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30" w:lineRule="exact"/>
        <w:rPr>
          <w:sz w:val="20"/>
          <w:szCs w:val="20"/>
          <w:color w:val="auto"/>
        </w:rPr>
      </w:pPr>
    </w:p>
    <w:p>
      <w:pPr>
        <w:ind w:right="40"/>
        <w:spacing w:after="0"/>
        <w:rPr>
          <w:sz w:val="20"/>
          <w:szCs w:val="20"/>
          <w:color w:val="auto"/>
        </w:rPr>
      </w:pPr>
      <w:r>
        <w:rPr>
          <w:rFonts w:ascii="Arial" w:cs="Arial" w:eastAsia="Arial" w:hAnsi="Arial"/>
          <w:sz w:val="19"/>
          <w:szCs w:val="19"/>
          <w:color w:val="auto"/>
        </w:rPr>
        <w:t>We consent to the incorporation by reference in Registration Statement on Form S-3 (No. 033-55425, 333-22355, 333-101455, and 333-208501), Form S-8 (No. 033-58347, 333-49280, 333-136083, 333-136086, 333-146932, 333-148995, 333-175260, 333-195331, 333-210889, and 333-210899), and Form S-4 (No. 333-82049 and 333-221939) of our report dated February 9, 2018, relating to the consolidated financial statements of Honeywell International Inc. and subsidiaries (the “Company”) and the effectiveness of the Company’s internal control over financial reporting, appearing in this Annual Report on Form 10-K of the Company for the year ended December 31, 2017.</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Parsippany, New Jersey</w:t>
      </w:r>
    </w:p>
    <w:p>
      <w:pPr>
        <w:spacing w:after="0"/>
        <w:rPr>
          <w:sz w:val="20"/>
          <w:szCs w:val="20"/>
          <w:color w:val="auto"/>
        </w:rPr>
      </w:pPr>
      <w:r>
        <w:rPr>
          <w:rFonts w:ascii="Arial" w:cs="Arial" w:eastAsia="Arial" w:hAnsi="Arial"/>
          <w:sz w:val="19"/>
          <w:szCs w:val="19"/>
          <w:color w:val="auto"/>
        </w:rPr>
        <w:t>February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Each of the undersigned, as a director of Honeywell International Inc. (the “Company”), a Delaware corporation, hereby appoints Darius Adamczyk, Anne T. Madden, Jennifer H. Mak, Jeffrey N. Neuman, Thomas A. Szlosek and John J. Tus, each with power to act without the other and with power of substitution and resubstitution, as my attorney-in-fact and agent for me and in my name, place and stead in any and all capacities,</w:t>
      </w:r>
    </w:p>
    <w:p>
      <w:pPr>
        <w:spacing w:after="0" w:line="166"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sign the Company’s Annual Report on Form 10-K under the Securities Exchange Act of 1934 for the year ended December 31, 2017,</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file the documents described in (i) and (ii) above and all exhibits thereto and any and all other documents in connection therewith,</w:t>
      </w: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907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8, 2017</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457835</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000" w:space="720"/>
            <w:col w:w="5700"/>
          </w:cols>
          <w:pgMar w:left="240" w:top="121" w:right="239" w:bottom="1440" w:gutter="0" w:footer="0" w:header="0"/>
          <w:type w:val="continuous"/>
        </w:sectPr>
      </w:pPr>
    </w:p>
    <w:bookmarkStart w:id="120" w:name="page121"/>
    <w:bookmarkEnd w:id="120"/>
    <w:p>
      <w:pPr>
        <w:jc w:val="center"/>
        <w:ind w:right="-3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Each of the undersigned, as a director of Honeywell International Inc. (the “Company”), a Delaware corporation, hereby appoints Darius Adamczyk, Anne T. Madden, Jennifer H. Mak, Jeffrey N. Neuman,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2018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907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8, 2017</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457835</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000" w:space="720"/>
            <w:col w:w="5380"/>
          </w:cols>
          <w:pgMar w:left="240" w:top="409" w:right="559" w:bottom="1440" w:gutter="0" w:footer="0" w:header="0"/>
          <w:type w:val="continuous"/>
        </w:sectPr>
      </w:pPr>
    </w:p>
    <w:bookmarkStart w:id="122" w:name="page123"/>
    <w:bookmarkEnd w:id="122"/>
    <w:p>
      <w:pPr>
        <w:jc w:val="center"/>
        <w:ind w:right="-3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Darius Adamczyk, Anne T. Madden, Jennifer H. Mak,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2018,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93" w:lineRule="exact"/>
        <w:rPr>
          <w:sz w:val="20"/>
          <w:szCs w:val="20"/>
          <w:color w:val="auto"/>
        </w:rPr>
      </w:pPr>
    </w:p>
    <w:p>
      <w:pPr>
        <w:ind w:right="720" w:firstLine="656"/>
        <w:spacing w:after="0" w:line="277" w:lineRule="auto"/>
        <w:tabs>
          <w:tab w:leader="none" w:pos="8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180" w:firstLine="656"/>
        <w:spacing w:after="0" w:line="277" w:lineRule="auto"/>
        <w:tabs>
          <w:tab w:leader="none" w:pos="9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70" w:lineRule="exact"/>
        <w:rPr>
          <w:rFonts w:ascii="Arial" w:cs="Arial" w:eastAsia="Arial" w:hAnsi="Arial"/>
          <w:sz w:val="18"/>
          <w:szCs w:val="18"/>
          <w:color w:val="auto"/>
        </w:rPr>
      </w:pPr>
    </w:p>
    <w:p>
      <w:pPr>
        <w:ind w:right="220" w:firstLine="656"/>
        <w:spacing w:after="0" w:line="342" w:lineRule="auto"/>
        <w:tabs>
          <w:tab w:leader="none" w:pos="9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23" w:name="page124"/>
    <w:bookmarkEnd w:id="123"/>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907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M. Cote,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8, 2017</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457835</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000" w:space="720"/>
            <w:col w:w="5380"/>
          </w:cols>
          <w:pgMar w:left="240" w:top="409" w:right="559" w:bottom="144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 Darius Adamczyk, a director and the principal executive officer of Honeywell International Inc. (the “Company”), a Delaware corporation, hereby appoint Anne T. Madden, Jennifer H. Mak, Jeffrey N. Neuman, Thomas A. Szlosek and John J. Tus, each with power to act without the other and with power of substitution and resubstitution, as my attorney-in-fact and agent for me and in my name, place and stead in any and all capacities,</w:t>
      </w:r>
    </w:p>
    <w:p>
      <w:pPr>
        <w:spacing w:after="0" w:line="166" w:lineRule="exact"/>
        <w:rPr>
          <w:sz w:val="20"/>
          <w:szCs w:val="20"/>
          <w:color w:val="auto"/>
        </w:rPr>
      </w:pPr>
    </w:p>
    <w:p>
      <w:pPr>
        <w:ind w:left="880" w:hanging="224"/>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sign the Company’s Annual Report on Form 10-K under the Securities Exchange Act of 1934 for the year ended December 31, 2017,</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to file the documents described in (i) and (ii) above and all exhibits thereto and any and all other documents in connection therewith,</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Darius Adamczyk</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 Darius Adamczyk, a director and the principal executive officer of Honeywell International Inc. (the “Company”), a Delaware corporation, hereby appoint Anne T. Madden, Jennifer H. Mak, Jeffrey N. Neuman, Thomas A. Szlosek and John J. Tus, each with power to act without the other and with power of substitution and resubstitution, as my attorney-in-fact to sign on my behalf in my capacity as a director or as the principal executive officer of the Company one or more registration statements on Form S-8 or any other appropriate form during fiscal year 2018,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the 2011 Stock Incentive Plan of Honeywell International Inc. and its Affiliates, the 2016 Stock Plan for Non-Employee Directors of Honeywell International Inc., and the 2016 Stock Incentive Plan of Honeywell International Inc. and its Affiliates and any plan which is a successor to such plans or is a validly authorized new plan pursuant to which securities of the Company are issued to employees or non-employee directors.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Darius Adamczyk</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 Darius Adamczyk, a director and the principal executive officer of Honeywell International Inc. (the “Company”), a Delaware corporation, hereby appoint Anne T. Madden, Jennifer H. Mak, Jeffrey N. Neuman, Thomas A. Szlosek and John J. Tus, each with power to act without the other and with power of substitution and resubstitution, as my attorney-in-fact to sign on my behalf in my capacity as a director or as the principal executive officer of the Company one or more registration statements on Form S-3 or S-4 or any other appropriate form during fiscal year 2018,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93" w:lineRule="exact"/>
        <w:rPr>
          <w:sz w:val="20"/>
          <w:szCs w:val="20"/>
          <w:color w:val="auto"/>
        </w:rPr>
      </w:pPr>
    </w:p>
    <w:p>
      <w:pPr>
        <w:ind w:right="740" w:firstLine="656"/>
        <w:spacing w:after="0" w:line="277" w:lineRule="auto"/>
        <w:tabs>
          <w:tab w:leader="none" w:pos="8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200" w:firstLine="656"/>
        <w:spacing w:after="0" w:line="277" w:lineRule="auto"/>
        <w:tabs>
          <w:tab w:leader="none" w:pos="9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70" w:lineRule="exact"/>
        <w:rPr>
          <w:rFonts w:ascii="Arial" w:cs="Arial" w:eastAsia="Arial" w:hAnsi="Arial"/>
          <w:sz w:val="18"/>
          <w:szCs w:val="18"/>
          <w:color w:val="auto"/>
        </w:rPr>
      </w:pPr>
    </w:p>
    <w:p>
      <w:pPr>
        <w:ind w:right="240" w:firstLine="656"/>
        <w:spacing w:after="0" w:line="342" w:lineRule="auto"/>
        <w:tabs>
          <w:tab w:leader="none" w:pos="953"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4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Darius Adamczyk</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27" w:name="page128"/>
    <w:bookmarkEnd w:id="127"/>
    <w:p>
      <w:pPr>
        <w:jc w:val="right"/>
        <w:spacing w:after="0"/>
        <w:rPr>
          <w:sz w:val="20"/>
          <w:szCs w:val="20"/>
          <w:color w:val="auto"/>
        </w:rPr>
      </w:pPr>
      <w:r>
        <w:rPr>
          <w:rFonts w:ascii="Arial" w:cs="Arial" w:eastAsia="Arial" w:hAnsi="Arial"/>
          <w:sz w:val="19"/>
          <w:szCs w:val="19"/>
          <w:b w:val="1"/>
          <w:bCs w:val="1"/>
          <w:color w:val="auto"/>
        </w:rPr>
        <w:t>EXHIBIT 31.1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Darius Adamczyk, President and Chief Executive Officer, certify that:</w:t>
      </w:r>
    </w:p>
    <w:p>
      <w:pPr>
        <w:spacing w:after="0" w:line="92" w:lineRule="exact"/>
        <w:rPr>
          <w:sz w:val="20"/>
          <w:szCs w:val="20"/>
          <w:color w:val="auto"/>
        </w:rPr>
      </w:pPr>
    </w:p>
    <w:p>
      <w:pPr>
        <w:ind w:left="340" w:hanging="264"/>
        <w:spacing w:after="0"/>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78"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580" w:right="160" w:hanging="258"/>
        <w:spacing w:after="0" w:line="245"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580" w:right="140" w:hanging="258"/>
        <w:spacing w:after="0" w:line="245"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jc w:val="both"/>
        <w:ind w:left="580" w:right="60" w:hanging="247"/>
        <w:spacing w:after="0" w:line="245"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580" w:right="180" w:hanging="258"/>
        <w:spacing w:after="0" w:line="245"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9"/>
          <w:szCs w:val="19"/>
          <w:color w:val="auto"/>
        </w:rPr>
      </w:pPr>
    </w:p>
    <w:p>
      <w:pPr>
        <w:ind w:left="580" w:right="60" w:hanging="258"/>
        <w:spacing w:after="0" w:line="245"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580" w:right="980" w:hanging="258"/>
        <w:spacing w:after="0" w:line="252" w:lineRule="auto"/>
        <w:tabs>
          <w:tab w:leader="none" w:pos="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9, 2018</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Darius Adamczyk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Darius Adamczyk</w:t>
      </w:r>
    </w:p>
    <w:p>
      <w:pPr>
        <w:ind w:left="7220"/>
        <w:spacing w:after="0"/>
        <w:rPr>
          <w:sz w:val="20"/>
          <w:szCs w:val="20"/>
          <w:color w:val="auto"/>
        </w:rPr>
      </w:pPr>
      <w:r>
        <w:rPr>
          <w:rFonts w:ascii="Arial" w:cs="Arial" w:eastAsia="Arial" w:hAnsi="Arial"/>
          <w:sz w:val="19"/>
          <w:szCs w:val="19"/>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9"/>
          <w:szCs w:val="19"/>
          <w:b w:val="1"/>
          <w:bCs w:val="1"/>
          <w:color w:val="auto"/>
        </w:rPr>
        <w:t>EXHIBIT 31.2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Thomas A. Szlosek, Senior Vice President and Chief Financial Officer, certify that:</w:t>
      </w:r>
    </w:p>
    <w:p>
      <w:pPr>
        <w:spacing w:after="0" w:line="92" w:lineRule="exact"/>
        <w:rPr>
          <w:sz w:val="20"/>
          <w:szCs w:val="20"/>
          <w:color w:val="auto"/>
        </w:rPr>
      </w:pPr>
    </w:p>
    <w:p>
      <w:pPr>
        <w:ind w:left="340" w:hanging="264"/>
        <w:spacing w:after="0"/>
        <w:tabs>
          <w:tab w:leader="none" w:pos="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78"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580" w:right="160" w:hanging="258"/>
        <w:spacing w:after="0" w:line="245"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580" w:right="140" w:hanging="258"/>
        <w:spacing w:after="0" w:line="245"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jc w:val="both"/>
        <w:ind w:left="580" w:right="60" w:hanging="247"/>
        <w:spacing w:after="0" w:line="245"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580" w:right="180" w:hanging="258"/>
        <w:spacing w:after="0" w:line="245"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9"/>
          <w:szCs w:val="19"/>
          <w:color w:val="auto"/>
        </w:rPr>
      </w:pPr>
    </w:p>
    <w:p>
      <w:pPr>
        <w:ind w:left="580" w:right="60" w:hanging="258"/>
        <w:spacing w:after="0" w:line="245"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580" w:right="980" w:hanging="258"/>
        <w:spacing w:after="0" w:line="252" w:lineRule="auto"/>
        <w:tabs>
          <w:tab w:leader="none" w:pos="5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9, 2018</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Thomas A. Szlosek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Thomas A. Szlosek</w:t>
      </w:r>
    </w:p>
    <w:p>
      <w:pPr>
        <w:ind w:left="7220"/>
        <w:spacing w:after="0"/>
        <w:rPr>
          <w:sz w:val="20"/>
          <w:szCs w:val="20"/>
          <w:color w:val="auto"/>
        </w:rPr>
      </w:pPr>
      <w:r>
        <w:rPr>
          <w:rFonts w:ascii="Arial" w:cs="Arial" w:eastAsia="Arial" w:hAnsi="Arial"/>
          <w:sz w:val="19"/>
          <w:szCs w:val="19"/>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9"/>
          <w:szCs w:val="19"/>
          <w:b w:val="1"/>
          <w:bCs w:val="1"/>
          <w:color w:val="auto"/>
        </w:rPr>
        <w:t>EXHIBIT 32.1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2017 as filed with the Securities and Exchange Commission on the date hereof (the Report), I, Darius Adamczyk, President and Chief Executive Officer of the Company, certify, pursuant to 18 U.S.C. Section 1350, as adopted pursuant to Section 906 of the Sarbanes-Oxley Act of 2002, that:</w:t>
      </w:r>
    </w:p>
    <w:p>
      <w:pPr>
        <w:spacing w:after="0" w:line="78" w:lineRule="exact"/>
        <w:rPr>
          <w:sz w:val="20"/>
          <w:szCs w:val="20"/>
          <w:color w:val="auto"/>
        </w:rPr>
      </w:pPr>
    </w:p>
    <w:p>
      <w:pPr>
        <w:ind w:left="760" w:hanging="341"/>
        <w:spacing w:after="0"/>
        <w:tabs>
          <w:tab w:leader="none" w:pos="7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78" w:lineRule="exact"/>
        <w:rPr>
          <w:rFonts w:ascii="Arial" w:cs="Arial" w:eastAsia="Arial" w:hAnsi="Arial"/>
          <w:sz w:val="19"/>
          <w:szCs w:val="19"/>
          <w:color w:val="auto"/>
        </w:rPr>
      </w:pPr>
    </w:p>
    <w:p>
      <w:pPr>
        <w:ind w:left="760" w:right="780" w:hanging="341"/>
        <w:spacing w:after="0" w:line="253" w:lineRule="auto"/>
        <w:tabs>
          <w:tab w:leader="none" w:pos="7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2" w:lineRule="exact"/>
        <w:rPr>
          <w:sz w:val="20"/>
          <w:szCs w:val="20"/>
          <w:color w:val="auto"/>
        </w:rPr>
      </w:pP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9, 2018</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Darius Adamczyk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Darius Adamczyk</w:t>
      </w:r>
    </w:p>
    <w:p>
      <w:pPr>
        <w:ind w:left="7220"/>
        <w:spacing w:after="0"/>
        <w:rPr>
          <w:sz w:val="20"/>
          <w:szCs w:val="20"/>
          <w:color w:val="auto"/>
        </w:rPr>
      </w:pPr>
      <w:r>
        <w:rPr>
          <w:rFonts w:ascii="Arial" w:cs="Arial" w:eastAsia="Arial" w:hAnsi="Arial"/>
          <w:sz w:val="19"/>
          <w:szCs w:val="19"/>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9"/>
          <w:szCs w:val="19"/>
          <w:b w:val="1"/>
          <w:bCs w:val="1"/>
          <w:color w:val="auto"/>
        </w:rPr>
        <w:t>EXHIBIT 32.2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ind w:right="20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2017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78" w:lineRule="exact"/>
        <w:rPr>
          <w:sz w:val="20"/>
          <w:szCs w:val="20"/>
          <w:color w:val="auto"/>
        </w:rPr>
      </w:pPr>
    </w:p>
    <w:p>
      <w:pPr>
        <w:ind w:left="760" w:hanging="341"/>
        <w:spacing w:after="0"/>
        <w:tabs>
          <w:tab w:leader="none" w:pos="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78" w:lineRule="exact"/>
        <w:rPr>
          <w:rFonts w:ascii="Arial" w:cs="Arial" w:eastAsia="Arial" w:hAnsi="Arial"/>
          <w:sz w:val="19"/>
          <w:szCs w:val="19"/>
          <w:color w:val="auto"/>
        </w:rPr>
      </w:pPr>
    </w:p>
    <w:p>
      <w:pPr>
        <w:ind w:left="760" w:right="780" w:hanging="341"/>
        <w:spacing w:after="0" w:line="253" w:lineRule="auto"/>
        <w:tabs>
          <w:tab w:leader="none" w:pos="7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2" w:lineRule="exact"/>
        <w:rPr>
          <w:sz w:val="20"/>
          <w:szCs w:val="20"/>
          <w:color w:val="auto"/>
        </w:rPr>
      </w:pPr>
    </w:p>
    <w:p>
      <w:pPr>
        <w:spacing w:after="0"/>
        <w:tabs>
          <w:tab w:leader="none" w:pos="6300" w:val="left"/>
          <w:tab w:leader="none" w:pos="7200" w:val="left"/>
        </w:tabs>
        <w:rPr>
          <w:sz w:val="20"/>
          <w:szCs w:val="20"/>
          <w:color w:val="auto"/>
        </w:rPr>
      </w:pPr>
      <w:r>
        <w:rPr>
          <w:rFonts w:ascii="Arial" w:cs="Arial" w:eastAsia="Arial" w:hAnsi="Arial"/>
          <w:sz w:val="19"/>
          <w:szCs w:val="19"/>
          <w:color w:val="auto"/>
        </w:rPr>
        <w:t>Date: February 9, 2018</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Thomas A. Szlosek</w:t>
      </w:r>
    </w:p>
    <w:p>
      <w:pPr>
        <w:spacing w:after="0" w:line="22" w:lineRule="exact"/>
        <w:rPr>
          <w:sz w:val="20"/>
          <w:szCs w:val="20"/>
          <w:color w:val="auto"/>
        </w:rPr>
      </w:pPr>
    </w:p>
    <w:p>
      <w:pPr>
        <w:ind w:left="7220"/>
        <w:spacing w:after="0"/>
        <w:rPr>
          <w:sz w:val="20"/>
          <w:szCs w:val="20"/>
          <w:color w:val="auto"/>
        </w:rPr>
      </w:pPr>
      <w:r>
        <w:rPr>
          <w:rFonts w:ascii="Arial" w:cs="Arial" w:eastAsia="Arial" w:hAnsi="Arial"/>
          <w:sz w:val="19"/>
          <w:szCs w:val="19"/>
          <w:color w:val="auto"/>
        </w:rPr>
        <w:t>Thomas A. Szlosek</w:t>
      </w:r>
    </w:p>
    <w:p>
      <w:pPr>
        <w:ind w:left="7220"/>
        <w:spacing w:after="0"/>
        <w:rPr>
          <w:sz w:val="20"/>
          <w:szCs w:val="20"/>
          <w:color w:val="auto"/>
        </w:rPr>
      </w:pPr>
      <w:r>
        <w:rPr>
          <w:rFonts w:ascii="Arial" w:cs="Arial" w:eastAsia="Arial" w:hAnsi="Arial"/>
          <w:sz w:val="19"/>
          <w:szCs w:val="19"/>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amp;"/>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4"/>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8"/>
    </w:lvl>
  </w:abstractNum>
  <w:abstractNum w:abstractNumId="36">
    <w:nsid w:val="6DE91B18"/>
    <w:multiLevelType w:val="hybridMultilevel"/>
    <w:lvl w:ilvl="0">
      <w:lvlJc w:val="left"/>
      <w:lvlText w:val="%1."/>
      <w:numFmt w:val="decimal"/>
      <w:start w:val="12"/>
    </w:lvl>
    <w:lvl w:ilvl="1">
      <w:lvlJc w:val="left"/>
      <w:lvlText w:val="%2."/>
      <w:numFmt w:val="lowerLetter"/>
      <w:start w:val="1"/>
    </w:lvl>
  </w:abstractNum>
  <w:abstractNum w:abstractNumId="37">
    <w:nsid w:val="38437FDB"/>
    <w:multiLevelType w:val="hybridMultilevel"/>
    <w:lvl w:ilvl="0">
      <w:lvlJc w:val="left"/>
      <w:lvlText w:val="%1."/>
      <w:numFmt w:val="decimal"/>
      <w:start w:val="16"/>
    </w:lvl>
    <w:lvl w:ilvl="1">
      <w:lvlJc w:val="left"/>
      <w:lvlText w:val="%2."/>
      <w:numFmt w:val="lowerLetter"/>
      <w:start w:val="1"/>
    </w:lvl>
  </w:abstractNum>
  <w:abstractNum w:abstractNumId="38">
    <w:nsid w:val="7644A45C"/>
    <w:multiLevelType w:val="hybridMultilevel"/>
    <w:lvl w:ilvl="0">
      <w:lvlJc w:val="left"/>
      <w:lvlText w:val="%1."/>
      <w:numFmt w:val="decimal"/>
      <w:start w:val="20"/>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2"/>
    </w:lvl>
  </w:abstractNum>
  <w:abstractNum w:abstractNumId="41">
    <w:nsid w:val="579478FE"/>
    <w:multiLevelType w:val="hybridMultilevel"/>
    <w:lvl w:ilvl="0">
      <w:lvlJc w:val="left"/>
      <w:lvlText w:val="(%1)"/>
      <w:numFmt w:val="lowerLetter"/>
      <w:start w:val="1"/>
    </w:lvl>
    <w:lvl w:ilvl="1">
      <w:lvlJc w:val="left"/>
      <w:lvlText w:val="(%2)"/>
      <w:numFmt w:val="decimal"/>
      <w:start w:val="1"/>
    </w:lvl>
  </w:abstractNum>
  <w:abstractNum w:abstractNumId="42">
    <w:nsid w:val="749ABB43"/>
    <w:multiLevelType w:val="hybridMultilevel"/>
    <w:lvl w:ilvl="0">
      <w:lvlJc w:val="left"/>
      <w:lvlText w:val="%1"/>
      <w:numFmt w:val="lowerLetter"/>
      <w:start w:val="1"/>
    </w:lvl>
    <w:lvl w:ilvl="1">
      <w:lvlJc w:val="left"/>
      <w:lvlText w:val="(%2)"/>
      <w:numFmt w:val="decimal"/>
      <w:start w:val="3"/>
    </w:lvl>
  </w:abstractNum>
  <w:abstractNum w:abstractNumId="43">
    <w:nsid w:val="3DC240FB"/>
    <w:multiLevelType w:val="hybridMultilevel"/>
    <w:lvl w:ilvl="0">
      <w:lvlJc w:val="left"/>
      <w:lvlText w:val="(%1)"/>
      <w:numFmt w:val="lowerLetter"/>
      <w:start w:val="3"/>
    </w:lvl>
    <w:lvl w:ilvl="1">
      <w:lvlJc w:val="left"/>
      <w:lvlText w:val="%2"/>
      <w:numFmt w:val="decimal"/>
      <w:start w:val="1"/>
    </w:lvl>
  </w:abstractNum>
  <w:abstractNum w:abstractNumId="44">
    <w:nsid w:val="1BA026FA"/>
    <w:multiLevelType w:val="hybridMultilevel"/>
    <w:lvl w:ilvl="0">
      <w:lvlJc w:val="left"/>
      <w:lvlText w:val="(%1)"/>
      <w:numFmt w:val="lowerLetter"/>
      <w:start w:val="4"/>
    </w:lvl>
  </w:abstractNum>
  <w:abstractNum w:abstractNumId="45">
    <w:nsid w:val="79A1DEAA"/>
    <w:multiLevelType w:val="hybridMultilevel"/>
    <w:lvl w:ilvl="0">
      <w:lvlJc w:val="left"/>
      <w:lvlText w:val="(%1)"/>
      <w:numFmt w:val="decimal"/>
      <w:start w:val="1"/>
    </w:lvl>
  </w:abstractNum>
  <w:abstractNum w:abstractNumId="46">
    <w:nsid w:val="75C6C33A"/>
    <w:multiLevelType w:val="hybridMultilevel"/>
    <w:lvl w:ilvl="0">
      <w:lvlJc w:val="left"/>
      <w:lvlText w:val="(%1)"/>
      <w:numFmt w:val="lowerLetter"/>
      <w:start w:val="5"/>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lowerRoman"/>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24" Type="http://schemas.openxmlformats.org/officeDocument/2006/relationships/image" Target="media/image145.png"/><Relationship Id="rId225" Type="http://schemas.openxmlformats.org/officeDocument/2006/relationships/image" Target="media/image146.png"/><Relationship Id="rId231" Type="http://schemas.openxmlformats.org/officeDocument/2006/relationships/image" Target="media/image147.png"/><Relationship Id="rId234" Type="http://schemas.openxmlformats.org/officeDocument/2006/relationships/image" Target="media/image148.png"/><Relationship Id="rId235" Type="http://schemas.openxmlformats.org/officeDocument/2006/relationships/image" Target="media/image149.png"/><Relationship Id="rId236" Type="http://schemas.openxmlformats.org/officeDocument/2006/relationships/image" Target="media/image150.png"/><Relationship Id="rId237" Type="http://schemas.openxmlformats.org/officeDocument/2006/relationships/image" Target="media/image151.png"/><Relationship Id="rId238" Type="http://schemas.openxmlformats.org/officeDocument/2006/relationships/image" Target="media/image152.png"/><Relationship Id="rId239" Type="http://schemas.openxmlformats.org/officeDocument/2006/relationships/image" Target="media/image153.png"/><Relationship Id="rId240" Type="http://schemas.openxmlformats.org/officeDocument/2006/relationships/image" Target="media/image154.png"/><Relationship Id="rId241" Type="http://schemas.openxmlformats.org/officeDocument/2006/relationships/image" Target="media/image155.png"/><Relationship Id="rId242" Type="http://schemas.openxmlformats.org/officeDocument/2006/relationships/image" Target="media/image156.png"/><Relationship Id="rId243" Type="http://schemas.openxmlformats.org/officeDocument/2006/relationships/image" Target="media/image157.png"/><Relationship Id="rId244" Type="http://schemas.openxmlformats.org/officeDocument/2006/relationships/image" Target="media/image158.png"/><Relationship Id="rId245" Type="http://schemas.openxmlformats.org/officeDocument/2006/relationships/image" Target="media/image159.png"/><Relationship Id="rId246" Type="http://schemas.openxmlformats.org/officeDocument/2006/relationships/image" Target="media/image160.png"/><Relationship Id="rId247" Type="http://schemas.openxmlformats.org/officeDocument/2006/relationships/image" Target="media/image161.png"/><Relationship Id="rId248" Type="http://schemas.openxmlformats.org/officeDocument/2006/relationships/image" Target="media/image162.png"/><Relationship Id="rId249" Type="http://schemas.openxmlformats.org/officeDocument/2006/relationships/image" Target="media/image163.png"/><Relationship Id="rId250" Type="http://schemas.openxmlformats.org/officeDocument/2006/relationships/image" Target="media/image164.png"/><Relationship Id="rId251" Type="http://schemas.openxmlformats.org/officeDocument/2006/relationships/image" Target="media/image165.png"/><Relationship Id="rId252" Type="http://schemas.openxmlformats.org/officeDocument/2006/relationships/image" Target="media/image166.png"/><Relationship Id="rId253" Type="http://schemas.openxmlformats.org/officeDocument/2006/relationships/image" Target="media/image167.png"/><Relationship Id="rId254" Type="http://schemas.openxmlformats.org/officeDocument/2006/relationships/image" Target="media/image168.png"/><Relationship Id="rId255" Type="http://schemas.openxmlformats.org/officeDocument/2006/relationships/image" Target="media/image169.png"/><Relationship Id="rId256" Type="http://schemas.openxmlformats.org/officeDocument/2006/relationships/image" Target="media/image170.png"/><Relationship Id="rId257" Type="http://schemas.openxmlformats.org/officeDocument/2006/relationships/image" Target="media/image171.png"/><Relationship Id="rId258" Type="http://schemas.openxmlformats.org/officeDocument/2006/relationships/image" Target="media/image172.png"/><Relationship Id="rId259" Type="http://schemas.openxmlformats.org/officeDocument/2006/relationships/image" Target="media/image173.png"/><Relationship Id="rId260" Type="http://schemas.openxmlformats.org/officeDocument/2006/relationships/image" Target="media/image174.png"/><Relationship Id="rId261" Type="http://schemas.openxmlformats.org/officeDocument/2006/relationships/image" Target="media/image175.png"/><Relationship Id="rId262" Type="http://schemas.openxmlformats.org/officeDocument/2006/relationships/image" Target="media/image176.png"/><Relationship Id="rId263" Type="http://schemas.openxmlformats.org/officeDocument/2006/relationships/image" Target="media/image177.png"/><Relationship Id="rId264" Type="http://schemas.openxmlformats.org/officeDocument/2006/relationships/image" Target="media/image178.png"/><Relationship Id="rId265" Type="http://schemas.openxmlformats.org/officeDocument/2006/relationships/image" Target="media/image179.png"/><Relationship Id="rId266" Type="http://schemas.openxmlformats.org/officeDocument/2006/relationships/image" Target="media/image180.png"/><Relationship Id="rId267" Type="http://schemas.openxmlformats.org/officeDocument/2006/relationships/image" Target="media/image181.png"/><Relationship Id="rId268" Type="http://schemas.openxmlformats.org/officeDocument/2006/relationships/image" Target="media/image182.png"/><Relationship Id="rId269" Type="http://schemas.openxmlformats.org/officeDocument/2006/relationships/image" Target="media/image183.png"/><Relationship Id="rId270" Type="http://schemas.openxmlformats.org/officeDocument/2006/relationships/image" Target="media/image184.png"/><Relationship Id="rId271" Type="http://schemas.openxmlformats.org/officeDocument/2006/relationships/image" Target="media/image185.png"/><Relationship Id="rId272" Type="http://schemas.openxmlformats.org/officeDocument/2006/relationships/image" Target="media/image186.png"/><Relationship Id="rId273" Type="http://schemas.openxmlformats.org/officeDocument/2006/relationships/image" Target="media/image187.png"/><Relationship Id="rId274" Type="http://schemas.openxmlformats.org/officeDocument/2006/relationships/image" Target="media/image188.png"/><Relationship Id="rId275" Type="http://schemas.openxmlformats.org/officeDocument/2006/relationships/image" Target="media/image189.png"/><Relationship Id="rId276" Type="http://schemas.openxmlformats.org/officeDocument/2006/relationships/image" Target="media/image190.png"/><Relationship Id="rId277" Type="http://schemas.openxmlformats.org/officeDocument/2006/relationships/image" Target="media/image191.png"/><Relationship Id="rId278" Type="http://schemas.openxmlformats.org/officeDocument/2006/relationships/image" Target="media/image192.png"/><Relationship Id="rId279" Type="http://schemas.openxmlformats.org/officeDocument/2006/relationships/image" Target="media/image193.png"/><Relationship Id="rId280" Type="http://schemas.openxmlformats.org/officeDocument/2006/relationships/image" Target="media/image194.png"/><Relationship Id="rId281" Type="http://schemas.openxmlformats.org/officeDocument/2006/relationships/image" Target="media/image195.png"/><Relationship Id="rId282" Type="http://schemas.openxmlformats.org/officeDocument/2006/relationships/image" Target="media/image196.png"/><Relationship Id="rId283" Type="http://schemas.openxmlformats.org/officeDocument/2006/relationships/image" Target="media/image197.png"/><Relationship Id="rId284" Type="http://schemas.openxmlformats.org/officeDocument/2006/relationships/image" Target="media/image198.png"/><Relationship Id="rId285" Type="http://schemas.openxmlformats.org/officeDocument/2006/relationships/image" Target="media/image199.png"/><Relationship Id="rId286" Type="http://schemas.openxmlformats.org/officeDocument/2006/relationships/image" Target="media/image200.png"/><Relationship Id="rId287" Type="http://schemas.openxmlformats.org/officeDocument/2006/relationships/image" Target="media/image201.png"/><Relationship Id="rId288" Type="http://schemas.openxmlformats.org/officeDocument/2006/relationships/image" Target="media/image202.png"/><Relationship Id="rId289" Type="http://schemas.openxmlformats.org/officeDocument/2006/relationships/image" Target="media/image203.png"/><Relationship Id="rId290" Type="http://schemas.openxmlformats.org/officeDocument/2006/relationships/image" Target="media/image204.png"/><Relationship Id="rId291" Type="http://schemas.openxmlformats.org/officeDocument/2006/relationships/image" Target="media/image205.png"/><Relationship Id="rId292" Type="http://schemas.openxmlformats.org/officeDocument/2006/relationships/image" Target="media/image206.png"/><Relationship Id="rId293" Type="http://schemas.openxmlformats.org/officeDocument/2006/relationships/image" Target="media/image207.png"/><Relationship Id="rId294" Type="http://schemas.openxmlformats.org/officeDocument/2006/relationships/image" Target="media/image208.png"/><Relationship Id="rId295" Type="http://schemas.openxmlformats.org/officeDocument/2006/relationships/image" Target="media/image209.png"/><Relationship Id="rId296" Type="http://schemas.openxmlformats.org/officeDocument/2006/relationships/image" Target="media/image210.png"/><Relationship Id="rId297" Type="http://schemas.openxmlformats.org/officeDocument/2006/relationships/image" Target="media/image211.png"/><Relationship Id="rId298" Type="http://schemas.openxmlformats.org/officeDocument/2006/relationships/image" Target="media/image212.png"/><Relationship Id="rId299" Type="http://schemas.openxmlformats.org/officeDocument/2006/relationships/image" Target="media/image213.png"/><Relationship Id="rId300" Type="http://schemas.openxmlformats.org/officeDocument/2006/relationships/image" Target="media/image214.png"/><Relationship Id="rId144" Type="http://schemas.openxmlformats.org/officeDocument/2006/relationships/hyperlink" Target="http://www.sec.gov/Archives/edgar/data/773840/000093041310002190/c61318_ex3-i.htm" TargetMode="External"/><Relationship Id="rId145" Type="http://schemas.openxmlformats.org/officeDocument/2006/relationships/hyperlink" Target="http://www.sec.gov/Archives/edgar/data/773840/000093041316005463/c83927_ex3ii.htm" TargetMode="External"/><Relationship Id="rId146" Type="http://schemas.openxmlformats.org/officeDocument/2006/relationships/hyperlink" Target="http://www.sec.gov/Archives/edgar/data/773840/000095011703003488/ex10-2.txt" TargetMode="External"/><Relationship Id="rId147" Type="http://schemas.openxmlformats.org/officeDocument/2006/relationships/hyperlink" Target="http://www.sec.gov/Archives/edgar/data/773840/000095011704004532/ex10-1.htm" TargetMode="External"/><Relationship Id="rId148" Type="http://schemas.openxmlformats.org/officeDocument/2006/relationships/hyperlink" Target="http://www.sec.gov/Archives/edgar/data/773840/000095011706000980/ex10-2.htm" TargetMode="External"/><Relationship Id="rId149" Type="http://schemas.openxmlformats.org/officeDocument/2006/relationships/hyperlink" Target="http://www.sec.gov/Archives/edgar/data/773840/000093041314000634/c75936_ex10-4.htm" TargetMode="External"/><Relationship Id="rId150" Type="http://schemas.openxmlformats.org/officeDocument/2006/relationships/hyperlink" Target="http://www.sec.gov/Archives/edgar/data/773840/000093041309000801/c56028_ex10-6.htm" TargetMode="External"/><Relationship Id="rId151" Type="http://schemas.openxmlformats.org/officeDocument/2006/relationships/hyperlink" Target="http://www.sec.gov/Archives/edgar/data/773840/000093041311000961/c63936_ex10-5.htm" TargetMode="External"/><Relationship Id="rId152" Type="http://schemas.openxmlformats.org/officeDocument/2006/relationships/hyperlink" Target="http://www.sec.gov/Archives/edgar/data/773840/000093041312003974/c70260_ex10-1.htm" TargetMode="External"/><Relationship Id="rId153" Type="http://schemas.openxmlformats.org/officeDocument/2006/relationships/hyperlink" Target="http://www.sec.gov/Archives/edgar/data/773840/000093041314000634/c75936_ex10-5.htm" TargetMode="External"/><Relationship Id="rId154" Type="http://schemas.openxmlformats.org/officeDocument/2006/relationships/hyperlink" Target="http://www.sec.gov/Archives/edgar/data/773840/000093041315003083/c81857_ex10-1.htm" TargetMode="External"/><Relationship Id="rId155" Type="http://schemas.openxmlformats.org/officeDocument/2006/relationships/hyperlink" Target="http://www.sec.gov/Archives/edgar/data/773840/000093041314000634/c75936_ex10-6.htm" TargetMode="External"/><Relationship Id="rId158" Type="http://schemas.openxmlformats.org/officeDocument/2006/relationships/hyperlink" Target="http://www.sec.gov/Archives/edgar/data/773840/000093041309000801/c56028_ex10-8.htm" TargetMode="External"/><Relationship Id="rId159" Type="http://schemas.openxmlformats.org/officeDocument/2006/relationships/hyperlink" Target="http://www.sec.gov/Archives/edgar/data/773840/000093041314000634/c75936_ex10-7.htm" TargetMode="External"/><Relationship Id="rId160" Type="http://schemas.openxmlformats.org/officeDocument/2006/relationships/hyperlink" Target="http://www.sec.gov/Archives/edgar/data/773840/000093041309000801/c56028_ex10-10.htm" TargetMode="External"/><Relationship Id="rId161" Type="http://schemas.openxmlformats.org/officeDocument/2006/relationships/hyperlink" Target="http://www.sec.gov/Archives/edgar/data/773840/000093041316005457/c83288_ex10-7.htm" TargetMode="External"/><Relationship Id="rId162" Type="http://schemas.openxmlformats.org/officeDocument/2006/relationships/hyperlink" Target="http://www.sec.gov/Archives/edgar/data/773840/000093041309000801/c56028_ex10-12.htm" TargetMode="External"/><Relationship Id="rId163" Type="http://schemas.openxmlformats.org/officeDocument/2006/relationships/hyperlink" Target="http://www.sec.gov/Archives/edgar/data/773840/000093041310000784/c60039_ex10-12.htm" TargetMode="External"/><Relationship Id="rId164" Type="http://schemas.openxmlformats.org/officeDocument/2006/relationships/hyperlink" Target="http://www.sec.gov/Archives/edgar/data/773840/000093041314000634/c75936_ex10-9.htm" TargetMode="External"/><Relationship Id="rId165" Type="http://schemas.openxmlformats.org/officeDocument/2006/relationships/hyperlink" Target="http://www.sec.gov/Archives/edgar/data/773840/000093041316005457/c83288_ex10-8.htm" TargetMode="External"/><Relationship Id="rId166" Type="http://schemas.openxmlformats.org/officeDocument/2006/relationships/hyperlink" Target="http://www.sec.gov/Archives/edgar/data/773840/000093041309000801/c56028_ex10-13.htm" TargetMode="External"/><Relationship Id="rId167" Type="http://schemas.openxmlformats.org/officeDocument/2006/relationships/hyperlink" Target="http://www.sec.gov/Archives/edgar/data/773840/000093041310000784/c60039_ex10-13.htm" TargetMode="External"/><Relationship Id="rId168" Type="http://schemas.openxmlformats.org/officeDocument/2006/relationships/hyperlink" Target="http://www.sec.gov/Archives/edgar/data/773840/000093041316005457/c83288_ex10-9.htm" TargetMode="External"/><Relationship Id="rId169" Type="http://schemas.openxmlformats.org/officeDocument/2006/relationships/hyperlink" Target="http://www.sec.gov/Archives/edgar/data/773840/000093041314000634/c75936_ex10-12.htm" TargetMode="External"/><Relationship Id="rId170" Type="http://schemas.openxmlformats.org/officeDocument/2006/relationships/hyperlink" Target="http://www.sec.gov/Archives/edgar/data/773840/000095011702000462/ex10-24.txt" TargetMode="External"/><Relationship Id="rId173" Type="http://schemas.openxmlformats.org/officeDocument/2006/relationships/hyperlink" Target="http://www.sec.gov/Archives/edgar/data/773840/000093041308006051/c55291_ex10-3.htm" TargetMode="External"/><Relationship Id="rId174" Type="http://schemas.openxmlformats.org/officeDocument/2006/relationships/hyperlink" Target="http://www.sec.gov/Archives/edgar/data/773840/000093041309000801/c56028_ex10-17.htm" TargetMode="External"/><Relationship Id="rId175" Type="http://schemas.openxmlformats.org/officeDocument/2006/relationships/hyperlink" Target="http://www.sec.gov/Archives/edgar/data/773840/000093041313002334/c73358_ex10-1.htm" TargetMode="External"/><Relationship Id="rId176" Type="http://schemas.openxmlformats.org/officeDocument/2006/relationships/hyperlink" Target="http://www.sec.gov/Archives/edgar/data/773840/000093041307001369/c44492_ex10-22.htm" TargetMode="External"/><Relationship Id="rId177" Type="http://schemas.openxmlformats.org/officeDocument/2006/relationships/hyperlink" Target="http://www.sec.gov/Archives/edgar/data/773840/000093041310000784/c60039_ex10-22.htm" TargetMode="External"/><Relationship Id="rId178" Type="http://schemas.openxmlformats.org/officeDocument/2006/relationships/hyperlink" Target="http://www.sec.gov/Archives/edgar/data/773840/000093041307001369/c44492_ex10-24.htm" TargetMode="External"/><Relationship Id="rId179" Type="http://schemas.openxmlformats.org/officeDocument/2006/relationships/hyperlink" Target="http://www.sec.gov/Archives/edgar/data/773840/000093041307001369/c44492_ex10-25.htm" TargetMode="External"/><Relationship Id="rId180" Type="http://schemas.openxmlformats.org/officeDocument/2006/relationships/hyperlink" Target="http://www.sec.gov/Archives/edgar/data/773840/000093041309000801/c56028_ex10-25.htm" TargetMode="External"/><Relationship Id="rId181" Type="http://schemas.openxmlformats.org/officeDocument/2006/relationships/hyperlink" Target="http://www.sec.gov/Archives/edgar/data/773840/000093041310000784/c60039_ex10-25.htm" TargetMode="External"/><Relationship Id="rId182" Type="http://schemas.openxmlformats.org/officeDocument/2006/relationships/hyperlink" Target="http://www.sec.gov/Archives/edgar/data/773840/000093041316005457/c83288_ex10-16.htm" TargetMode="External"/><Relationship Id="rId183" Type="http://schemas.openxmlformats.org/officeDocument/2006/relationships/hyperlink" Target="http://www.sec.gov/Archives/edgar/data/773840/000093041309000801/c56028_ex10-26.htm" TargetMode="External"/><Relationship Id="rId184" Type="http://schemas.openxmlformats.org/officeDocument/2006/relationships/hyperlink" Target="http://www.sec.gov/Archives/edgar/data/773840/000093041311002923/c65159_ex10-1.htm" TargetMode="External"/><Relationship Id="rId185" Type="http://schemas.openxmlformats.org/officeDocument/2006/relationships/hyperlink" Target="http://www.sec.gov/Archives/edgar/data/773840/000093041309002177/c57151_ex10-2.htm" TargetMode="External"/><Relationship Id="rId186" Type="http://schemas.openxmlformats.org/officeDocument/2006/relationships/hyperlink" Target="http://www.sec.gov/Archives/edgar/data/773840/000093041309002177/c57151_ex10-1.htm" TargetMode="External"/><Relationship Id="rId187" Type="http://schemas.openxmlformats.org/officeDocument/2006/relationships/hyperlink" Target="http://www.sec.gov/Archives/edgar/data/773840/000093041307001369/c44492_ex10-30.htm" TargetMode="External"/><Relationship Id="rId188" Type="http://schemas.openxmlformats.org/officeDocument/2006/relationships/hyperlink" Target="http://www.sec.gov/Archives/edgar/data/773840/000093041309000801/c56028_ex10-31.htm" TargetMode="External"/><Relationship Id="rId191" Type="http://schemas.openxmlformats.org/officeDocument/2006/relationships/hyperlink" Target="http://www.sec.gov/Archives/edgar/data/773840/000093041312000976/c68029_ex10-27.htm" TargetMode="External"/><Relationship Id="rId192" Type="http://schemas.openxmlformats.org/officeDocument/2006/relationships/hyperlink" Target="http://www.sec.gov/Archives/edgar/data/773840/000093041315000621/c79276_ex10-24.htm" TargetMode="External"/><Relationship Id="rId193" Type="http://schemas.openxmlformats.org/officeDocument/2006/relationships/hyperlink" Target="http://www.sec.gov/Archives/edgar/data/773840/000093041312002323/c69322_ex10-3.htm" TargetMode="External"/><Relationship Id="rId194" Type="http://schemas.openxmlformats.org/officeDocument/2006/relationships/hyperlink" Target="http://www.sec.gov/Archives/edgar/data/773840/000093041312002323/c69322_ex10-4.htm" TargetMode="External"/><Relationship Id="rId195" Type="http://schemas.openxmlformats.org/officeDocument/2006/relationships/hyperlink" Target="http://www.sec.gov/Archives/edgar/data/773840/000093041307002180/c46936.htm" TargetMode="External"/><Relationship Id="rId196" Type="http://schemas.openxmlformats.org/officeDocument/2006/relationships/hyperlink" Target="http://www.sec.gov/Archives/edgar/data/773840/000093041310004045/c62311_ex10-2.htm" TargetMode="External"/><Relationship Id="rId197" Type="http://schemas.openxmlformats.org/officeDocument/2006/relationships/hyperlink" Target="http://www.sec.gov/Archives/edgar/data/773840/000093041311000961/c63936_ex10-37.htm" TargetMode="External"/><Relationship Id="rId198" Type="http://schemas.openxmlformats.org/officeDocument/2006/relationships/hyperlink" Target="http://www.sec.gov/Archives/edgar/data/773840/000093041311000961/c63936_ex10-38.htm" TargetMode="External"/><Relationship Id="rId199" Type="http://schemas.openxmlformats.org/officeDocument/2006/relationships/hyperlink" Target="http://www.sec.gov/Archives/edgar/data/773840/000093041311000961/c63936_ex10-39.htm" TargetMode="External"/><Relationship Id="rId200" Type="http://schemas.openxmlformats.org/officeDocument/2006/relationships/hyperlink" Target="http://www.sec.gov/Archives/edgar/data/773840/000093041311001776/c64436_def14a.htm" TargetMode="External"/><Relationship Id="rId201" Type="http://schemas.openxmlformats.org/officeDocument/2006/relationships/hyperlink" Target="http://www.sec.gov/Archives/edgar/data/773840/000093041313000907/c72130_ex10-36.htm" TargetMode="External"/><Relationship Id="rId202" Type="http://schemas.openxmlformats.org/officeDocument/2006/relationships/hyperlink" Target="http://www.sec.gov/Archives/edgar/data/773840/000093041314001831/c77214_ex10-1.htm" TargetMode="External"/><Relationship Id="rId203" Type="http://schemas.openxmlformats.org/officeDocument/2006/relationships/hyperlink" Target="http://www.sec.gov/Archives/edgar/data/773840/000093041314001831/c77214_ex10-2.htm" TargetMode="External"/><Relationship Id="rId204" Type="http://schemas.openxmlformats.org/officeDocument/2006/relationships/hyperlink" Target="http://www.sec.gov/Archives/edgar/data/773840/000093041314001831/c77214_ex10-3.htm" TargetMode="External"/><Relationship Id="rId205" Type="http://schemas.openxmlformats.org/officeDocument/2006/relationships/hyperlink" Target="http://www.sec.gov/Archives/edgar/data/773840/000093041314001831/c77214_ex10-4.htm" TargetMode="External"/><Relationship Id="rId206" Type="http://schemas.openxmlformats.org/officeDocument/2006/relationships/hyperlink" Target="http://www.sec.gov/Archives/edgar/data/773840/000093041315000621/c79276_ex10-39.htm" TargetMode="External"/><Relationship Id="rId209" Type="http://schemas.openxmlformats.org/officeDocument/2006/relationships/hyperlink" Target="http://www.sec.gov/Archives/edgar/data/773840/000093041314001831/c77214_ex10-5.htm" TargetMode="External"/><Relationship Id="rId210" Type="http://schemas.openxmlformats.org/officeDocument/2006/relationships/hyperlink" Target="http://www.sec.gov/Archives/edgar/data/773840/000093041317001646/c88130_ex10-2.htm" TargetMode="External"/><Relationship Id="rId211" Type="http://schemas.openxmlformats.org/officeDocument/2006/relationships/hyperlink" Target="http://www.sec.gov/Archives/edgar/data/773840/000093041311006765/c67090_ex10-1.htm" TargetMode="External"/><Relationship Id="rId212" Type="http://schemas.openxmlformats.org/officeDocument/2006/relationships/hyperlink" Target="http://www.sec.gov/Archives/edgar/data/773840/000093041314001831/c77214_ex10-10.htm" TargetMode="External"/><Relationship Id="rId213" Type="http://schemas.openxmlformats.org/officeDocument/2006/relationships/hyperlink" Target="http://www.sec.gov/Archives/edgar/data/773840/000093041314004838/c79482_ex99-2.htm" TargetMode="External"/><Relationship Id="rId214" Type="http://schemas.openxmlformats.org/officeDocument/2006/relationships/hyperlink" Target="http://www.sec.gov/Archives/edgar/data/773840/000093041316007513/c85452_ex99-1.htm" TargetMode="External"/><Relationship Id="rId215" Type="http://schemas.openxmlformats.org/officeDocument/2006/relationships/hyperlink" Target="http://www.sec.gov/Archives/edgar/data/773840/000093041317001646/c88130_ex10-1.htm" TargetMode="External"/><Relationship Id="rId216" Type="http://schemas.openxmlformats.org/officeDocument/2006/relationships/hyperlink" Target="http://www.sec.gov/Archives/edgar/data/773840/000093041316006542/c84644_ex10-1.htm" TargetMode="External"/><Relationship Id="rId217" Type="http://schemas.openxmlformats.org/officeDocument/2006/relationships/hyperlink" Target="http://www.sec.gov/Archives/edgar/data/773840/000093041316006322/c84617_ex99-1.htm" TargetMode="External"/><Relationship Id="rId218" Type="http://schemas.openxmlformats.org/officeDocument/2006/relationships/hyperlink" Target="http://www.sec.gov/Archives/edgar/data/773840/000093041317000893/c87598_ex99-1.htm" TargetMode="External"/><Relationship Id="rId219" Type="http://schemas.openxmlformats.org/officeDocument/2006/relationships/hyperlink" Target="http://www.sec.gov/Archives/edgar/data/773840/000093041317000391/c86783_ex10-43.htm" TargetMode="External"/><Relationship Id="rId220" Type="http://schemas.openxmlformats.org/officeDocument/2006/relationships/hyperlink" Target="http://www.sec.gov/Archives/edgar/data/773840/000093041316005948/c82838_def14a.htm" TargetMode="External"/><Relationship Id="rId221" Type="http://schemas.openxmlformats.org/officeDocument/2006/relationships/hyperlink" Target="http://www.sec.gov/Archives/edgar/data/773840/000093041316007670/c85530_ex10-1.htm" TargetMode="External"/><Relationship Id="rId222" Type="http://schemas.openxmlformats.org/officeDocument/2006/relationships/hyperlink" Target="http://www.sec.gov/Archives/edgar/data/773840/000093041316007670/c85530_ex10-2.htm" TargetMode="External"/><Relationship Id="rId223" Type="http://schemas.openxmlformats.org/officeDocument/2006/relationships/hyperlink" Target="http://www.sec.gov/Archives/edgar/data/773840/000093041316007670/c85530_ex10-3.htm" TargetMode="External"/><Relationship Id="rId226" Type="http://schemas.openxmlformats.org/officeDocument/2006/relationships/hyperlink" Target="http://www.sec.gov/Archives/edgar/data/773840/000093041316007670/c85530_ex10-4.htm" TargetMode="External"/><Relationship Id="rId227" Type="http://schemas.openxmlformats.org/officeDocument/2006/relationships/hyperlink" Target="http://www.sec.gov/Archives/edgar/data/773840/000093041316007670/c85530_ex10-6.htm" TargetMode="External"/><Relationship Id="rId228" Type="http://schemas.openxmlformats.org/officeDocument/2006/relationships/hyperlink" Target="http://www.sec.gov/Archives/edgar/data/773840/000093041315003052/c81948_ex10-1.htm" TargetMode="External"/><Relationship Id="rId229" Type="http://schemas.openxmlformats.org/officeDocument/2006/relationships/hyperlink" Target="http://www.sec.gov/Archives/edgar/data/773840/000093041315003916/c82556_ex10-1.htm" TargetMode="External"/><Relationship Id="rId230" Type="http://schemas.openxmlformats.org/officeDocument/2006/relationships/hyperlink" Target="http://www.sec.gov/Archives/edgar/data/773840/000093041316006839/c84852_ex10-2.htm" TargetMode="External"/><Relationship Id="rId232" Type="http://schemas.openxmlformats.org/officeDocument/2006/relationships/hyperlink" Target="http://www.sec.gov/Archives/edgar/data/773840/000093041317001870/c88257_ex10-2.htm" TargetMode="External"/><Relationship Id="rId233" Type="http://schemas.openxmlformats.org/officeDocument/2006/relationships/hyperlink" Target="http://www.sec.gov/Archives/edgar/data/773840/000093041317001870/c88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2020-01-14T08:16:09Z</dcterms:created>
  <dcterms:modified xsi:type="dcterms:W3CDTF">2020-01-14T08:16:09Z</dcterms:modified>
</cp:coreProperties>
</file>