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both"/>
        <w:ind w:left="3980" w:right="3980" w:firstLine="37"/>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September 30, 2024</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650,247,380 shares of Common Stock outstanding at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60" w:type="dxa"/>
            <w:vAlign w:val="bottom"/>
            <w:tcBorders>
              <w:top w:val="single" w:sz="8" w:color="61656A"/>
              <w:bottom w:val="single" w:sz="8" w:color="61656A"/>
            </w:tcBorders>
          </w:tcPr>
          <w:p>
            <w:pPr>
              <w:spacing w:after="0"/>
              <w:rPr>
                <w:sz w:val="19"/>
                <w:szCs w:val="19"/>
                <w:color w:val="auto"/>
              </w:rPr>
            </w:pPr>
          </w:p>
        </w:tc>
        <w:tc>
          <w:tcPr>
            <w:tcW w:w="976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6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6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and Nine Months Ended September 30, 2024, and 2023</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and Nine Months Ended September 30, 2024, and 2023</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September 30, 2024, and December 31, 2023</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Nine Months Ended September 30, 2024, and 2023</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and Nine Months Ended September 30, 2024, and 2023</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Divestitures and Assets and Liabilities Held for Sale</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Long-term Debt and Credit Agreements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Income (Loss)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19 – Subsequent Events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3</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II</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6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1A</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5</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6</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60</w:t>
            </w:r>
          </w:p>
        </w:tc>
        <w:tc>
          <w:tcPr>
            <w:tcW w:w="20" w:type="dxa"/>
            <w:vAlign w:val="bottom"/>
          </w:tcPr>
          <w:p>
            <w:pPr>
              <w:spacing w:after="0"/>
              <w:rPr>
                <w:sz w:val="18"/>
                <w:szCs w:val="18"/>
                <w:color w:val="auto"/>
              </w:rPr>
            </w:pPr>
          </w:p>
        </w:tc>
      </w:tr>
      <w:tr>
        <w:trPr>
          <w:trHeight w:val="1850"/>
        </w:trPr>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and include statements related to the proposed spin-off of the Company's Advanced Materials business into a stand-alone, publicly traded company.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2023 Annual Report on Form 10-K. Any forward-looking plans described herein are not final and may be modified or abandoned at any time.</w:t>
      </w:r>
    </w:p>
    <w:p>
      <w:pPr>
        <w:spacing w:after="0" w:line="200" w:lineRule="exact"/>
        <w:rPr>
          <w:sz w:val="20"/>
          <w:szCs w:val="20"/>
          <w:color w:val="auto"/>
        </w:rPr>
      </w:pPr>
    </w:p>
    <w:p>
      <w:pPr>
        <w:spacing w:after="0" w:line="212"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business is aligned with three powerful megatrends - automation, the future of aviation, and energy transition - underpinned by our Honeywell Accelerator operating system and Honeywell Connected Enterprise integrated software platform. Our portfolio of solutions is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September 30, 2024, should be read in conjunction with the financial statements for the year ended December 31, 2023, contained in the Company's 2023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8"/>
          </w:tcPr>
          <w:p>
            <w:pPr>
              <w:ind w:left="280"/>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6,590</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6,294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19,330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19,045</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3,138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2,918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9,080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8,177</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9,728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9,212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28,410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27,222</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4,166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4,090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12,448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12,291</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1,813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1,580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4,970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4,503</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5,979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5,670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17,418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16,794</w:t>
            </w: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368</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1,110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1,096</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1,252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3,831</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125</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(263)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(740)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(715)</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206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767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563</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7,904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7,245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22,741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21,569</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1,824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1,967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5,669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5,653</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409</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452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1,219</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1,229</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1,415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1,515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4,450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4,424</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1,413</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1,514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4,420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4,395</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6.79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6.61</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2.16</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6.75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1,415</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1,515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4,450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4,424</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71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(308)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1,107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1,572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4,178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4,342</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1,084</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1,574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4,151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4,319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62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10,644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7,925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$319 and $323, respectively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7,884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6,338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6,178</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1,518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1,505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1,699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28,164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23,502</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1,463</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21,270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18,049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5,749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3,231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10,490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9,582</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73,492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6,640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6,849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3,135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1,796</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7,566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7,809</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19,534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18,539</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25,934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2,077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6,265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9,554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(38,989)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(4,404)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50,287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47,979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17,406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15,856</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568</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578</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17,974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16,434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73,492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3040" w:type="dxa"/>
            <w:vAlign w:val="bottom"/>
            <w:tcBorders>
              <w:bottom w:val="single" w:sz="8" w:color="D7282F"/>
            </w:tcBorders>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200" w:type="dxa"/>
            <w:vAlign w:val="bottom"/>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6"/>
        </w:trPr>
        <w:tc>
          <w:tcPr>
            <w:tcW w:w="8200" w:type="dxa"/>
            <w:vAlign w:val="bottom"/>
            <w:tcBorders>
              <w:bottom w:val="single" w:sz="8" w:color="D7282F"/>
            </w:tcBorders>
          </w:tcPr>
          <w:p>
            <w:pPr>
              <w:spacing w:after="0"/>
              <w:rPr>
                <w:sz w:val="17"/>
                <w:szCs w:val="17"/>
                <w:color w:val="auto"/>
              </w:rPr>
            </w:pPr>
          </w:p>
        </w:tc>
        <w:tc>
          <w:tcPr>
            <w:tcW w:w="3040" w:type="dxa"/>
            <w:vAlign w:val="bottom"/>
            <w:tcBorders>
              <w:bottom w:val="single" w:sz="8" w:color="D7282F"/>
            </w:tcBorders>
            <w:gridSpan w:val="4"/>
          </w:tcPr>
          <w:p>
            <w:pPr>
              <w:jc w:val="right"/>
              <w:ind w:right="78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4,450</w:t>
            </w:r>
          </w:p>
        </w:tc>
        <w:tc>
          <w:tcPr>
            <w:tcW w:w="4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4,424</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r>
        <w:trPr>
          <w:trHeight w:val="199"/>
        </w:trPr>
        <w:tc>
          <w:tcPr>
            <w:tcW w:w="82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4,420</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4,395</w:t>
            </w: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spacing w:after="0"/>
              <w:rPr>
                <w:sz w:val="16"/>
                <w:szCs w:val="16"/>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457</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382</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189</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(329)</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(443)</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(410)</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153</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168</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(641)</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(554)</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spacing w:after="0"/>
              <w:rPr>
                <w:sz w:val="17"/>
                <w:szCs w:val="17"/>
                <w:color w:val="auto"/>
              </w:rPr>
            </w:pP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(218)</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(233)</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(448)</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195</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(142)</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w:t>
            </w:r>
          </w:p>
        </w:tc>
      </w:tr>
      <w:tr>
        <w:trPr>
          <w:trHeight w:val="196"/>
        </w:trPr>
        <w:tc>
          <w:tcPr>
            <w:tcW w:w="82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(146)</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(340)</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3,816</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2,385</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(771)</w:t>
            </w:r>
          </w:p>
        </w:tc>
        <w:tc>
          <w:tcPr>
            <w:tcW w:w="4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(675)</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(698)</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(404)</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564</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808</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(250)</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212</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(7,047)</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(716)</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(8,202)</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(754)</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9,516</w:t>
            </w:r>
          </w:p>
        </w:tc>
        <w:tc>
          <w:tcPr>
            <w:tcW w:w="4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10,727</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(8,477)</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(11,484)</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349</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10,407</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2,985</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(1,381)</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(1,200)</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(2,187)</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(2,161)</w:t>
            </w:r>
          </w:p>
        </w:tc>
        <w:tc>
          <w:tcPr>
            <w:tcW w:w="44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(2,144)</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7,058</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(3,427)</w:t>
            </w:r>
          </w:p>
        </w:tc>
      </w:tr>
      <w:tr>
        <w:trPr>
          <w:trHeight w:val="193"/>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8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w:t>
            </w:r>
          </w:p>
        </w:tc>
        <w:tc>
          <w:tcPr>
            <w:tcW w:w="4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2,719</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(1,857)</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4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9,627</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8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10,644</w:t>
            </w:r>
          </w:p>
        </w:tc>
        <w:tc>
          <w:tcPr>
            <w:tcW w:w="4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7,770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spacing w:after="0"/>
              <w:rPr>
                <w:sz w:val="20"/>
                <w:szCs w:val="20"/>
                <w:color w:val="auto"/>
              </w:rPr>
            </w:pPr>
          </w:p>
        </w:tc>
        <w:tc>
          <w:tcPr>
            <w:tcW w:w="1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957.6</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9,495</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8,866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9,062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w:t>
            </w:r>
          </w:p>
        </w:tc>
        <w:tc>
          <w:tcPr>
            <w:tcW w:w="12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45</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9,554</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8,905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9,554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8,905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(307.9)</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(39,007)</w:t>
            </w:r>
          </w:p>
        </w:tc>
        <w:tc>
          <w:tcPr>
            <w:tcW w:w="12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(293.6)</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(35,510)</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(305.8)</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(38,008)</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(290.0)</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(5.3)</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(6.1)</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(1,200)</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(11.3)</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18</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0.6</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4.5</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219</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(307.4)</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(38,989)</w:t>
            </w:r>
          </w:p>
        </w:tc>
        <w:tc>
          <w:tcPr>
            <w:tcW w:w="12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(298.3)</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(36,507)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(307.4)</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(38,989)</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(298.3)</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(36,507)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49,576</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46,596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47,979</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45,093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1,413</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4,420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(702)</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(2,112)</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50,287</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47,426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50,287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47,426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(4,075)</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(3,611)</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(4,135)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(309)</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(226)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(6)</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(16)</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gridSpan w:val="2"/>
            <w:vMerge w:val="continue"/>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(14)</w:t>
            </w:r>
          </w:p>
        </w:tc>
        <w:tc>
          <w:tcPr>
            <w:tcW w:w="12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(4,404)</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(4,404)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563</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595</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578</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21</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(18)</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(66)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568</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568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650.2</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17,974</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659.3</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17,775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650.2</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17,974</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659.3</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17,775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1.08</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3.24</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nine months ended September 30, 2024, and 2023, were September 28, 2024, and September 30, 2023,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2023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529"/>
        </w:rPr>
        <w:t>During the first quarter of 2024, the Company realigned certain of its business units as reflected in Note 18 Segment Financial Data, which impacted the composition of its reportable segments. The Company recast historical periods to reflect this change in segment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$1,034 million and $1,112 million as of September 30, 2024, and December 31, 2023,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Early adoption is permitted. The Company is currently evaluating the impacts of this guidance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was effective on January 1, 2023, except for the rollforward, which became effective on January 1, 2024, for annual disclosures. The Company adopted this guidance on January 1, 2023, with the exception of the rollforward adopted on January 1, 2024. The adoption of this standard does not have a material impact on the Company’s Consolidated Financial Statements.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40" w:lineRule="exact"/>
        <w:rPr>
          <w:sz w:val="20"/>
          <w:szCs w:val="20"/>
          <w:color w:val="auto"/>
        </w:rPr>
      </w:pPr>
    </w:p>
    <w:p>
      <w:pPr>
        <w:ind w:right="600"/>
        <w:spacing w:after="0" w:line="276" w:lineRule="auto"/>
        <w:rPr>
          <w:sz w:val="20"/>
          <w:szCs w:val="20"/>
          <w:color w:val="auto"/>
        </w:rPr>
      </w:pPr>
      <w:r>
        <w:rPr>
          <w:rFonts w:ascii="Arial" w:cs="Arial" w:eastAsia="Arial" w:hAnsi="Arial"/>
          <w:sz w:val="29"/>
          <w:szCs w:val="29"/>
          <w:color w:val="D7282F"/>
        </w:rPr>
        <w:t>NOTE 3. ACQUISITIONS, DIVESTITURES AND ASSETS AND LIABILITIES HELD FOR SALE</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$1,837 million, net of cash acquired. The business will be included within the Energy and Sustainability Solutions reportable business segment. The following table summarizes the preliminary determination of the fair value of identifiable assets acquired and liabilities assumed at the date of acquisition. These balances are not included in the Consolidated Balance Sheet as of September 30, 2024, as the date of acquisition occurred during the Company's fiscal period for the three months ended 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931</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971</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866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1,837</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4 to 20 years using accelerated amortization methods. The goodwill is deductible for tax purposes. The balances above will be included within the Consolidated Balance Sheet as of December 31, 2024. As of September 30, 2024, the purchase accounting is subject to final adjustment, primarily for the valuation of intangible assets, amounts allocated to goodwill, working capital adjustments, and tax balances.</w:t>
      </w:r>
    </w:p>
    <w:p>
      <w:pPr>
        <w:spacing w:after="0" w:line="200" w:lineRule="exact"/>
        <w:rPr>
          <w:sz w:val="20"/>
          <w:szCs w:val="20"/>
          <w:color w:val="auto"/>
        </w:rPr>
      </w:pPr>
    </w:p>
    <w:p>
      <w:pPr>
        <w:spacing w:after="0" w:line="21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$1,930 million, net of cash acquired. The business is included within the Aerospace Technologies reportable business segment. The following table summarizes the preliminary determination of the fair value of identifiable assets acquired and liabilities assumed that are included in the Consolidated Balance Sheet as of September 30, 2024:</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332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(167)</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1,434</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539</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1,973</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2 to 15 years using straight line and accelerated amortization methods. The goodwill is not deductible for tax purposes. As of September 30, 2024, the purchase accounting for CAES is subject to final adjustment, primarily for the valuation of intangible assets, amounts allocated to goodwill, working capital adjustments, and tax balances.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included within the Aerospace Technologies reportable business segment. The assets and liabilities acquired with Civitanavi Systems S.p.A. are included in the Consolidated Balance Sheet as of September 30, 2024, including $75 million of intangible assets and $107 million of goodwill, which is not deductible for tax purposes. As of September 30, 2024, the purchase accounting is subject to final adjustment, primarily for the valuation of intangible assets, amounts allocated to goodwill, and tax balances.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$4,917 million, net of cash acquired. The business is included in the Building Automation reportable business segment. The following table summarizes the preliminary determination of the fair value of identifiable assets acquired and liabilities assumed that are included in the Consolidated Balance Sheet as of September 30,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2,050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2,172</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2,826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 As of September 30, 2024, the purchase accounting for Access Solutions is subject to final adjustment, primarily for the valuation of intangible assets, amounts allocated to goodwill, working capital adjustments, and tax balances.</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SCADAfence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Industrial Automation reportable business segment. The assets and liabilities acquired with SCADAfence are included in the Consolidated Balance Sheet as of September 30, 2024, including $17 million of intangible assets and $42 million of goodwill, which is not deductible for tax purposes. The Company finalized the evaluation for the fair value of all the assets and liabilities acquired with SCADAfence during the third quarter of 2024.</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Compressor Controls Corporation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included in the Industrial Automation reportable business segment. The assets and liabilities acquired with Compressor Controls Corporation are included in the Consolidated Balance Sheet as of September 30, 2024, including $282 million of intangible assets and $351 million allocated to goodwill, which is deductible for tax purposes. The identifiable intangible assets primarily include customer relationships amortized over an estimated life of 15 years using an excess earnings amortization method. The Company finalized the evaluation for the fair value of all the assets and liabilities acquired with Compressor Controls Corporation during the second quarter of 2024.</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2024, and 2023, there were no significant divestitures that closed individually or in the aggregate.</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ASSETS AND LIABILITIES HELD FOR SALE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third quarter of 2024, the Company concluded the assets and liabilities of the personal protective equipment business, which is part of the Sensing and Safety Technologies business unit within the Industrial Automation reportable business segment, met the held for sale criteria as of September 30, 2024; therefore, the Company presented the associated assets and liabilities of the business as held for sale in the Consolidated Balance Sheet as of September 30, 2024. The disposal group, consisting of the associated assets and liabilities, is measured at the lower of carrying value or fair value less costs to sell. Depreciation and amortization expense is not recorded for the period in which assets are classified as held for sale. The carrying amount of any assets, including goodwill, that are part of the disposal group, but not in the scope of ASC 360-10, are tested for impairment under the relevant guidance prior to measuring the disposal group at fair value, less costs to sell.</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classification of the assets and liabilities of the business as held for sale, the Company performed an evaluation to assess the recoverability of the carrying value of the assets held for sale. The Company recognized a valuation allowance of $125 million in the third quarter of 2024 to write down the disposal group to fair value, less costs to sell. The carrying value is based on the use of estimates and is subject to change based on future developments leading up to the closing date of a sale, and actual amounts realized upon sale may vary from those recorded as of September 30, 2024.</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classified as held for sale in the Consolidated Balance Sheet: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September 30, 2024</w:t>
            </w:r>
          </w:p>
        </w:tc>
      </w:tr>
      <w:tr>
        <w:trPr>
          <w:trHeight w:val="196"/>
        </w:trPr>
        <w:tc>
          <w:tcPr>
            <w:tcW w:w="6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 held for sale</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3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411</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608</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assets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200"/>
        </w:trPr>
        <w:tc>
          <w:tcPr>
            <w:tcW w:w="656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Valuation allowance on assets held for sale</w:t>
            </w:r>
            <w:r>
              <w:rPr>
                <w:rFonts w:ascii="Arial" w:cs="Arial" w:eastAsia="Arial" w:hAnsi="Arial"/>
                <w:sz w:val="18"/>
                <w:szCs w:val="18"/>
                <w:color w:val="auto"/>
                <w:vertAlign w:val="superscript"/>
              </w:rPr>
              <w:t>1</w:t>
            </w:r>
          </w:p>
        </w:tc>
        <w:tc>
          <w:tcPr>
            <w:tcW w:w="310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(125)</w:t>
            </w:r>
          </w:p>
        </w:tc>
      </w:tr>
      <w:tr>
        <w:trPr>
          <w:trHeight w:val="195"/>
        </w:trPr>
        <w:tc>
          <w:tcPr>
            <w:tcW w:w="6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 held for sale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1,518</w:t>
            </w:r>
          </w:p>
        </w:tc>
      </w:tr>
      <w:tr>
        <w:trPr>
          <w:trHeight w:val="196"/>
        </w:trPr>
        <w:tc>
          <w:tcPr>
            <w:tcW w:w="6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 held for sale</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3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w:t>
            </w:r>
          </w:p>
        </w:tc>
      </w:tr>
      <w:tr>
        <w:trPr>
          <w:trHeight w:val="196"/>
        </w:trPr>
        <w:tc>
          <w:tcPr>
            <w:tcW w:w="6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Postretirement benefit obligations other than pensions</w:t>
            </w:r>
          </w:p>
        </w:tc>
        <w:tc>
          <w:tcPr>
            <w:tcW w:w="310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6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310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6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 held for sale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433</w:t>
            </w:r>
          </w:p>
        </w:tc>
      </w:tr>
    </w:tbl>
    <w:p>
      <w:pPr>
        <w:spacing w:after="0" w:line="117" w:lineRule="exact"/>
        <w:rPr>
          <w:sz w:val="20"/>
          <w:szCs w:val="20"/>
          <w:color w:val="auto"/>
        </w:rPr>
      </w:pPr>
    </w:p>
    <w:p>
      <w:pPr>
        <w:ind w:left="480" w:right="140" w:hanging="344"/>
        <w:spacing w:after="0" w:line="180" w:lineRule="auto"/>
        <w:tabs>
          <w:tab w:leader="none" w:pos="480" w:val="left"/>
        </w:tabs>
        <w:numPr>
          <w:ilvl w:val="0"/>
          <w:numId w:val="14"/>
        </w:numPr>
        <w:rPr>
          <w:rFonts w:ascii="Arial" w:cs="Arial" w:eastAsia="Arial" w:hAnsi="Arial"/>
          <w:sz w:val="25"/>
          <w:szCs w:val="25"/>
          <w:color w:val="auto"/>
          <w:vertAlign w:val="subscript"/>
        </w:rPr>
      </w:pPr>
      <w:r>
        <w:rPr>
          <w:rFonts w:ascii="Arial" w:cs="Arial" w:eastAsia="Arial" w:hAnsi="Arial"/>
          <w:sz w:val="13"/>
          <w:szCs w:val="13"/>
          <w:color w:val="auto"/>
        </w:rPr>
        <w:t>The valuation allowance on assets held for sale primarily relates to losses on foreign currency translation which are expected to be reclassified out of accumulated other comprehensive loss upon close of a sale.</w:t>
      </w:r>
    </w:p>
    <w:p>
      <w:pPr>
        <w:spacing w:after="0" w:line="200" w:lineRule="exact"/>
        <w:rPr>
          <w:sz w:val="20"/>
          <w:szCs w:val="20"/>
          <w:color w:val="auto"/>
        </w:rPr>
      </w:pPr>
    </w:p>
    <w:p>
      <w:pPr>
        <w:spacing w:after="0" w:line="34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617</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563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1,959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1,711</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1,758</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1,634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5,215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4,590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1,537</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4,298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3,650</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3,912</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3,499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11,472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9,951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452</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1,368</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1,509</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289</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304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994</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1,522</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1,493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4,527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4,460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238</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335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681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1,197</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2,501</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2,630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7,485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8,160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1,059</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894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2,780</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2,720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686</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636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1,962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1,807</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1,745</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4,742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4,527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654</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668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1,830</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1,856</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883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2,862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2,723</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1,563</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4,692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4,579</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9,728</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9,212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28,410</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27,222</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April 2024, the Company realigned certain business units within the Industrial Automation reportable business segment. The gas detection business moved from the Sensing and Safety Technologies business unit to the Process Solutions business unit to align with the process measurement controls business.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petrochemicals, life sciences, metals and mining,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the Company's industry leading industrial Internet of Things (IoT) platform, Honeywell Forge.</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integral to facilitating the world's energy transition. The reportable business segment is comprised of UOP and Advanced Materials business units. The UOP business provides sustainable aviation fuels, petrochemical and refining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2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18 Segment Financial Data.</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720" w:type="dxa"/>
            <w:vAlign w:val="bottom"/>
          </w:tcPr>
          <w:p>
            <w:pPr>
              <w:spacing w:after="0"/>
              <w:rPr>
                <w:sz w:val="16"/>
                <w:szCs w:val="16"/>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72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57 %</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57 %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70</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29</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r>
      <w:tr>
        <w:trPr>
          <w:trHeight w:val="196"/>
        </w:trPr>
        <w:tc>
          <w:tcPr>
            <w:tcW w:w="6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2,294</w:t>
            </w:r>
          </w:p>
        </w:tc>
      </w:tr>
      <w:tr>
        <w:trPr>
          <w:trHeight w:val="200"/>
        </w:trPr>
        <w:tc>
          <w:tcPr>
            <w:tcW w:w="64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Contract assets—September 30</w:t>
            </w:r>
            <w:r>
              <w:rPr>
                <w:rFonts w:ascii="Arial" w:cs="Arial" w:eastAsia="Arial" w:hAnsi="Arial"/>
                <w:sz w:val="18"/>
                <w:szCs w:val="18"/>
                <w:color w:val="auto"/>
                <w:vertAlign w:val="superscript"/>
              </w:rPr>
              <w:t>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2,263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2,418</w:t>
            </w:r>
          </w:p>
        </w:tc>
      </w:tr>
      <w:tr>
        <w:trPr>
          <w:trHeight w:val="195"/>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(4,326)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(4,583)</w:t>
            </w:r>
          </w:p>
        </w:tc>
      </w:tr>
      <w:tr>
        <w:trPr>
          <w:trHeight w:val="200"/>
        </w:trPr>
        <w:tc>
          <w:tcPr>
            <w:tcW w:w="64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Contract liabilities—September 30</w:t>
            </w:r>
            <w:r>
              <w:rPr>
                <w:rFonts w:ascii="Arial" w:cs="Arial" w:eastAsia="Arial" w:hAnsi="Arial"/>
                <w:sz w:val="18"/>
                <w:szCs w:val="18"/>
                <w:color w:val="auto"/>
                <w:vertAlign w:val="superscript"/>
              </w:rPr>
              <w:t>2</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(3,928)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(4,081)</w:t>
            </w:r>
          </w:p>
        </w:tc>
      </w:tr>
      <w:tr>
        <w:trPr>
          <w:trHeight w:val="195"/>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502</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626</w:t>
            </w:r>
          </w:p>
        </w:tc>
      </w:tr>
    </w:tbl>
    <w:p>
      <w:pPr>
        <w:spacing w:after="0" w:line="185" w:lineRule="exact"/>
        <w:rPr>
          <w:sz w:val="20"/>
          <w:szCs w:val="20"/>
          <w:color w:val="auto"/>
        </w:rPr>
      </w:pPr>
    </w:p>
    <w:p>
      <w:pPr>
        <w:ind w:left="460" w:hanging="324"/>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As of September 30, 2024, contract assets excludes $4 million that are included in Assets held for sale in the Consolidated Balance Sheet. Refer to Note 3.</w:t>
      </w:r>
    </w:p>
    <w:p>
      <w:pPr>
        <w:spacing w:after="0" w:line="80" w:lineRule="exact"/>
        <w:rPr>
          <w:sz w:val="20"/>
          <w:szCs w:val="20"/>
          <w:color w:val="auto"/>
        </w:rPr>
      </w:pPr>
    </w:p>
    <w:p>
      <w:pPr>
        <w:ind w:left="460" w:hanging="324"/>
        <w:spacing w:after="0"/>
        <w:tabs>
          <w:tab w:leader="none" w:pos="460" w:val="left"/>
        </w:tabs>
        <w:numPr>
          <w:ilvl w:val="0"/>
          <w:numId w:val="19"/>
        </w:numPr>
        <w:rPr>
          <w:rFonts w:ascii="Arial" w:cs="Arial" w:eastAsia="Arial" w:hAnsi="Arial"/>
          <w:sz w:val="25"/>
          <w:szCs w:val="25"/>
          <w:color w:val="auto"/>
          <w:vertAlign w:val="superscript"/>
        </w:rPr>
      </w:pPr>
      <w:r>
        <w:rPr>
          <w:rFonts w:ascii="Arial" w:cs="Arial" w:eastAsia="Arial" w:hAnsi="Arial"/>
          <w:sz w:val="13"/>
          <w:szCs w:val="13"/>
          <w:color w:val="auto"/>
        </w:rPr>
        <w:t>As of September 30, 2024, contract liabilities excludes $18 million that are included in Liabilities held for sale in the Consolidated Balance Sheet. Refer to Note 3.</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nine months ended September 30, 2024, the Company recognized revenue of $454 million and $1,941 million, respectively, that was previously included in the beginning balance of contract liabilities. For the three and nine months ended September 30, 2023, the Company recognized revenue of $333 million and $1,814 million, respectively, that was previously included in the beginning balance of contract liabilities.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Contract assets included $2,183 million and $1,949 million of unbilled balances under long-term contracts as of September 30, 2024, and December 31, 2023,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contracts with customers require highly complex integration or manufacturing services not separately identifiable from other promises in the contracts and, therefore, are not distinct,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HONEYWELL INTERNATIONAL INC.</w:t>
            </w: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89"/>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NOTES TO CONSOLIDATED FINANCIAL STATEMENTS</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3"/>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13"/>
        </w:trPr>
        <w:tc>
          <w:tcPr>
            <w:tcW w:w="928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5"/>
        </w:trPr>
        <w:tc>
          <w:tcPr>
            <w:tcW w:w="928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1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September 30, 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15,109</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5,677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8,536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4,988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3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34,337</w:t>
            </w:r>
          </w:p>
        </w:tc>
      </w:tr>
    </w:tbl>
    <w:p>
      <w:pPr>
        <w:spacing w:after="0" w:line="198" w:lineRule="exact"/>
        <w:rPr>
          <w:sz w:val="20"/>
          <w:szCs w:val="20"/>
          <w:color w:val="auto"/>
        </w:rPr>
      </w:pPr>
    </w:p>
    <w:p>
      <w:pPr>
        <w:ind w:left="480" w:hanging="344"/>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remaining performance obligations within Corporate and All Other relate to the Quantinuum business.</w:t>
      </w:r>
    </w:p>
    <w:p>
      <w:pPr>
        <w:spacing w:after="0" w:line="3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September 30, 2024,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216</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70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w:t>
            </w:r>
          </w:p>
        </w:tc>
        <w:tc>
          <w:tcPr>
            <w:tcW w:w="7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w:t>
            </w:r>
          </w:p>
        </w:tc>
        <w:tc>
          <w:tcPr>
            <w:tcW w:w="7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52</w:t>
            </w:r>
          </w:p>
        </w:tc>
        <w:tc>
          <w:tcPr>
            <w:tcW w:w="7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18 Segment Financial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70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w:t>
            </w: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131</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52</w:t>
            </w:r>
          </w:p>
        </w:tc>
        <w:tc>
          <w:tcPr>
            <w:tcW w:w="7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331</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September 30, 2024, the Company recognized gross repositioning charges totaling $56 million, including severance costs of $38 million related to workforce reductions of 727 manufacturing and administrative positions primarily in the Company's Industrial Automation and Aerospace Technologies reportable business segments. The workforce reductions related to productivity and ongoing functional transformation initiatives. The repositioning charges included asset impairments of $3 million related to the write-down of certain assets within the Company's Industrial Automation reportable business segment. The repositioning charges also included exit costs of $15 million related to current period costs incurred for closure obligations associated with site transitions primarily in the Company's Industrial Automation reportable business segment and corporate function. Also, $28 million of previously established reserves, primarily for severance, were returned to income due to higher-than-expected voluntary exits and adjustments to the scope of previously announced repositioning actions.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three months ended September 30, 2023, the Company recognized gross repositioning charges totaling $87 million, including severance costs of $35 million related to workforce reductions of 1,567 manufacturing and administrative positions primarily in the Company's Building Automation and Industrial Automation reportable business segments. The workforce reductions related to productivity and ongoing functional transformation initiatives. The repositioning charges included asset impairments of $16 million primarily related to the write-down of certain assets within the Company's Industrial Automation reportable business segment. The repositioning charges also included exit costs of $36 million related to current period costs incurred for closure obligations associated with site transitions primarily in the Company's Industrial Automation and Energy and Sustainability Solutions reportable business segments. Also, $23 million of previously established reserves, primarily for severance, were returned to income due to adjustments to the scope of previously announced repositioning actions.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nine months ended September 30, 2024, the Company recognized gross repositioning charges totaling $144 million, including severance costs of $91 million related to workforce reductions of 2,734 manufacturing and administrative positions primarily in the Company's Industrial Automation and Aerospace Technologies reportable business segments and corporate function. The workforce reductions related to productivity and ongoing functional transformation initiatives. The repositioning charges included asset impairments of $5 million related to the write-down of certain assets within the Company's Industrial Automation reportable business segment. The repositioning charges also included exit costs of $48 million related to current period costs incurred for closure obligations associated with site transitions primarily in the Company's Industrial Automation reportable business segment and corporate function. Also, $55 million of previously established reserves, primarily for severance, were returned to income due to adjustments to the scope of previously announced repositioning actions.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nine months ended September 30, 2023, the Company recognized gross repositioning charges totaling $256 million, including severance costs of $121 million related to workforce reductions of 4,128 manufacturing and administrative positions primarily in the Company's Industrial Automation and Building Automation reportable business segments. The workforce reductions primarily related to productivity and ongoing functional transformation initiatives. The repositioning charges included asset impairments of $37 million related to the write-down of certain assets within the Company's Industrial Automation reportable business segment. The repositioning charges also included exit costs of $98 million related to current period costs incurred for closure obligations associated with site transitions across all of the Company's reportable business segments and corporate function. Also, $40 million of previously established reserves, primarily for severance, were returned to income due to adjustments to the scope of previously announced repositioning actions.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D7282F"/>
            </w:tcBorders>
          </w:tcPr>
          <w:p>
            <w:pPr>
              <w:spacing w:after="0"/>
              <w:rPr>
                <w:sz w:val="16"/>
                <w:szCs w:val="16"/>
                <w:color w:val="auto"/>
              </w:rPr>
            </w:pPr>
          </w:p>
        </w:tc>
        <w:tc>
          <w:tcPr>
            <w:tcW w:w="172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93"/>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91</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(73)</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Reclassifications to Liabilities held for sale</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nine months ended September 30, 2024, and 2023, were $41 million and $40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2022, the Company recognized $295 million of Other charges related to the initial suspension and the wind down of the Company's business and operations in Russia. These costs impacted all reportable business segments, with the most significant impact within the historical Performance Materials and Technologies reportable business segment. The Other charges include costs recorded in Cost of products sold, Selling, general and administrative expenses, or Other (income) expense in the Consolidated Statement of Operations. During the nine months ended September 30,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Commitments and Contingencies for a discussion of the recognition and measurement of estimate for contingencies.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nine months ended September 30, 2023, the Company recorded a fair value adjustment, within Asbestos-related charges, net of insurance and reimbursements in the table above and Other (income) expense on the Consolidated Statement of Operations, related to HWI Net Sale Proceeds (as defined in Note 15 Commitments and Contingencies) and reduced the estimate by $11 million. See Note 12 Fair Value Measurements and Note 15 Commitments and Contingencies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tax rate was higher than the U.S. federal statutory rate of 21% and decreased in 2024 compared to 2023 due to increased benefit from taxes on non-U.S. earnings and employee share-based compensation, partially offset by a nondeductible impairment loss on assets held for sale.</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D7282F"/>
            </w:tcBorders>
          </w:tcPr>
          <w:p>
            <w:pPr>
              <w:spacing w:after="0"/>
              <w:rPr>
                <w:sz w:val="17"/>
                <w:szCs w:val="17"/>
                <w:color w:val="auto"/>
              </w:rPr>
            </w:pPr>
          </w:p>
        </w:tc>
        <w:tc>
          <w:tcPr>
            <w:tcW w:w="32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4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1,704</w:t>
            </w:r>
          </w:p>
        </w:tc>
      </w:tr>
      <w:tr>
        <w:trPr>
          <w:trHeight w:val="196"/>
        </w:trPr>
        <w:tc>
          <w:tcPr>
            <w:tcW w:w="44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22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1,275</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1,217</w:t>
            </w:r>
          </w:p>
        </w:tc>
      </w:tr>
      <w:tr>
        <w:trPr>
          <w:trHeight w:val="196"/>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2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3,559</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3,257</w:t>
            </w:r>
          </w:p>
        </w:tc>
      </w:tr>
      <w:tr>
        <w:trPr>
          <w:trHeight w:val="200"/>
        </w:trPr>
        <w:tc>
          <w:tcPr>
            <w:tcW w:w="440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 Inventories</w:t>
            </w:r>
            <w:r>
              <w:rPr>
                <w:rFonts w:ascii="Arial" w:cs="Arial" w:eastAsia="Arial" w:hAnsi="Arial"/>
                <w:sz w:val="18"/>
                <w:szCs w:val="18"/>
                <w:b w:val="1"/>
                <w:bCs w:val="1"/>
                <w:color w:val="auto"/>
                <w:vertAlign w:val="superscript"/>
              </w:rPr>
              <w:t>1</w:t>
            </w:r>
          </w:p>
        </w:tc>
        <w:tc>
          <w:tcPr>
            <w:tcW w:w="3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6,338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6,178</w:t>
            </w:r>
          </w:p>
        </w:tc>
      </w:tr>
    </w:tbl>
    <w:p>
      <w:pPr>
        <w:spacing w:after="0" w:line="185" w:lineRule="exact"/>
        <w:rPr>
          <w:sz w:val="20"/>
          <w:szCs w:val="20"/>
          <w:color w:val="auto"/>
        </w:rPr>
      </w:pPr>
    </w:p>
    <w:p>
      <w:pPr>
        <w:ind w:left="580" w:hanging="444"/>
        <w:spacing w:after="0"/>
        <w:tabs>
          <w:tab w:leader="none" w:pos="5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of September 30, 2024, Total Inventories excludes $201 million that are included in Assets held for sale in the Consolidated Balance Sheet. Refer to Note 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summarizes the change in the carrying amount of goodwill for the nine months ended September 30, 2024, by reportable business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rPr>
              <w:t>Reclassified to</w:t>
            </w:r>
          </w:p>
        </w:tc>
        <w:tc>
          <w:tcPr>
            <w:tcW w:w="20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Translation</w:t>
            </w:r>
          </w:p>
        </w:tc>
        <w:tc>
          <w:tcPr>
            <w:tcW w:w="144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rPr>
              <w:t>Assets Held for</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Sale</w:t>
            </w:r>
          </w:p>
        </w:tc>
        <w:tc>
          <w:tcPr>
            <w:tcW w:w="2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2,386</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ind w:left="9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9,650</w:t>
            </w:r>
          </w:p>
        </w:tc>
        <w:tc>
          <w:tcPr>
            <w:tcW w:w="2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ind w:left="800"/>
              <w:spacing w:after="0"/>
              <w:rPr>
                <w:sz w:val="20"/>
                <w:szCs w:val="20"/>
                <w:color w:val="auto"/>
              </w:rPr>
            </w:pPr>
            <w:r>
              <w:rPr>
                <w:rFonts w:ascii="Arial" w:cs="Arial" w:eastAsia="Arial" w:hAnsi="Arial"/>
                <w:sz w:val="14"/>
                <w:szCs w:val="14"/>
                <w:color w:val="auto"/>
              </w:rPr>
              <w:t>(411)</w:t>
            </w:r>
          </w:p>
        </w:tc>
        <w:tc>
          <w:tcPr>
            <w:tcW w:w="2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9,302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3,380</w:t>
            </w:r>
          </w:p>
        </w:tc>
        <w:tc>
          <w:tcPr>
            <w:tcW w:w="2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2,826</w:t>
            </w:r>
          </w:p>
        </w:tc>
        <w:tc>
          <w:tcPr>
            <w:tcW w:w="30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ind w:left="9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6,246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1,727</w:t>
            </w:r>
          </w:p>
        </w:tc>
        <w:tc>
          <w:tcPr>
            <w:tcW w:w="28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ind w:left="9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906</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ind w:left="9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99"/>
        </w:trPr>
        <w:tc>
          <w:tcPr>
            <w:tcW w:w="4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18,049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3,472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ind w:left="780"/>
              <w:spacing w:after="0"/>
              <w:rPr>
                <w:sz w:val="20"/>
                <w:szCs w:val="20"/>
                <w:color w:val="auto"/>
              </w:rPr>
            </w:pPr>
            <w:r>
              <w:rPr>
                <w:rFonts w:ascii="Arial" w:cs="Arial" w:eastAsia="Arial" w:hAnsi="Arial"/>
                <w:sz w:val="14"/>
                <w:szCs w:val="14"/>
                <w:b w:val="1"/>
                <w:bCs w:val="1"/>
                <w:color w:val="auto"/>
              </w:rPr>
              <w:t>(411)</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21,270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4"/>
                <w:szCs w:val="14"/>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4"/>
                <w:szCs w:val="1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2,659</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826</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2,399</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6,457</w:t>
            </w: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(2,231)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4,226</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4,199</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(2,601)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421</w:t>
            </w: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362</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(284)</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413</w:t>
            </w:r>
          </w:p>
        </w:tc>
        <w:tc>
          <w:tcPr>
            <w:tcW w:w="3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9,950</w:t>
            </w:r>
          </w:p>
        </w:tc>
        <w:tc>
          <w:tcPr>
            <w:tcW w:w="3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(4,641)</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5,309</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7,259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D7282F"/>
            </w:tcBorders>
          </w:tcPr>
          <w:p>
            <w:pPr>
              <w:ind w:left="140"/>
              <w:spacing w:after="0" w:line="197" w:lineRule="exact"/>
              <w:rPr>
                <w:sz w:val="20"/>
                <w:szCs w:val="20"/>
                <w:color w:val="auto"/>
              </w:rPr>
            </w:pPr>
            <w:r>
              <w:rPr>
                <w:rFonts w:ascii="Arial" w:cs="Arial" w:eastAsia="Arial" w:hAnsi="Arial"/>
                <w:sz w:val="14"/>
                <w:szCs w:val="14"/>
                <w:color w:val="auto"/>
              </w:rPr>
              <w:t>Trademarks</w:t>
            </w:r>
            <w:r>
              <w:rPr>
                <w:rFonts w:ascii="Arial" w:cs="Arial" w:eastAsia="Arial" w:hAnsi="Arial"/>
                <w:sz w:val="18"/>
                <w:szCs w:val="18"/>
                <w:color w:val="auto"/>
                <w:vertAlign w:val="superscript"/>
              </w:rPr>
              <w:t>2</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440</w:t>
            </w:r>
          </w:p>
        </w:tc>
        <w:tc>
          <w:tcPr>
            <w:tcW w:w="3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360"/>
              <w:spacing w:after="0" w:line="196" w:lineRule="exact"/>
              <w:rPr>
                <w:sz w:val="20"/>
                <w:szCs w:val="20"/>
                <w:color w:val="auto"/>
              </w:rPr>
            </w:pPr>
            <w:r>
              <w:rPr>
                <w:rFonts w:ascii="Arial" w:cs="Arial" w:eastAsia="Arial" w:hAnsi="Arial"/>
                <w:sz w:val="14"/>
                <w:szCs w:val="14"/>
                <w:b w:val="1"/>
                <w:bCs w:val="1"/>
                <w:color w:val="auto"/>
              </w:rPr>
              <w:t>Total Other intangible assets—net</w:t>
            </w:r>
            <w:r>
              <w:rPr>
                <w:rFonts w:ascii="Arial" w:cs="Arial" w:eastAsia="Arial" w:hAnsi="Arial"/>
                <w:sz w:val="18"/>
                <w:szCs w:val="18"/>
                <w:b w:val="1"/>
                <w:bCs w:val="1"/>
                <w:color w:val="auto"/>
                <w:vertAlign w:val="superscript"/>
              </w:rPr>
              <w:t>1</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10,390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(4,641)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5,749</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8,230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right="20" w:hanging="344"/>
        <w:spacing w:after="0" w:line="264" w:lineRule="auto"/>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September 30, 2024, Total Other intangible assets-net excludes net carrying amount of $125 million of customer relationships and net carrying amount of $483 million of indefinite-life trademarks that are included in Assets held for sale in the Consolidated Balance Sheet. Refer to Note 3.</w:t>
      </w:r>
    </w:p>
    <w:p>
      <w:pPr>
        <w:spacing w:after="0" w:line="171" w:lineRule="exact"/>
        <w:rPr>
          <w:sz w:val="20"/>
          <w:szCs w:val="20"/>
          <w:color w:val="auto"/>
        </w:rPr>
      </w:pPr>
    </w:p>
    <w:p>
      <w:pPr>
        <w:ind w:left="480" w:right="20" w:hanging="344"/>
        <w:spacing w:after="0"/>
        <w:tabs>
          <w:tab w:leader="none" w:pos="480" w:val="left"/>
        </w:tabs>
        <w:numPr>
          <w:ilvl w:val="0"/>
          <w:numId w:val="26"/>
        </w:numPr>
        <w:rPr>
          <w:rFonts w:ascii="Arial" w:cs="Arial" w:eastAsia="Arial" w:hAnsi="Arial"/>
          <w:sz w:val="24"/>
          <w:szCs w:val="24"/>
          <w:color w:val="auto"/>
          <w:vertAlign w:val="superscript"/>
        </w:rPr>
      </w:pPr>
      <w:r>
        <w:rPr>
          <w:rFonts w:ascii="Arial" w:cs="Arial" w:eastAsia="Arial" w:hAnsi="Arial"/>
          <w:sz w:val="12"/>
          <w:szCs w:val="12"/>
          <w:color w:val="auto"/>
        </w:rPr>
        <w:t>An impairment charge of $48 million was recorded on indefinite-lived intangible assets related to the personal protective equipment business during the three months ended September 30, 2024.</w:t>
      </w:r>
    </w:p>
    <w:p>
      <w:pPr>
        <w:spacing w:after="0" w:line="3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intangible assets amortization includes $120 million and $275 million of acquisition-related intangible amortization expense for the three and nine months ended September 30, 2024, respectively, and $87 million and $216 million for the three and nine months ended September 30, 2023, respectively.</w:t>
      </w:r>
    </w:p>
    <w:p>
      <w:pPr>
        <w:spacing w:after="0" w:line="400"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LONG-TERM DEBT AND CREDIT AGREEMENTS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728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4.70% notes due 2030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1,119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4.37% Term Loan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4.6% weighted average interest rate maturing at various dates through 2031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7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27,694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18,358</w:t>
            </w:r>
          </w:p>
        </w:tc>
      </w:tr>
      <w:tr>
        <w:trPr>
          <w:trHeight w:val="193"/>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28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1,760</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1,796</w:t>
            </w:r>
          </w:p>
        </w:tc>
      </w:tr>
      <w:tr>
        <w:trPr>
          <w:trHeight w:val="199"/>
        </w:trPr>
        <w:tc>
          <w:tcPr>
            <w:tcW w:w="7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25,934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16,562</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Issuances of Senior Notes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1, 2024, the Company issued $1.15 billion 4.65% Senior Notes due 2027, $1.0 billion 4.70% Senior Notes due 2030, $650 million 4.75% Senior Notes due 2032, and $700 million 5.00% Senior Notes due 2035 (collectively, the August 2024 USD Notes). The Company may redeem the August 2024 USD Notes at any time, and from time to time, in whole or in part, at the Company's option at the applicable redemption price. The offering provided gross proceeds of $3.5 billion, offset by $20 million in discount and closing costs related to the offering.</w:t>
      </w:r>
    </w:p>
    <w:p>
      <w:pPr>
        <w:spacing w:after="0" w:line="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 2024, the Company issued $500 million 4.875% Senior Notes due 2029, $500 million 4.95% Senior Notes due 2031, $750 million 5.00% Senior Notes due 2035, $1.75 billion 5.25% Senior Notes due 2054, and $650 million 5.35% Senior Notes due 2064 (collectively, the March 2024 USD Notes). The Company may redeem the March 2024 USD Notes at any time, and from time to time, in whole or in part, at the Company's option at the applicable redemption price. The offering provided gross proceeds of $4.2 billion, offset by $44 million in discount and closing costs related to the offering.</w:t>
      </w:r>
    </w:p>
    <w:p>
      <w:pPr>
        <w:spacing w:after="0" w:line="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August 2024 USD Notes, March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Senior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On August 15, 2024, the Company repaid its 2.30% notes due 2024.</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2024, the Company repaid its 0.00% Euro notes due 2024.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August 12, 2024, the Company entered into a Fixed Rate Term Loan Credit Agreement (the Fixed Rate Term Loan Credit Agreement). The Fixed Rate Term Loan Credit Agreement provides for term loans in an aggregate principal amount of $1.0 billion at an interest rate of 4.370% and is maintained for general corporate purposes. Amounts borrowed under the Fixed Rate Term Loan Credit Agreement are required to be repaid no later than August 12, 2027, unless the Fixed Rate Term Loan Credit Agreement is terminated earlier pursuant to its terms. Amounts borrowed under the Fixed Rate Term Loan Credit Agreement may be repaid at the Company’s election at any time, and from time to time, in whole or in part. Prior to August 12, 2026, principal payments in respect of the term loans will be subject to a make-whole premium, not to exceed 101% of the aggregate principal amount of the term loans to be prepaid. As of September 30, 2024, there were $1.0 billion of borrowings outstanding under the Fixed Rate Term Loan Credit Agreement.</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13, 2024, an affiliate of the Company (the borrower) entered into a Term Loan Facility Agreement (the Euro Term Loan Credit Agreement) that provides for term loans in an aggregate principal amount of up to €210 million at a variable interest rate of EURIBOR plus 60 basis points. Amounts borrowed under the Euro Term Loan Credit Agreement were used to fund the voluntary tender offer of Civitanavi Systems S.p.A. in Italy (together with certain fees and expenses related thereto) and are required to be repaid no later than August 16, 2026. Amounts borrowed under the Euro Term Loan Credit Agreement may be repaid at the borrower’s discretion at any time, and from time to time, in whole or in part. As of September 30, 2024, there were €196 million ($220 million) of borrowings outstanding under the Euro Term Loan Credit Agreement. These outstanding borrowings are included within the Other (including capitalized leases) line item in the table above.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2, 2024, the Company entered into a $1.5 billion second 364-day credit agreement (the Second 364-day Credit Agreement). On August 12, 2024, the Company terminated the commitments under its Second 364-day Credit Agreement. The Second 364-Day Credit Agreement was maintained for general corporate purposes and was provided on terms that are essentially identical to those of the Company's existing 364-day credit agreement. There were no borrowings under the Second 364-day Credit Agreement prior to its termination.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18, 2024, the Company entered into a $1.5 billion 364-day credit agreement (the 364-Day Credit Agreement) and a $4.0 billion amended and restated five-year credit agreement (the 5-Year Credit Agreement). The 364-Day Credit Agreement replaced the $1.5 billion 364-day credit agreement dated as of March 20, 2023, which was terminated in accordance with its terms effective March 18, 2024. Amounts borrowed under the 364-Day Credit Agreement are required to be repaid no later than March 17, 2025, unless (i) Honeywell elects to convert all then outstanding amounts into a term loan, upon which such amounts shall be repaid in full on March 17, 2026, or (ii) the 364-Day Credit Agreement is terminated earlier pursuant to its terms. The 5-Year Credit Agreement amended and restated the previously reported $4.0 billion amended and restated five-year credit agreement dated as of March 20, 2023.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2024, there were no outstanding borrowings under the 364-Day Credit Agreement or the 5-Year Credit Agreement.</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2023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3"/>
        </w:trPr>
        <w:tc>
          <w:tcPr>
            <w:tcW w:w="9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7"/>
        </w:trPr>
        <w:tc>
          <w:tcPr>
            <w:tcW w:w="5080" w:type="dxa"/>
            <w:vAlign w:val="bottom"/>
            <w:tcBorders>
              <w:bottom w:val="single" w:sz="8" w:color="D7282F"/>
            </w:tcBorders>
          </w:tcPr>
          <w:p>
            <w:pPr>
              <w:ind w:left="240"/>
              <w:spacing w:after="0" w:line="197" w:lineRule="exact"/>
              <w:rPr>
                <w:sz w:val="20"/>
                <w:szCs w:val="20"/>
                <w:color w:val="auto"/>
              </w:rPr>
            </w:pPr>
            <w:r>
              <w:rPr>
                <w:rFonts w:ascii="Arial" w:cs="Arial" w:eastAsia="Arial" w:hAnsi="Arial"/>
                <w:sz w:val="14"/>
                <w:szCs w:val="14"/>
                <w:b w:val="1"/>
                <w:bCs w:val="1"/>
                <w:color w:val="auto"/>
              </w:rPr>
              <w:t>Other assets</w:t>
            </w:r>
            <w:r>
              <w:rPr>
                <w:rFonts w:ascii="Arial" w:cs="Arial" w:eastAsia="Arial" w:hAnsi="Arial"/>
                <w:sz w:val="18"/>
                <w:szCs w:val="18"/>
                <w:b w:val="1"/>
                <w:bCs w:val="1"/>
                <w:color w:val="auto"/>
                <w:vertAlign w:val="superscript"/>
              </w:rPr>
              <w:t>1</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1,040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1,004</w:t>
            </w:r>
          </w:p>
        </w:tc>
      </w:tr>
      <w:tr>
        <w:trPr>
          <w:trHeight w:val="192"/>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941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897</w:t>
            </w:r>
          </w:p>
        </w:tc>
      </w:tr>
      <w:tr>
        <w:trPr>
          <w:trHeight w:val="200"/>
        </w:trPr>
        <w:tc>
          <w:tcPr>
            <w:tcW w:w="5080" w:type="dxa"/>
            <w:vAlign w:val="bottom"/>
            <w:tcBorders>
              <w:bottom w:val="single" w:sz="8" w:color="D7282F"/>
            </w:tcBorders>
          </w:tcPr>
          <w:p>
            <w:pPr>
              <w:ind w:left="240"/>
              <w:spacing w:after="0" w:line="200" w:lineRule="exact"/>
              <w:rPr>
                <w:sz w:val="20"/>
                <w:szCs w:val="20"/>
                <w:color w:val="auto"/>
              </w:rPr>
            </w:pPr>
            <w:r>
              <w:rPr>
                <w:rFonts w:ascii="Arial" w:cs="Arial" w:eastAsia="Arial" w:hAnsi="Arial"/>
                <w:sz w:val="14"/>
                <w:szCs w:val="14"/>
                <w:b w:val="1"/>
                <w:bCs w:val="1"/>
                <w:color w:val="auto"/>
              </w:rPr>
              <w:t>Total operating lease liabilities</w:t>
            </w:r>
            <w:r>
              <w:rPr>
                <w:rFonts w:ascii="Arial" w:cs="Arial" w:eastAsia="Arial" w:hAnsi="Arial"/>
                <w:sz w:val="18"/>
                <w:szCs w:val="18"/>
                <w:b w:val="1"/>
                <w:bCs w:val="1"/>
                <w:color w:val="auto"/>
                <w:vertAlign w:val="superscript"/>
              </w:rPr>
              <w:t>2</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1,145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1,093</w:t>
            </w:r>
          </w:p>
        </w:tc>
      </w:tr>
      <w:tr>
        <w:trPr>
          <w:trHeight w:val="195"/>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spacing w:after="0"/>
              <w:rPr>
                <w:sz w:val="16"/>
                <w:szCs w:val="16"/>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421</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402</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(204)</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198</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bl>
    <w:p>
      <w:pPr>
        <w:spacing w:after="0" w:line="198" w:lineRule="exact"/>
        <w:rPr>
          <w:sz w:val="20"/>
          <w:szCs w:val="20"/>
          <w:color w:val="auto"/>
        </w:rPr>
      </w:pPr>
    </w:p>
    <w:p>
      <w:pPr>
        <w:ind w:left="480" w:right="40" w:hanging="344"/>
        <w:spacing w:after="0" w:line="264" w:lineRule="auto"/>
        <w:tabs>
          <w:tab w:leader="none" w:pos="4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As of September 30, 2024, Other assets excludes $17 million of right-of-use assets related to operating leases that are included in Assets held for sale in the Consolidated Balance Sheet. Refer to Note 3.</w:t>
      </w:r>
    </w:p>
    <w:p>
      <w:pPr>
        <w:spacing w:after="0" w:line="171" w:lineRule="exact"/>
        <w:rPr>
          <w:sz w:val="20"/>
          <w:szCs w:val="20"/>
          <w:color w:val="auto"/>
        </w:rPr>
      </w:pPr>
    </w:p>
    <w:p>
      <w:pPr>
        <w:ind w:left="480" w:right="20" w:hanging="344"/>
        <w:spacing w:after="0" w:line="182" w:lineRule="auto"/>
        <w:tabs>
          <w:tab w:leader="none" w:pos="48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As of September 30, 2024, Total operating lease liabilities excludes $5 million and $12 million of Accrued liabilities and Other liabilities, respectively, that are included in Liabilities held for sale in the Consolidated Balance Sheet. Refer to Note 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2023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90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20" w:type="dxa"/>
            <w:vAlign w:val="bottom"/>
            <w:tcBorders>
              <w:bottom w:val="single" w:sz="8" w:color="61656A"/>
            </w:tcBorders>
          </w:tcPr>
          <w:p>
            <w:pPr>
              <w:spacing w:after="0"/>
              <w:rPr>
                <w:sz w:val="19"/>
                <w:szCs w:val="19"/>
                <w:color w:val="auto"/>
              </w:rPr>
            </w:pPr>
          </w:p>
        </w:tc>
        <w:tc>
          <w:tcPr>
            <w:tcW w:w="9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3,999</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4,717</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90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(115)</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1,326</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712</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9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7,214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4,264</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90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(351)</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0"/>
        </w:trPr>
        <w:tc>
          <w:tcPr>
            <w:tcW w:w="362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Total derivatives designated as hedging</w:t>
            </w:r>
          </w:p>
        </w:tc>
        <w:tc>
          <w:tcPr>
            <w:tcW w:w="24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12,541</w:t>
            </w:r>
          </w:p>
        </w:tc>
        <w:tc>
          <w:tcPr>
            <w:tcW w:w="4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9,699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33</w:t>
            </w:r>
          </w:p>
        </w:tc>
        <w:tc>
          <w:tcPr>
            <w:tcW w:w="9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(483)</w:t>
            </w:r>
          </w:p>
        </w:tc>
        <w:tc>
          <w:tcPr>
            <w:tcW w:w="8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8,860</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8,198</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21,401</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17,897</w:t>
            </w:r>
          </w:p>
        </w:tc>
        <w:tc>
          <w:tcPr>
            <w:tcW w:w="2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w:t>
            </w:r>
          </w:p>
        </w:tc>
        <w:tc>
          <w:tcPr>
            <w:tcW w:w="90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(490)</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$6,638 million and $6,099 million as of September 30, 2024, and December 31, 2023,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Carrying Amount of Hedged Item</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2680" w:type="dxa"/>
            <w:vAlign w:val="bottom"/>
            <w:tcBorders>
              <w:bottom w:val="single" w:sz="8" w:color="D7282F"/>
            </w:tcBorders>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70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3,910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4,551</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2024</w:t>
            </w:r>
          </w:p>
        </w:tc>
        <w:tc>
          <w:tcPr>
            <w:tcW w:w="2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28"/>
              <w:spacing w:after="0" w:line="147"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9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9,728</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4,166</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1,813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1,398</w:t>
            </w:r>
          </w:p>
        </w:tc>
        <w:tc>
          <w:tcPr>
            <w:tcW w:w="2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00" w:type="dxa"/>
            <w:vAlign w:val="bottom"/>
            <w:tcBorders>
              <w:bottom w:val="single" w:sz="8" w:color="D7282F"/>
            </w:tcBorders>
          </w:tcPr>
          <w:p>
            <w:pPr>
              <w:spacing w:after="0"/>
              <w:rPr>
                <w:sz w:val="24"/>
                <w:szCs w:val="24"/>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22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28"/>
              <w:spacing w:after="0" w:line="147"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60" w:type="dxa"/>
            <w:vAlign w:val="bottom"/>
          </w:tcPr>
          <w:p>
            <w:pPr>
              <w:jc w:val="center"/>
              <w:ind w:right="228"/>
              <w:spacing w:after="0" w:line="145"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9,212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4,090</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1,580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1,252</w:t>
            </w:r>
          </w:p>
        </w:tc>
        <w:tc>
          <w:tcPr>
            <w:tcW w:w="2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212</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2024</w:t>
            </w:r>
          </w:p>
        </w:tc>
        <w:tc>
          <w:tcPr>
            <w:tcW w:w="2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08"/>
              <w:spacing w:after="0" w:line="147"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4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28,410</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12,448</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4,970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4,061</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(740)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(180)</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2023</w:t>
            </w:r>
          </w:p>
        </w:tc>
        <w:tc>
          <w:tcPr>
            <w:tcW w:w="2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0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27,222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12,291</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4,503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3,831</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(715)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(246)</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(314)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3"/>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316</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115</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351</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351</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part of the NARCO Buyout (see Note 15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is classified within level 3. The HWI Sale closed on February 16, 2023. The balance of the remaining HWI Net Sale Proceeds as of December 31, 2023, and September 30, 2024, was $9 million and $6 million, respectively, based on the receipt of an additional $3 million in HWI Net Sale Proceeds during the nine months ended September 30, 2024.</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2023</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right"/>
              <w:ind w:right="52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744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676</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27,694</w:t>
            </w:r>
          </w:p>
        </w:tc>
        <w:tc>
          <w:tcPr>
            <w:tcW w:w="32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27,501</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18,358</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17,706</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third quarter of 2024, the Company measured the disposal group of the personal protective equipment business at fair value, less costs to sell. The fair value of the disposal group was determined using significant unobservable inputs based on expected proceeds to be received upon the sale of the business. As such, the fair value of the disposal group is considered level 3. See Note 3 Acquisitions, Divestitures and Assets and Liabilities Held for Sale for more information on the disposal group.</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nine months ended September 30, 2024, and 2023, are as follows (shares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1,413</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1,514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4,420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4,395</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650.4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662.4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651.0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665.2</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2.17</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6.61</w:t>
            </w:r>
          </w:p>
        </w:tc>
      </w:tr>
      <w:tr>
        <w:trPr>
          <w:trHeight w:val="377"/>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1,413</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1,514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4,420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4,395</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650.4</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662.4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651.0</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665.2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3.7</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654.1</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667.0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655.2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670.4</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2.16</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6.56</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nine months ended September 30, 2024, the weighted average number of stock options excluded from the computations were 4.1 million and 5.2 million, respectively. For the three and nine months ended September 30, 2023, the weighted average number of stock options excluded from the computations were 4.6 million and 4.4 million, respectively.</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September 30, 2024, and 2023, the total shares outstanding were 650.2 million and 659.3 million, respectively, and as of September 30, 2024, and 2023, total shares issued were 957.6 million.</w:t>
      </w:r>
    </w:p>
    <w:p>
      <w:pPr>
        <w:spacing w:after="0" w:line="373"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INCOME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(226)</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w w:val="96"/>
              </w:rPr>
              <w:t>(11)</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50"/>
        </w:trPr>
        <w:tc>
          <w:tcPr>
            <w:tcW w:w="4200" w:type="dxa"/>
            <w:vAlign w:val="bottom"/>
          </w:tcPr>
          <w:p>
            <w:pPr>
              <w:ind w:left="80"/>
              <w:spacing w:after="0" w:line="151"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3"/>
                <w:szCs w:val="13"/>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(226)</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(3,327)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(1,071)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(4,404)</w:t>
            </w: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6"/>
        </w:trPr>
        <w:tc>
          <w:tcPr>
            <w:tcW w:w="4200" w:type="dxa"/>
            <w:vAlign w:val="bottom"/>
          </w:tcPr>
          <w:p>
            <w:pPr>
              <w:ind w:left="80"/>
              <w:spacing w:after="0" w:line="146"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2"/>
                <w:szCs w:val="12"/>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(70)</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b w:val="1"/>
                <w:bCs w:val="1"/>
                <w:color w:val="auto"/>
              </w:rPr>
              <w:t>29</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(2,902)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(686)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b w:val="1"/>
                <w:bCs w:val="1"/>
                <w:color w:val="auto"/>
              </w:rPr>
              <w:t>41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2023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88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D7282F"/>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641</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88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191</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8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color w:val="auto"/>
              </w:rPr>
              <w:t>(147)</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28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685</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438</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$105 million in the nine months ended September 30, 2024,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nine months ended September 30, 2024, was $134 million. As of September 30, 2024, Other current assets and Other assets included $140 million and $550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bottom w:val="single" w:sz="8" w:color="D7282F"/>
            </w:tcBorders>
          </w:tcPr>
          <w:p>
            <w:pPr>
              <w:spacing w:after="0"/>
              <w:rPr>
                <w:sz w:val="17"/>
                <w:szCs w:val="17"/>
                <w:color w:val="auto"/>
              </w:rPr>
            </w:pP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NARCO</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28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28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(157)</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(158)</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2024</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1,532</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NARCO</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1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160</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1,422</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1,532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399"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16, 2023, the HWI Sale closed. Pursuant to the Amended Buyout Agreement, during 2023, Honeywell received $275 million of proceeds from the HWI Sale (HWI Net Sale Proceeds). Additionally, during 2023, the Company recorded a fair value adjustment for the HWI Net Sale Proceeds and reduced the HWI Net Sale Proceeds estimate by $11 million. During the nine months ended September 30, 2024, Honeywell received $3 million of proceeds from the HWI Sale. The ending balance as of September 30, 2024, was $6 million. The fair value of the remaining HWI Net Sale Proceeds as of September 30, 2024, represents contingent consideration to be paid in future periods if certain conditions under the definitive sale agreement for the HWI Sale are met.</w:t>
      </w:r>
    </w:p>
    <w:p>
      <w:pPr>
        <w:spacing w:after="0" w:line="6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Years Ended</w:t>
            </w:r>
          </w:p>
        </w:tc>
        <w:tc>
          <w:tcPr>
            <w:tcW w:w="1200" w:type="dxa"/>
            <w:vAlign w:val="bottom"/>
          </w:tcPr>
          <w:p>
            <w:pPr>
              <w:spacing w:after="0"/>
              <w:rPr>
                <w:sz w:val="14"/>
                <w:szCs w:val="14"/>
                <w:color w:val="auto"/>
              </w:rPr>
            </w:pPr>
          </w:p>
        </w:tc>
      </w:tr>
      <w:tr>
        <w:trPr>
          <w:trHeight w:val="185"/>
        </w:trPr>
        <w:tc>
          <w:tcPr>
            <w:tcW w:w="550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6"/>
                <w:szCs w:val="16"/>
                <w:color w:val="auto"/>
              </w:rPr>
            </w:pPr>
          </w:p>
        </w:tc>
      </w:tr>
      <w:tr>
        <w:trPr>
          <w:trHeight w:val="195"/>
        </w:trPr>
        <w:tc>
          <w:tcPr>
            <w:tcW w:w="5500" w:type="dxa"/>
            <w:vAlign w:val="bottom"/>
            <w:tcBorders>
              <w:bottom w:val="single" w:sz="8" w:color="D7282F"/>
            </w:tcBorders>
          </w:tcPr>
          <w:p>
            <w:pPr>
              <w:spacing w:after="0"/>
              <w:rPr>
                <w:sz w:val="16"/>
                <w:szCs w:val="16"/>
                <w:color w:val="auto"/>
              </w:rPr>
            </w:pP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20" w:type="dxa"/>
            <w:vAlign w:val="bottom"/>
            <w:tcBorders>
              <w:bottom w:val="single" w:sz="8" w:color="D7282F"/>
            </w:tcBorders>
          </w:tcPr>
          <w:p>
            <w:pPr>
              <w:jc w:val="center"/>
              <w:ind w:left="1268"/>
              <w:spacing w:after="0"/>
              <w:rPr>
                <w:sz w:val="20"/>
                <w:szCs w:val="20"/>
                <w:color w:val="auto"/>
              </w:rPr>
            </w:pPr>
            <w:r>
              <w:rPr>
                <w:rFonts w:ascii="Arial" w:cs="Arial" w:eastAsia="Arial" w:hAnsi="Arial"/>
                <w:sz w:val="14"/>
                <w:szCs w:val="14"/>
                <w:b w:val="1"/>
                <w:bCs w:val="1"/>
                <w:color w:val="auto"/>
              </w:rPr>
              <w:t>5,517</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5,608</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6,401</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20" w:type="dxa"/>
            <w:vAlign w:val="bottom"/>
            <w:tcBorders>
              <w:bottom w:val="single" w:sz="8" w:color="61656A"/>
            </w:tcBorders>
          </w:tcPr>
          <w:p>
            <w:pPr>
              <w:jc w:val="center"/>
              <w:ind w:left="1268"/>
              <w:spacing w:after="0"/>
              <w:rPr>
                <w:sz w:val="20"/>
                <w:szCs w:val="20"/>
                <w:color w:val="auto"/>
              </w:rPr>
            </w:pPr>
            <w:r>
              <w:rPr>
                <w:rFonts w:ascii="Arial" w:cs="Arial" w:eastAsia="Arial" w:hAnsi="Arial"/>
                <w:sz w:val="14"/>
                <w:szCs w:val="14"/>
                <w:color w:val="auto"/>
              </w:rPr>
              <w:t>1,198</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1,803</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2,014</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20" w:type="dxa"/>
            <w:vAlign w:val="bottom"/>
            <w:tcBorders>
              <w:bottom w:val="single" w:sz="8" w:color="D7282F"/>
            </w:tcBorders>
          </w:tcPr>
          <w:p>
            <w:pPr>
              <w:jc w:val="center"/>
              <w:ind w:left="1248"/>
              <w:spacing w:after="0"/>
              <w:rPr>
                <w:sz w:val="20"/>
                <w:szCs w:val="20"/>
                <w:color w:val="auto"/>
              </w:rPr>
            </w:pPr>
            <w:r>
              <w:rPr>
                <w:rFonts w:ascii="Arial" w:cs="Arial" w:eastAsia="Arial" w:hAnsi="Arial"/>
                <w:sz w:val="14"/>
                <w:szCs w:val="14"/>
                <w:color w:val="auto"/>
              </w:rPr>
              <w:t>(1,809)</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388"/>
              <w:spacing w:after="0"/>
              <w:rPr>
                <w:sz w:val="20"/>
                <w:szCs w:val="20"/>
                <w:color w:val="auto"/>
              </w:rPr>
            </w:pPr>
            <w:r>
              <w:rPr>
                <w:rFonts w:ascii="Arial" w:cs="Arial" w:eastAsia="Arial" w:hAnsi="Arial"/>
                <w:sz w:val="14"/>
                <w:szCs w:val="14"/>
                <w:color w:val="auto"/>
              </w:rPr>
              <w:t>(1,894)</w:t>
            </w:r>
          </w:p>
        </w:tc>
        <w:tc>
          <w:tcPr>
            <w:tcW w:w="120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color w:val="auto"/>
              </w:rPr>
              <w:t>(2,807)</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20" w:type="dxa"/>
            <w:vAlign w:val="bottom"/>
            <w:tcBorders>
              <w:bottom w:val="single" w:sz="8" w:color="D7282F"/>
            </w:tcBorders>
          </w:tcPr>
          <w:p>
            <w:pPr>
              <w:jc w:val="center"/>
              <w:ind w:left="1268"/>
              <w:spacing w:after="0"/>
              <w:rPr>
                <w:sz w:val="20"/>
                <w:szCs w:val="20"/>
                <w:color w:val="auto"/>
              </w:rPr>
            </w:pPr>
            <w:r>
              <w:rPr>
                <w:rFonts w:ascii="Arial" w:cs="Arial" w:eastAsia="Arial" w:hAnsi="Arial"/>
                <w:sz w:val="14"/>
                <w:szCs w:val="14"/>
                <w:b w:val="1"/>
                <w:bCs w:val="1"/>
                <w:color w:val="auto"/>
              </w:rPr>
              <w:t>4,906</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r>
        <w:trPr>
          <w:trHeight w:val="425"/>
        </w:trPr>
        <w:tc>
          <w:tcPr>
            <w:tcW w:w="550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r>
      <w:tr>
        <w:trPr>
          <w:trHeight w:val="197"/>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3"/>
        </w:trPr>
        <w:tc>
          <w:tcPr>
            <w:tcW w:w="5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20" w:type="dxa"/>
            <w:vAlign w:val="bottom"/>
            <w:tcBorders>
              <w:bottom w:val="single" w:sz="8" w:color="61656A"/>
            </w:tcBorders>
          </w:tcPr>
          <w:p>
            <w:pPr>
              <w:jc w:val="center"/>
              <w:ind w:left="1268"/>
              <w:spacing w:after="0"/>
              <w:rPr>
                <w:sz w:val="20"/>
                <w:szCs w:val="20"/>
                <w:color w:val="auto"/>
              </w:rPr>
            </w:pPr>
            <w:r>
              <w:rPr>
                <w:rFonts w:ascii="Arial" w:cs="Arial" w:eastAsia="Arial" w:hAnsi="Arial"/>
                <w:sz w:val="14"/>
                <w:szCs w:val="14"/>
                <w:color w:val="auto"/>
              </w:rPr>
              <w:t>2,879</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3,244</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3,283</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20" w:type="dxa"/>
            <w:vAlign w:val="bottom"/>
            <w:tcBorders>
              <w:bottom w:val="single" w:sz="8" w:color="D7282F"/>
            </w:tcBorders>
          </w:tcPr>
          <w:p>
            <w:pPr>
              <w:jc w:val="center"/>
              <w:ind w:left="1268"/>
              <w:spacing w:after="0"/>
              <w:rPr>
                <w:sz w:val="20"/>
                <w:szCs w:val="20"/>
                <w:color w:val="auto"/>
              </w:rPr>
            </w:pPr>
            <w:r>
              <w:rPr>
                <w:rFonts w:ascii="Arial" w:cs="Arial" w:eastAsia="Arial" w:hAnsi="Arial"/>
                <w:sz w:val="14"/>
                <w:szCs w:val="14"/>
                <w:color w:val="auto"/>
              </w:rPr>
              <w:t>2,027</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color w:val="auto"/>
              </w:rPr>
              <w:t>2,273</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color w:val="auto"/>
              </w:rPr>
              <w:t>2,325</w:t>
            </w:r>
          </w:p>
        </w:tc>
      </w:tr>
      <w:tr>
        <w:trPr>
          <w:trHeight w:val="199"/>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20" w:type="dxa"/>
            <w:vAlign w:val="bottom"/>
            <w:tcBorders>
              <w:bottom w:val="single" w:sz="8" w:color="D7282F"/>
            </w:tcBorders>
          </w:tcPr>
          <w:p>
            <w:pPr>
              <w:jc w:val="center"/>
              <w:ind w:left="1268"/>
              <w:spacing w:after="0"/>
              <w:rPr>
                <w:sz w:val="20"/>
                <w:szCs w:val="20"/>
                <w:color w:val="auto"/>
              </w:rPr>
            </w:pPr>
            <w:r>
              <w:rPr>
                <w:rFonts w:ascii="Arial" w:cs="Arial" w:eastAsia="Arial" w:hAnsi="Arial"/>
                <w:sz w:val="14"/>
                <w:szCs w:val="14"/>
                <w:b w:val="1"/>
                <w:bCs w:val="1"/>
                <w:color w:val="auto"/>
              </w:rPr>
              <w:t>4,906</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5"/>
          </w:tcPr>
          <w:p>
            <w:pPr>
              <w:jc w:val="center"/>
              <w:ind w:right="188"/>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center"/>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2019</w:t>
            </w:r>
          </w:p>
        </w:tc>
      </w:tr>
      <w:tr>
        <w:trPr>
          <w:trHeight w:val="196"/>
        </w:trPr>
        <w:tc>
          <w:tcPr>
            <w:tcW w:w="6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66,200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59,200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56,000</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61,500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50,200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1,730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520</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400</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3,900</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historically valued Bendix asserted and unasserted claims using a five-year look-back period. The Company reviews the valuation assumptions and average resolution values used to estimate the cost of Bendix asserted and unasserted claims during the fourth quarter each year.</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2023, the Company recognized a $522 million expense and corresponding adjustment to its estimated liability for Bendix asbestos-related claims. This amount includes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(SEC) which is primarily focused on certain accounting matters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resolved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74"/>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7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7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2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162</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(282)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(833)</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(126)</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(119)</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(359)</w:t>
            </w:r>
          </w:p>
        </w:tc>
      </w:tr>
      <w:tr>
        <w:trPr>
          <w:trHeight w:val="479"/>
        </w:trPr>
        <w:tc>
          <w:tcPr>
            <w:tcW w:w="710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7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r>
      <w:tr>
        <w:trPr>
          <w:trHeight w:val="174"/>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7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70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2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51</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r>
      <w:tr>
        <w:trPr>
          <w:trHeight w:val="196"/>
        </w:trPr>
        <w:tc>
          <w:tcPr>
            <w:tcW w:w="71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DC202E"/>
            </w:tcBorders>
          </w:tcPr>
          <w:p>
            <w:pPr>
              <w:spacing w:after="0"/>
              <w:rPr>
                <w:sz w:val="17"/>
                <w:szCs w:val="17"/>
                <w:color w:val="auto"/>
              </w:rPr>
            </w:pPr>
          </w:p>
        </w:tc>
        <w:tc>
          <w:tcPr>
            <w:tcW w:w="78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DC202E"/>
            </w:tcBorders>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color w:val="auto"/>
              </w:rPr>
              <w:t>(226)</w:t>
            </w:r>
          </w:p>
        </w:tc>
        <w:tc>
          <w:tcPr>
            <w:tcW w:w="30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(206)</w:t>
            </w:r>
          </w:p>
        </w:tc>
      </w:tr>
      <w:tr>
        <w:trPr>
          <w:trHeight w:val="199"/>
        </w:trPr>
        <w:tc>
          <w:tcPr>
            <w:tcW w:w="71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3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(17)</w:t>
            </w:r>
          </w:p>
        </w:tc>
        <w:tc>
          <w:tcPr>
            <w:tcW w:w="220" w:type="dxa"/>
            <w:vAlign w:val="bottom"/>
            <w:tcBorders>
              <w:bottom w:val="single" w:sz="8" w:color="DC202E"/>
            </w:tcBorders>
          </w:tcPr>
          <w:p>
            <w:pPr>
              <w:spacing w:after="0"/>
              <w:rPr>
                <w:sz w:val="17"/>
                <w:szCs w:val="17"/>
                <w:color w:val="auto"/>
              </w:rPr>
            </w:pPr>
          </w:p>
        </w:tc>
        <w:tc>
          <w:tcPr>
            <w:tcW w:w="260" w:type="dxa"/>
            <w:vAlign w:val="bottom"/>
            <w:tcBorders>
              <w:bottom w:val="single" w:sz="8" w:color="DC202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(74)</w:t>
            </w:r>
          </w:p>
        </w:tc>
        <w:tc>
          <w:tcPr>
            <w:tcW w:w="3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(48)</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completed no repurchases of outstanding Honeywell shares of common stock from the Honeywell U.S. Pension Plan Master Trust during the nine months ended September 30, 2024. During the three and nine months ended September 30, 2023, the Company repurchased $100 million of outstanding Honeywell shares of common stock from the Honeywell U.S. Pension Plan Master Trust.</w:t>
      </w:r>
    </w:p>
    <w:p>
      <w:pPr>
        <w:spacing w:after="0" w:line="395"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(110)</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(161)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(gain) loss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expense related to the NARCO Buyout and HWI Sale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(263)</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(740)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(715)</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Note 15 Commitments and Contingencies for more information on the Net expense related to the NARCO Buyout and HWI Sale. See Note 5 Repositioning and Other Charges for further discussion of the expense related to the Russia-Ukraine Conflict.</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Effective during the first quarter of 2024, the Company realigned certain of its business units comprising its historical Performance Materials and Technologies and Safety and Productivity Solutions reportable business segments by forming two new reportable business segments: Industrial Automation and Energy and Sustainability Solutions. Industrial Automation includes Sensing and Safety Technologies, Productivity Solutions and Services, and Warehouse and Workflow Solutions, previously included in Safety and Productivity Solutions, in addition to Process Solutions, previously included in Performance Materials and Technologies. Energy and Sustainability Solutions includes UOP and Advanced Materials, previously included in Performance Materials and Technologies. Further, as part of the realignment, the Company renamed its historical Aerospace and Honeywell Building Technologies reportable business segments to Aerospace Technologies and Building Automation, respectively. This realignment had no impact on the Company’s historical consolidated financial position, results of operations, or cash flows. Prior period amounts have been recast to conform to current period segment presentation.</w:t>
      </w: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Effective during the second quarter of 2024, the Company updated its calculation of segment profit to exclude the impact of amortization expense for acquisition-related intangible assets and certain acquisition-related costs. </w:t>
      </w:r>
      <w:r>
        <w:rPr>
          <w:rFonts w:ascii="Arial" w:cs="Arial" w:eastAsia="Arial" w:hAnsi="Arial"/>
          <w:sz w:val="16"/>
          <w:szCs w:val="16"/>
          <w:color w:val="212529"/>
        </w:rPr>
        <w:t>The Company recast historical periods to reflect segment profit</w:t>
      </w:r>
      <w:r>
        <w:rPr>
          <w:rFonts w:ascii="Arial" w:cs="Arial" w:eastAsia="Arial" w:hAnsi="Arial"/>
          <w:sz w:val="16"/>
          <w:szCs w:val="16"/>
          <w:color w:val="auto"/>
        </w:rPr>
        <w:t xml:space="preserve"> under this new basis to facilitate comparability. In the third quarter of 2024, the Company clarified its calculation of segment profit to exclude divestiture-related costs and impairments.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and excluding general corporate unallocated expense, interest and other financial charges, interest income, amortization of acquisition-related intangibles, impairment of assets held for sale, stock compensation expense, pension ongoing and other postretirement income (expense), repositioning and other charges, acquisition- and divestiture-related charges, and other items within Other (income) expense.</w:t>
      </w:r>
    </w:p>
    <w:p>
      <w:pPr>
        <w:spacing w:after="0" w:line="200" w:lineRule="exact"/>
        <w:rPr>
          <w:sz w:val="20"/>
          <w:szCs w:val="20"/>
          <w:color w:val="auto"/>
        </w:rPr>
      </w:pPr>
    </w:p>
    <w:p>
      <w:pPr>
        <w:spacing w:after="0" w:line="218"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2,148</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1,824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5,294</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1,764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1,675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5,172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4,657</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3,912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3,499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11,472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9,951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1,755</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1,885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5,332</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6,105</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746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745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2,153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2,055</w:t>
            </w: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2,501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2,630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7,485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8,160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1,281</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1,172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3,492</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3,463</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1,250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1,064</w:t>
            </w: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1,745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4,742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4,527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1,406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1,414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4,206</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4,183</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486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396</w:t>
            </w: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1,563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4,692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4,579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9,728</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9,212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28,410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27,222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1,082</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968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3,177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2,729</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519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1,649</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392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1,199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1,164</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378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1,043</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(287)</w:t>
            </w:r>
          </w:p>
        </w:tc>
      </w:tr>
      <w:tr>
        <w:trPr>
          <w:trHeight w:val="199"/>
        </w:trPr>
        <w:tc>
          <w:tcPr>
            <w:tcW w:w="71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2,296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2,170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6,589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6,298</w:t>
            </w:r>
          </w:p>
        </w:tc>
      </w:tr>
      <w:tr>
        <w:trPr>
          <w:trHeight w:val="193"/>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(297)</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(767)</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(563)</w:t>
            </w: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 of acquisition-related intangibles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(120)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(216)</w:t>
            </w: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(125)</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100" w:type="dxa"/>
            <w:vAlign w:val="bottom"/>
            <w:tcBorders>
              <w:bottom w:val="single" w:sz="8" w:color="61656A"/>
            </w:tcBorders>
          </w:tcPr>
          <w:p>
            <w:pPr>
              <w:ind w:left="24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131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391</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3</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(331)</w:t>
            </w:r>
          </w:p>
        </w:tc>
      </w:tr>
      <w:tr>
        <w:trPr>
          <w:trHeight w:val="196"/>
        </w:trPr>
        <w:tc>
          <w:tcPr>
            <w:tcW w:w="710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 expense</w:t>
            </w:r>
            <w:r>
              <w:rPr>
                <w:rFonts w:ascii="Arial" w:cs="Arial" w:eastAsia="Arial" w:hAnsi="Arial"/>
                <w:sz w:val="18"/>
                <w:szCs w:val="18"/>
                <w:color w:val="auto"/>
                <w:vertAlign w:val="superscript"/>
              </w:rPr>
              <w:t>4</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(91)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195"/>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1,824</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1,967</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5,669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5,653</w:t>
            </w:r>
          </w:p>
        </w:tc>
      </w:tr>
    </w:tbl>
    <w:p>
      <w:pPr>
        <w:spacing w:after="0" w:line="131" w:lineRule="exact"/>
        <w:rPr>
          <w:sz w:val="20"/>
          <w:szCs w:val="20"/>
          <w:color w:val="auto"/>
        </w:rPr>
      </w:pPr>
    </w:p>
    <w:p>
      <w:pPr>
        <w:ind w:left="480" w:hanging="344"/>
        <w:spacing w:after="0"/>
        <w:tabs>
          <w:tab w:leader="none" w:pos="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53" w:lineRule="exact"/>
        <w:rPr>
          <w:sz w:val="20"/>
          <w:szCs w:val="20"/>
          <w:color w:val="auto"/>
        </w:rPr>
      </w:pPr>
    </w:p>
    <w:p>
      <w:pPr>
        <w:ind w:left="480" w:right="20" w:hanging="344"/>
        <w:spacing w:after="0" w:line="264" w:lineRule="auto"/>
        <w:tabs>
          <w:tab w:leader="none" w:pos="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22" w:lineRule="exact"/>
        <w:rPr>
          <w:sz w:val="20"/>
          <w:szCs w:val="20"/>
          <w:color w:val="auto"/>
        </w:rPr>
      </w:pPr>
    </w:p>
    <w:p>
      <w:pPr>
        <w:ind w:left="480" w:hanging="344"/>
        <w:spacing w:after="0"/>
        <w:tabs>
          <w:tab w:leader="none" w:pos="4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53" w:lineRule="exact"/>
        <w:rPr>
          <w:sz w:val="20"/>
          <w:szCs w:val="20"/>
          <w:color w:val="auto"/>
        </w:rPr>
      </w:pPr>
    </w:p>
    <w:p>
      <w:pPr>
        <w:ind w:left="480" w:hanging="344"/>
        <w:spacing w:after="0"/>
        <w:tabs>
          <w:tab w:leader="none" w:pos="4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7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19. SUBSEQUENT EVENTS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for total consideration of $1,837 million, net of cash acquired. See Note 3 Acquisitions, Divestitures and Assets and Liabilities Held for Sale for more information.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October 8, 2024, the Company announced its intention to spin off its Advanced Materials business, which is part of the Energy and Sustainability Solutions reportable business segment, into an independent, U.S. publicly traded company, which is targeted to be completed by the end of 2025 or early 2026. The Company expects to execute the planned spin in a tax-free manner to its shareowners.</w:t>
      </w:r>
    </w:p>
    <w:p>
      <w:pPr>
        <w:spacing w:after="0" w:line="39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nine months ended September 30, 2024. The financial information as of September 30, 2024, should be read in conjunction with the Consolidated Financial Statements for the year ended December 31, 2023, contained in our 2023 Annual Report on Form 10-K. See Note 3 Acquisitions, Divestitures and Assets and Liabilities Held for Sale of Notes to Consolidated Financial Statements for a discussion of acquisition and divestiture activity during the nine months ended September 30, 2024. </w:t>
      </w:r>
      <w:r>
        <w:rPr>
          <w:rFonts w:ascii="Arial" w:cs="Arial" w:eastAsia="Arial" w:hAnsi="Arial"/>
          <w:sz w:val="16"/>
          <w:szCs w:val="16"/>
          <w:color w:val="212529"/>
        </w:rPr>
        <w:t>Certain prior year amounts are reclassified to conform to the current year presentation.</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continue to monitor the impacts of ongoing macroeconomic conditions and geopolitical events. Global conflicts, tariffs, labor disruptions, and regulations continue to create volatility in global markets and contribute to supply chain shortages and pricing volatility. Inflationary pressures from earlier tariffs and sanctions are subsiding but the risk of supplier price volatility remains. We continue to actively collaborate with our suppliers to minimize shortages and reduce supply and price volatility. Slowing global growth has temporarily alleviated pressure on logistics, freight, and service capacities.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mitigation strategies include pricing actions and hedging strategies, longer term planning for constrained materials, new supplier development, material supply tracking tools, and direct engagement with key suppliers to meet customer demand. Our relationships with primary and secondary suppliers allow us to reliably source key components and raw materials, which include considering altering existing products, developing new products, and committing our own resources to assist certain suppliers.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 date, our strategies have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SPIN-OFF OF ADVANCED MATERIALS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an independent, U.S. publicly traded company, which is targeted to be completed by the end of 2025 or early 2026.The planned spin-off is intended to be a tax-free spin to Honeywell shareowners for U.S. federal income tax purposes. The spin-off will be subject to the satisfaction of a number of customary conditions, including, among others, finalization of the financial statements of the Advanced Materials business, the filing and effectiveness of applicable filings (including a Form 10 registration statement) with the SEC, assurance that the spin-off of the Advanced Materials business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5271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5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0375"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5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Q3 2024 vs. Q3 2023</w:t>
            </w:r>
          </w:p>
        </w:tc>
        <w:tc>
          <w:tcPr>
            <w:tcW w:w="24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Year to Date 2024 vs. 2023</w:t>
            </w:r>
          </w:p>
        </w:tc>
      </w:tr>
      <w:tr>
        <w:trPr>
          <w:trHeight w:val="193"/>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3%</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w w:val="98"/>
              </w:rPr>
              <w:t>1%</w:t>
            </w:r>
          </w:p>
        </w:tc>
      </w:tr>
      <w:tr>
        <w:trPr>
          <w:trHeight w:val="199"/>
        </w:trPr>
        <w:tc>
          <w:tcPr>
            <w:tcW w:w="48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b w:val="1"/>
                <w:bCs w:val="1"/>
                <w:color w:val="auto"/>
                <w:w w:val="98"/>
              </w:rPr>
              <w:t>6%</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4%</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1"/>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4%,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$0.1 billion or 2%,</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97"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$0.6 billion or 4%,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Higher sales volumes of lower margin products of approximately $0.3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$0.2 billion or 1%.</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89535</wp:posOffset>
            </wp:positionV>
            <wp:extent cx="5957570" cy="2314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Gross margin increased by approximately $0.2 billion and gross margin percentage increased 10 basis points to 38.5% compared to 38.4% for the same period of 2023.</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Gross margin increased by approximately $0.6 billion and gross margin percentage increased 40 basis points to 38.7% compared to 38.3% for the same period of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2786380" cy="214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638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largely unchanged.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largely unchanged.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higher labor costs.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to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97"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Higher labor costs of approximately $0.2 billion or 5%,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Incremental costs from acquisitions of approximately $0.1 billion or 3%,</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3%.</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540" w:type="dxa"/>
            <w:vAlign w:val="bottom"/>
            <w:tcBorders>
              <w:bottom w:val="single" w:sz="8" w:color="D7282F"/>
            </w:tcBorders>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An impairment charge was recorded on assets held for sale related to the personal protective equipment business during the three months ended September 30, 2024.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to YTD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 impairment charge was recorded on assets held for sale related to the personal protective equipment business during the nine months ended September 30, 2024.</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(263)</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(740)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primarily to higher interest income.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to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primarily to higher interest income.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49315"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93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with Q3 2023</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effective tax rate decreased 60 basis-points primarily driven by incremental expense from tax reserve activity and increased benefit from taxes on non-U.S. earnings, partially offset by a nondeductible impairment loss on assets held for sale</w:t>
      </w:r>
      <w:r>
        <w:rPr>
          <w:rFonts w:ascii="Arial" w:cs="Arial" w:eastAsia="Arial" w:hAnsi="Arial"/>
          <w:sz w:val="19"/>
          <w:szCs w:val="19"/>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decreased 20 basis-points primarily driven by increased benefits from taxes on non-U.S. earnings and employee share-based compensation, partially offset by a nondeductible impairment loss on assets held for sale.</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to Q3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due to the following:</w:t>
      </w:r>
    </w:p>
    <w:p>
      <w:pPr>
        <w:spacing w:after="0" w:line="111"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6"/>
          <w:szCs w:val="16"/>
          <w:color w:val="D7282F"/>
        </w:rPr>
      </w:pPr>
      <w:r>
        <w:rPr>
          <w:rFonts w:ascii="Arial" w:cs="Arial" w:eastAsia="Arial" w:hAnsi="Arial"/>
          <w:sz w:val="16"/>
          <w:szCs w:val="16"/>
          <w:color w:val="auto"/>
        </w:rPr>
        <w:t>Impairment charges on assets held for sale ($0.19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60"/>
        </w:numPr>
        <w:rPr>
          <w:rFonts w:ascii="Arial" w:cs="Arial" w:eastAsia="Arial" w:hAnsi="Arial"/>
          <w:sz w:val="16"/>
          <w:szCs w:val="16"/>
          <w:color w:val="D7282F"/>
        </w:rPr>
      </w:pPr>
      <w:r>
        <w:rPr>
          <w:rFonts w:ascii="Arial" w:cs="Arial" w:eastAsia="Arial" w:hAnsi="Arial"/>
          <w:sz w:val="16"/>
          <w:szCs w:val="16"/>
          <w:color w:val="auto"/>
        </w:rPr>
        <w:t>Higher interest expense ($0.10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60"/>
        </w:numPr>
        <w:rPr>
          <w:rFonts w:ascii="Arial" w:cs="Arial" w:eastAsia="Arial" w:hAnsi="Arial"/>
          <w:sz w:val="16"/>
          <w:szCs w:val="16"/>
          <w:color w:val="D7282F"/>
        </w:rPr>
      </w:pPr>
      <w:r>
        <w:rPr>
          <w:rFonts w:ascii="Arial" w:cs="Arial" w:eastAsia="Arial" w:hAnsi="Arial"/>
          <w:sz w:val="16"/>
          <w:szCs w:val="16"/>
          <w:color w:val="auto"/>
        </w:rPr>
        <w:t>Partially offset by higher segment profit ($0.15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60"/>
        </w:numPr>
        <w:rPr>
          <w:rFonts w:ascii="Arial" w:cs="Arial" w:eastAsia="Arial" w:hAnsi="Arial"/>
          <w:sz w:val="16"/>
          <w:szCs w:val="16"/>
          <w:color w:val="D7282F"/>
        </w:rPr>
      </w:pPr>
      <w:r>
        <w:rPr>
          <w:rFonts w:ascii="Arial" w:cs="Arial" w:eastAsia="Arial" w:hAnsi="Arial"/>
          <w:sz w:val="16"/>
          <w:szCs w:val="16"/>
          <w:color w:val="auto"/>
        </w:rPr>
        <w:t>Lower income tax expense ($0.06 after tax).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tabs>
          <w:tab w:leader="none" w:pos="200" w:val="left"/>
        </w:tabs>
        <w:numPr>
          <w:ilvl w:val="0"/>
          <w:numId w:val="61"/>
        </w:numPr>
        <w:rPr>
          <w:rFonts w:ascii="Arial" w:cs="Arial" w:eastAsia="Arial" w:hAnsi="Arial"/>
          <w:sz w:val="16"/>
          <w:szCs w:val="16"/>
          <w:color w:val="DC202E"/>
        </w:rPr>
      </w:pPr>
      <w:r>
        <w:rPr>
          <w:rFonts w:ascii="Arial" w:cs="Arial" w:eastAsia="Arial" w:hAnsi="Arial"/>
          <w:sz w:val="16"/>
          <w:szCs w:val="16"/>
          <w:color w:val="auto"/>
        </w:rPr>
        <w:t>Higher segment profit ($0.34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Lower repositioning and other charges ($0.16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Lower share count ($0.15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Partially offset by higher interest expense ($0.24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61"/>
        </w:numPr>
        <w:rPr>
          <w:rFonts w:ascii="Arial" w:cs="Arial" w:eastAsia="Arial" w:hAnsi="Arial"/>
          <w:sz w:val="16"/>
          <w:szCs w:val="16"/>
          <w:color w:val="D7282F"/>
        </w:rPr>
      </w:pPr>
      <w:r>
        <w:rPr>
          <w:rFonts w:ascii="Arial" w:cs="Arial" w:eastAsia="Arial" w:hAnsi="Arial"/>
          <w:sz w:val="16"/>
          <w:szCs w:val="16"/>
          <w:color w:val="auto"/>
        </w:rPr>
        <w:t>Impairment charges on assets held for sale ($0.19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212529"/>
        </w:rPr>
        <w:t xml:space="preserve">During the first quarter of 2024, the Company realigned certain of its business units as reflected in Note 18 Segment Financial Data, which impacted the composition of its reportable segments. The Company recast historical periods to reflect this change in segment presentation. See Note 18 Segment Financial Data of </w:t>
      </w:r>
      <w:r>
        <w:rPr>
          <w:rFonts w:ascii="Arial" w:cs="Arial" w:eastAsia="Arial" w:hAnsi="Arial"/>
          <w:sz w:val="16"/>
          <w:szCs w:val="16"/>
          <w:color w:val="000000"/>
        </w:rPr>
        <w:t>Notes to Consolidated Financial Statements for further discussion.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2"/>
                <w:szCs w:val="12"/>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2"/>
                <w:szCs w:val="12"/>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3,912</w:t>
            </w: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3,499</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12 %</w:t>
            </w:r>
          </w:p>
        </w:tc>
        <w:tc>
          <w:tcPr>
            <w:tcW w:w="2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11,472</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9,951</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2,446</w:t>
            </w:r>
          </w:p>
        </w:tc>
        <w:tc>
          <w:tcPr>
            <w:tcW w:w="4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2,140</w:t>
            </w:r>
          </w:p>
        </w:tc>
        <w:tc>
          <w:tcPr>
            <w:tcW w:w="7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7,081</w:t>
            </w:r>
          </w:p>
        </w:tc>
        <w:tc>
          <w:tcPr>
            <w:tcW w:w="4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6,107</w:t>
            </w:r>
          </w:p>
        </w:tc>
        <w:tc>
          <w:tcPr>
            <w:tcW w:w="7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384</w:t>
            </w:r>
          </w:p>
        </w:tc>
        <w:tc>
          <w:tcPr>
            <w:tcW w:w="4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color w:val="auto"/>
              </w:rPr>
              <w:t>391</w:t>
            </w:r>
          </w:p>
        </w:tc>
        <w:tc>
          <w:tcPr>
            <w:tcW w:w="7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1,214</w:t>
            </w:r>
          </w:p>
        </w:tc>
        <w:tc>
          <w:tcPr>
            <w:tcW w:w="4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1,115</w:t>
            </w: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1,082</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968</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3,177</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2,729</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2380" w:type="dxa"/>
            <w:vAlign w:val="bottom"/>
            <w:tcBorders>
              <w:bottom w:val="single" w:sz="8" w:color="D7282F"/>
            </w:tcBorders>
            <w:gridSpan w:val="3"/>
          </w:tcPr>
          <w:p>
            <w:pPr>
              <w:jc w:val="right"/>
              <w:ind w:right="728"/>
              <w:spacing w:after="0"/>
              <w:rPr>
                <w:sz w:val="20"/>
                <w:szCs w:val="20"/>
                <w:color w:val="auto"/>
              </w:rPr>
            </w:pPr>
            <w:r>
              <w:rPr>
                <w:rFonts w:ascii="Arial" w:cs="Arial" w:eastAsia="Arial" w:hAnsi="Arial"/>
                <w:sz w:val="14"/>
                <w:szCs w:val="14"/>
                <w:b w:val="1"/>
                <w:bCs w:val="1"/>
                <w:color w:val="auto"/>
              </w:rPr>
              <w:t>2024 vs. 2023</w:t>
            </w:r>
          </w:p>
        </w:tc>
        <w:tc>
          <w:tcPr>
            <w:tcW w:w="10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1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Segment</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220" w:type="dxa"/>
            <w:vAlign w:val="bottom"/>
            <w:tcBorders>
              <w:bottom w:val="single" w:sz="8" w:color="D7282F"/>
            </w:tcBorders>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r>
              <w:rPr>
                <w:rFonts w:ascii="Arial" w:cs="Arial" w:eastAsia="Arial" w:hAnsi="Arial"/>
                <w:sz w:val="9"/>
                <w:szCs w:val="9"/>
                <w:color w:val="auto"/>
              </w:rPr>
              <w:t>1</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10 %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22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15 %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220" w:type="dxa"/>
            <w:vAlign w:val="bottom"/>
            <w:tcBorders>
              <w:bottom w:val="single" w:sz="8" w:color="61656A"/>
            </w:tcBorders>
            <w:gridSpan w:val="2"/>
          </w:tcPr>
          <w:p>
            <w:pPr>
              <w:jc w:val="right"/>
              <w:ind w:right="2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12 %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15 %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40" w:hanging="344"/>
        <w:spacing w:after="0" w:line="194" w:lineRule="auto"/>
        <w:tabs>
          <w:tab w:leader="none" w:pos="480" w:val="left"/>
        </w:tabs>
        <w:numPr>
          <w:ilvl w:val="0"/>
          <w:numId w:val="63"/>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to Q3 2023</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$413 million due to higher organic sales of $176 million in Defense and Space driven by higher sales volumes due to increased shipments and higher organic sales of $124 million in Commercial Aviation Aftermarket driven by increased pricing in air transport. Additionally, the acquisitions of CAES and Civitanavi Systems contributed $59 million to sales in the three months ended September 30, 2024.</w:t>
      </w:r>
    </w:p>
    <w:p>
      <w:pPr>
        <w:spacing w:after="0" w:line="79" w:lineRule="exact"/>
        <w:rPr>
          <w:sz w:val="20"/>
          <w:szCs w:val="20"/>
          <w:color w:val="auto"/>
        </w:rPr>
      </w:pPr>
    </w:p>
    <w:p>
      <w:pPr>
        <w:ind w:right="2100"/>
        <w:spacing w:after="0" w:line="327" w:lineRule="auto"/>
        <w:rPr>
          <w:sz w:val="20"/>
          <w:szCs w:val="20"/>
          <w:color w:val="auto"/>
        </w:rPr>
      </w:pPr>
      <w:r>
        <w:rPr>
          <w:rFonts w:ascii="Arial" w:cs="Arial" w:eastAsia="Arial" w:hAnsi="Arial"/>
          <w:sz w:val="16"/>
          <w:szCs w:val="16"/>
          <w:color w:val="auto"/>
        </w:rPr>
        <w:t xml:space="preserve">Segment profit increased $114 million and segment margin percentage was flat at 27.7% compared to the same period of 2023. </w:t>
      </w:r>
      <w:r>
        <w:rPr>
          <w:rFonts w:ascii="Arial" w:cs="Arial" w:eastAsia="Arial" w:hAnsi="Arial"/>
          <w:sz w:val="16"/>
          <w:szCs w:val="16"/>
          <w:b w:val="1"/>
          <w:bCs w:val="1"/>
          <w:color w:val="auto"/>
        </w:rPr>
        <w:t>YTD 2024 compared to YTD 2023</w:t>
      </w:r>
    </w:p>
    <w:p>
      <w:pPr>
        <w:spacing w:after="0" w:line="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Sales increased $1,521 million due to higher organic sales of $629 million in Commercial Aviation Aftermarket driven by higher sales volumes in air transport due to an increase in flight hours and higher organic sales of $588 million in Defense and Space driven by higher sales volumes due to increased shipments.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$448 million and segment margin percentage increased 30 basis points to 27.7% compared to 27.4% for the same period of 2023.</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2"/>
                <w:szCs w:val="12"/>
                <w:color w:val="auto"/>
              </w:rPr>
            </w:pPr>
          </w:p>
        </w:tc>
        <w:tc>
          <w:tcPr>
            <w:tcW w:w="5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2,501</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2,630</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7,485</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8,160</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1,461</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1,563</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4,358</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4,867</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532</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548</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1,668</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1,644</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508</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519</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1,459</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1,649</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2024 vs. 2023</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7"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7"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5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(9)%</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(8)%</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to Q3 2023</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decreased $129 million due to lower organic sales of $96 million in Warehouse and Workflow Solutions driven by lower demand for projects and lower organic sales of $47 million in Sensing and Safety Technologies driven by lower demand for personal protective equipment.</w:t>
      </w:r>
    </w:p>
    <w:p>
      <w:pPr>
        <w:spacing w:after="0" w:line="50"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 xml:space="preserve">Segment profit decreased $11 million and segment margin percentage increased 60 basis points to 20.3% compared to 19.7% for the same period in 2023. </w:t>
      </w:r>
      <w:r>
        <w:rPr>
          <w:rFonts w:ascii="Arial" w:cs="Arial" w:eastAsia="Arial" w:hAnsi="Arial"/>
          <w:sz w:val="16"/>
          <w:szCs w:val="16"/>
          <w:b w:val="1"/>
          <w:bCs w:val="1"/>
          <w:color w:val="auto"/>
        </w:rPr>
        <w:t>YTD 2024 compared to YTD 2023</w:t>
      </w:r>
    </w:p>
    <w:p>
      <w:pPr>
        <w:jc w:val="both"/>
        <w:spacing w:after="0" w:line="265" w:lineRule="auto"/>
        <w:rPr>
          <w:sz w:val="20"/>
          <w:szCs w:val="20"/>
          <w:color w:val="auto"/>
        </w:rPr>
      </w:pPr>
      <w:r>
        <w:rPr>
          <w:rFonts w:ascii="Arial" w:cs="Arial" w:eastAsia="Arial" w:hAnsi="Arial"/>
          <w:sz w:val="16"/>
          <w:szCs w:val="16"/>
          <w:color w:val="auto"/>
        </w:rPr>
        <w:t>Sales decreased $675 million due to lower organic sales of $516 million in Warehouse and Workflow Solutions driven by lower demand for projects and lower organic sales of $137 million in Sensing and Safety Technologies driven by lower demand for personal protective equipment.</w:t>
      </w:r>
    </w:p>
    <w:p>
      <w:pPr>
        <w:spacing w:after="0" w:line="7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Segment profit decreased $190 million and segment margin percentage decreased 70 basis points to 19.5% compared to 20.2% for the same period in 2023.</w:t>
      </w:r>
    </w:p>
    <w:p>
      <w:pPr>
        <w:spacing w:after="0" w:line="2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80645</wp:posOffset>
            </wp:positionV>
            <wp:extent cx="5786120" cy="2314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center"/>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center"/>
              <w:ind w:left="6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2"/>
                <w:szCs w:val="12"/>
                <w:color w:val="auto"/>
              </w:rPr>
            </w:pPr>
          </w:p>
        </w:tc>
        <w:tc>
          <w:tcPr>
            <w:tcW w:w="5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2023</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1,745</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1,530</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4,742</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4,527</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926</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823</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2,534</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2,412</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367</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315</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1,009</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340"/>
              <w:spacing w:after="0"/>
              <w:rPr>
                <w:sz w:val="20"/>
                <w:szCs w:val="20"/>
                <w:color w:val="auto"/>
              </w:rPr>
            </w:pPr>
            <w:r>
              <w:rPr>
                <w:rFonts w:ascii="Arial" w:cs="Arial" w:eastAsia="Arial" w:hAnsi="Arial"/>
                <w:sz w:val="14"/>
                <w:szCs w:val="14"/>
                <w:color w:val="auto"/>
              </w:rPr>
              <w:t>951</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452</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392</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1,199</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1,164</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2024 vs. 2023</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center"/>
              <w:ind w:right="308"/>
              <w:spacing w:after="0" w:line="142" w:lineRule="exact"/>
              <w:rPr>
                <w:sz w:val="20"/>
                <w:szCs w:val="20"/>
                <w:color w:val="auto"/>
              </w:rPr>
            </w:pPr>
            <w:r>
              <w:rPr>
                <w:rFonts w:ascii="Arial" w:cs="Arial" w:eastAsia="Arial" w:hAnsi="Arial"/>
                <w:sz w:val="14"/>
                <w:szCs w:val="14"/>
                <w:b w:val="1"/>
                <w:bCs w:val="1"/>
                <w:color w:val="auto"/>
                <w:w w:val="97"/>
              </w:rPr>
              <w:t>Net</w:t>
            </w:r>
          </w:p>
        </w:tc>
        <w:tc>
          <w:tcPr>
            <w:tcW w:w="8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center"/>
              <w:ind w:right="30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3 %</w:t>
            </w:r>
          </w:p>
        </w:tc>
        <w:tc>
          <w:tcPr>
            <w:tcW w:w="5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80"/>
              <w:spacing w:after="0"/>
              <w:rPr>
                <w:sz w:val="20"/>
                <w:szCs w:val="20"/>
                <w:color w:val="auto"/>
              </w:rPr>
            </w:pPr>
            <w:r>
              <w:rPr>
                <w:rFonts w:ascii="Arial" w:cs="Arial" w:eastAsia="Arial" w:hAnsi="Arial"/>
                <w:sz w:val="14"/>
                <w:szCs w:val="14"/>
                <w:color w:val="auto"/>
              </w:rPr>
              <w:t>5 %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80"/>
              <w:spacing w:after="0"/>
              <w:rPr>
                <w:sz w:val="20"/>
                <w:szCs w:val="20"/>
                <w:color w:val="auto"/>
              </w:rPr>
            </w:pPr>
            <w:r>
              <w:rPr>
                <w:rFonts w:ascii="Arial" w:cs="Arial" w:eastAsia="Arial" w:hAnsi="Arial"/>
                <w:sz w:val="14"/>
                <w:szCs w:val="14"/>
                <w:b w:val="1"/>
                <w:bCs w:val="1"/>
                <w:color w:val="auto"/>
              </w:rPr>
              <w:t>5 %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to Q3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$215 million due to higher organic sales of $51 million in Building Solutions driven by higher demand for building projects and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acquisition of Access Solutions contributed $177 million in the three months ended September 30, 2024.</w:t>
      </w:r>
    </w:p>
    <w:p>
      <w:pPr>
        <w:spacing w:after="0" w:line="97" w:lineRule="exact"/>
        <w:rPr>
          <w:sz w:val="20"/>
          <w:szCs w:val="20"/>
          <w:color w:val="auto"/>
        </w:rPr>
      </w:pPr>
    </w:p>
    <w:p>
      <w:pPr>
        <w:ind w:right="160"/>
        <w:spacing w:after="0" w:line="336" w:lineRule="auto"/>
        <w:rPr>
          <w:sz w:val="20"/>
          <w:szCs w:val="20"/>
          <w:color w:val="auto"/>
        </w:rPr>
      </w:pPr>
      <w:r>
        <w:rPr>
          <w:rFonts w:ascii="Arial" w:cs="Arial" w:eastAsia="Arial" w:hAnsi="Arial"/>
          <w:sz w:val="16"/>
          <w:szCs w:val="16"/>
          <w:color w:val="auto"/>
        </w:rPr>
        <w:t xml:space="preserve">Segment profit increased $60 million and segment margin percentage increased 30 basis points to 25.9% compared to 25.6% for the same period of 2023. </w:t>
      </w:r>
      <w:r>
        <w:rPr>
          <w:rFonts w:ascii="Arial" w:cs="Arial" w:eastAsia="Arial" w:hAnsi="Arial"/>
          <w:sz w:val="16"/>
          <w:szCs w:val="16"/>
          <w:b w:val="1"/>
          <w:bCs w:val="1"/>
          <w:color w:val="auto"/>
        </w:rPr>
        <w:t>YTD 2024 compared to YTD 2023</w:t>
      </w:r>
    </w:p>
    <w:p>
      <w:pPr>
        <w:jc w:val="both"/>
        <w:spacing w:after="0" w:line="264" w:lineRule="auto"/>
        <w:rPr>
          <w:sz w:val="20"/>
          <w:szCs w:val="20"/>
          <w:color w:val="auto"/>
        </w:rPr>
      </w:pPr>
      <w:r>
        <w:rPr>
          <w:rFonts w:ascii="Arial" w:cs="Arial" w:eastAsia="Arial" w:hAnsi="Arial"/>
          <w:sz w:val="16"/>
          <w:szCs w:val="16"/>
          <w:color w:val="auto"/>
        </w:rPr>
        <w:t>Sales increased $215 million due to higher organic sales of $171 million in Building Solutions driven by higher demand for building projects and services, partially offset by lower organic sales of $165 million in Products driven by lower demand. Additionally, the acquisition of Access Solutions contributed $238 million in the nine months ended September 30, 2024.</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$35 million and segment margin percentage decreased 40 basis points to 25.3% compared to 25.7% for the same period of 2023.</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80645</wp:posOffset>
            </wp:positionV>
            <wp:extent cx="5786120" cy="2314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2"/>
                <w:szCs w:val="12"/>
                <w:color w:val="auto"/>
              </w:rPr>
            </w:pPr>
          </w:p>
        </w:tc>
        <w:tc>
          <w:tcPr>
            <w:tcW w:w="5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1,563</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1,551</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4,692</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4,579</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957</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977</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2,952</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2,926</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223</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196</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649</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610</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383</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378</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1,091</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1,043</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2024 vs. 2023</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2"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3 %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2024 compared to Q3 2023</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$12 million due to higher organic sales of $26 million in Advanced Materials driven by higher demand for specialty chemicals and materials, partially offset by lower organic sales of $15 million in UOP driven by lower gas processing project demand.</w:t>
      </w:r>
    </w:p>
    <w:p>
      <w:pPr>
        <w:spacing w:after="0" w:line="64" w:lineRule="exact"/>
        <w:rPr>
          <w:sz w:val="20"/>
          <w:szCs w:val="20"/>
          <w:color w:val="auto"/>
        </w:rPr>
      </w:pPr>
    </w:p>
    <w:p>
      <w:pPr>
        <w:ind w:right="240"/>
        <w:spacing w:after="0" w:line="336" w:lineRule="auto"/>
        <w:rPr>
          <w:sz w:val="20"/>
          <w:szCs w:val="20"/>
          <w:color w:val="auto"/>
        </w:rPr>
      </w:pPr>
      <w:r>
        <w:rPr>
          <w:rFonts w:ascii="Arial" w:cs="Arial" w:eastAsia="Arial" w:hAnsi="Arial"/>
          <w:sz w:val="16"/>
          <w:szCs w:val="16"/>
          <w:color w:val="auto"/>
        </w:rPr>
        <w:t xml:space="preserve">Segment profit increased $5 million and segment margin percentage increased 10 basis points to 24.5% compared to 24.4% for the same period of 2023. </w:t>
      </w:r>
      <w:r>
        <w:rPr>
          <w:rFonts w:ascii="Arial" w:cs="Arial" w:eastAsia="Arial" w:hAnsi="Arial"/>
          <w:sz w:val="16"/>
          <w:szCs w:val="16"/>
          <w:b w:val="1"/>
          <w:bCs w:val="1"/>
          <w:color w:val="auto"/>
        </w:rPr>
        <w:t>YTD 2024 compared to YTD 2023</w:t>
      </w:r>
    </w:p>
    <w:p>
      <w:pPr>
        <w:jc w:val="both"/>
        <w:spacing w:after="0" w:line="283" w:lineRule="auto"/>
        <w:rPr>
          <w:sz w:val="20"/>
          <w:szCs w:val="20"/>
          <w:color w:val="auto"/>
        </w:rPr>
      </w:pPr>
      <w:r>
        <w:rPr>
          <w:rFonts w:ascii="Arial" w:cs="Arial" w:eastAsia="Arial" w:hAnsi="Arial"/>
          <w:sz w:val="16"/>
          <w:szCs w:val="16"/>
          <w:color w:val="auto"/>
        </w:rPr>
        <w:t>Sales increased $113 million due to higher organic sales of $153 million in Advanced Materials driven by higher demand for fluorine products, partially offset by lower organic sales of $23 million in UOP driven by lower gas processing project demand.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$48 million and segment margin percentage increased 50 basis points to 23.3% compared to 22.8% for the same period of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October 8, 2024, the Company announced its intention to spin off its Advanced Materials business into an independent, U.S. publicly traded company.</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nine months ended September 30, 2024, and 2023. Cash spending related to our repositioning actions was $145 million in the nine months ended September 30, 2024,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2024, and December 31, 2023, we held $10.9 billion and $8.1 billion, respectively, of cash and cash equivalents, including our short-term investments. 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2024, $6.8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4,420</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4,395</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935</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1,112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(177)</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(593)</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(696)</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(946)</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(1,101)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155</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3,816</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2,385</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1,431</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(8,202)</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(754)</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(7,448)</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7,058</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(3,427)</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10,485</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2,719</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(1,857)</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4,576</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10,644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7,770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2,874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2024</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cash provided by operating activities was $3,816 million, driven by $4,420 million of Net income attributable to Honeywell, adjusted for $957 million of depreciation and amortization, partially offset by $641 million of other operating activities, driven by higher tax payments, $443 million of pension and other postretirement income, and $329 million of net payments for repositioning and other charges.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was $8,202 million, driven by $7,047 million of cash paid for acquisitions and $771 million of capital expenditures.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was $7,058 million, driven by $10,407 million of proceeds from the issuance of long-term debt, primarily to fund recent acquisitions, and $1,039 million of net proceeds of commercial paper, partially offset by $2,161 million of cash dividends paid, $1,381 million of repayments of long-term debt, and $1,200 million of repurchases of common stock.</w:t>
      </w:r>
    </w:p>
    <w:p>
      <w:pPr>
        <w:spacing w:after="0" w:line="395"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2024 compared with nine months ended September 30, 2023</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Net cash provided by operating activities increased by $1,431 million, primarily due to the $1,325 million payment made by the Company pursuant to the NARCO Amended Buyout Agreement in 2023.</w:t>
      </w:r>
    </w:p>
    <w:p>
      <w:pPr>
        <w:spacing w:after="0" w:line="5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used for investing activities increased by $7,448 million, driven by a $6,331 million increase in cash paid for acquisitions, $538 million net increase in investments, and $462 million net increase in cash payments from settlements of derivative contracts.</w:t>
      </w:r>
    </w:p>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financing activities increased by $10,485 million, driven by a $7,422 million increase in proceeds from the issuance of long-term debt, primarily to fund recent acquisitions, $1,796 million increase in net proceeds of commercial paper, and $987 million decrease in repurchases of common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our operating cash requirements, our principal future cash requirements will include funding capital expenditures, share repurchases, dividends, strategic acquisitions, and debt repayments. During the nine months ended September 30, 2024, we repurchased common stock of $1.2 billion. Refer to the section titled Liquidity and Capital Resources of our 2023 Form 10-K for a discussion of our expected capital expenditures, share repurchases, mergers and acquisitions activity, and dividends for 2024.</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are expected to further our strategic plan and strengthen our existing core businesses. During the nine months ended September 30, 2024, we acquired Access Solutions for total consideration of $4.9 billion, net of cash acquired, CAES Systems Holdings LLC for total consideration of $1.9 billion, net of cash acquired, and Civitanavi Systems S.p.A. for total consideration of $200 million, net of cash acquired. During the fourth quarter of 2024, we acquired Air Products' liquefied natural gas process technology and equipment business for $1.8 billion, net of cash acquired.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During the third quarter of 2024, we classified the assets and liabilities of the personal protective equipment business as held for sale. See Note 3 Acquisitions, Divestitures and Assets and Liabilities Held for Sale of Notes to Consolidated Financial Statements for additional discussion. In addition, on October 8, 2024, we announced our intention to spin off the Advanced Materials business into an independent, U.S. publicly traded company, which is targeted to be completed by the end of 2025 or early 2026.</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Pursuant to the NARCO Amended Buyout Agreement, we received proceeds of $275 million from the HWI Sale during the year ended December 31, 2023. During the nine months ended September 30, 2024, we received $3 million of proceeds from the HWI Sale and may receive additional consideration in future periods if certain conditions under the definitive sale agreement for the HWI Sale are met. These payments and receipts have not materially impacted our liquidity position. See Note 12 Fair Value Measurements of Notes to Consolidated Financial Statements for additional discussion related to the fair value of future proceeds from the HWI Sale.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 During the nine months ended September 30, 2024, our net cash provided by financing activities included proceeds of $10.4 billion from the issuance of long-term debt primarily to fund the Access Solutions, Civitanavi Systems S.p.A., CAES, and LNG acquisitions.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discussion of items impacting our liquidity.</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September 30, 2024, and December 31, 2023, our total borrowings were $30.8 billion and $20.4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3,134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26,651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18,530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Term loan</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219</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30,829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20,443</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365 days or less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loan and revolving credit agreements:</w:t>
      </w:r>
    </w:p>
    <w:p>
      <w:pPr>
        <w:spacing w:after="0" w:line="127" w:lineRule="exact"/>
        <w:rPr>
          <w:sz w:val="20"/>
          <w:szCs w:val="20"/>
          <w:color w:val="auto"/>
        </w:rPr>
      </w:pPr>
    </w:p>
    <w:p>
      <w:pPr>
        <w:jc w:val="both"/>
        <w:ind w:left="200" w:hanging="192"/>
        <w:spacing w:after="0" w:line="265" w:lineRule="auto"/>
        <w:tabs>
          <w:tab w:leader="none" w:pos="197" w:val="left"/>
        </w:tabs>
        <w:numPr>
          <w:ilvl w:val="0"/>
          <w:numId w:val="71"/>
        </w:numPr>
        <w:rPr>
          <w:rFonts w:ascii="Arial" w:cs="Arial" w:eastAsia="Arial" w:hAnsi="Arial"/>
          <w:sz w:val="16"/>
          <w:szCs w:val="16"/>
          <w:color w:val="D7282F"/>
        </w:rPr>
      </w:pPr>
      <w:r>
        <w:rPr>
          <w:rFonts w:ascii="Arial" w:cs="Arial" w:eastAsia="Arial" w:hAnsi="Arial"/>
          <w:sz w:val="16"/>
          <w:szCs w:val="16"/>
          <w:color w:val="auto"/>
        </w:rPr>
        <w:t>A $1.0 billion Fixed Rate Term Loan Credit Agreement (the Fixed Rate Term Loan Credit Agreement) with a syndicate of banks, dated as of August 12, 2024. Amounts borrowed under the Fixed Rate Term Loan Credit Agreement are required to be repaid no later than August 12, 2027, unless the Fixed Rate Term Loan Credit Agreement is terminated earlier pursuant to its terms. As of September 30, 2024, there were $1.0 billion of borrowings outstanding under the Fixed Rate Term Loan Credit Agreement.</w:t>
      </w:r>
    </w:p>
    <w:p>
      <w:pPr>
        <w:spacing w:after="0" w:line="37" w:lineRule="exact"/>
        <w:rPr>
          <w:rFonts w:ascii="Arial" w:cs="Arial" w:eastAsia="Arial" w:hAnsi="Arial"/>
          <w:sz w:val="16"/>
          <w:szCs w:val="16"/>
          <w:color w:val="D7282F"/>
        </w:rPr>
      </w:pPr>
    </w:p>
    <w:p>
      <w:pPr>
        <w:jc w:val="both"/>
        <w:ind w:left="200" w:hanging="192"/>
        <w:spacing w:after="0" w:line="261" w:lineRule="auto"/>
        <w:tabs>
          <w:tab w:leader="none" w:pos="197" w:val="left"/>
        </w:tabs>
        <w:numPr>
          <w:ilvl w:val="0"/>
          <w:numId w:val="71"/>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18, 2024. Amounts borrowed under the 364-Day Credit Agreement are required to be repaid no later than March 17, 2025, unless (i) we elect to convert all then outstanding amounts into a term loan, upon which such amounts shall be repaid in full on March 17, 2026, or (ii) the 364-Day Credit Agreement is terminated earlier pursuant to its terms. The 364-Day Credit Agreement replaced the previously reported $1.5 billion 364-day credit agreement dated as of March 20, 2023, which was terminated in accordance with its terms effective March 18, 2024. As of September 30, 2024, there were no outstanding borrowings under our 364-Day Credit Agreement.</w:t>
      </w:r>
    </w:p>
    <w:p>
      <w:pPr>
        <w:spacing w:after="0" w:line="27"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71"/>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18, 2024.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20, 2023. As of September 30, 2024, there were no outstanding borrowings under our 5-Year Credit Agreement.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information regarding our debt instruments.</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2024,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Positive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than as noted below, there have been no material changes to our Critical Accounting Estimates presented in our 2023 Annual Report on Form 10-K. For a discussion of the Company’s Critical Accounting Estimates, see the section titled Critical Accounting Estimates in our 2023 Annual Report on Form 10-K.</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Goodwill and Indefinite-Lived Intangible Assets Impairment Testing</w:t>
      </w:r>
      <w:r>
        <w:rPr>
          <w:rFonts w:ascii="Arial" w:cs="Arial" w:eastAsia="Arial" w:hAnsi="Arial"/>
          <w:sz w:val="16"/>
          <w:szCs w:val="16"/>
          <w:color w:val="auto"/>
        </w:rPr>
        <w:t>—The Company’s business combinations typically result in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and intangible assets. The Company generally engages an independent third-party valuation specialist for assistance in the allocation of the purchase price and determination of the fair value of goodwill and intangible assets, which involves the use of accounting estimates and assumptions based on information available at or near the acquisition date. The Company believes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 looking and could be affected by future economic and market conditions.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Goodwill and intangible assets deemed to have indefinite lives are not amortized, but are subject to annual, or more frequent if necessary, impairment testing. In testing goodwill and indefinite-lived intangible assets, the fair value is estimated utilizing a discounted cash flow approach, including strategic and annual operating plans, adjusted for terminal value assumptions. These impairment tests involve the use of accounting estimates and assumptions, and changes to those assumptions could materially impact our financial condition or operating performance if actual results differ from such accounting estimates and assumptions. To address this uncertainty, we perform sensitivity analyses on key accounting estimates and assumptions. Once the fair value is determined, if the carrying amount exceeds the fair value, it is impaired. Any impairment is measured as the difference between the carrying amount and its fair value.</w:t>
      </w: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Definite-Lived Intangible Assets</w:t>
      </w:r>
      <w:r>
        <w:rPr>
          <w:rFonts w:ascii="Arial" w:cs="Arial" w:eastAsia="Arial" w:hAnsi="Arial"/>
          <w:sz w:val="16"/>
          <w:szCs w:val="16"/>
          <w:color w:val="auto"/>
        </w:rPr>
        <w:t>—The Company’s business combinations typically result in the recognition of customer relationships,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trademarks, in addition to other definite-lived intangible assets. The determination of fair value for definite-lived intangible assets, useful lives (for depreciation / amortization purposes) and whether or not intangible assets are impaired involves the use of accounting estimates and assumptions. The assumptions used in developing the accounting estimates may include business growth rates, sales volume, selling prices and costs, cash flows, and the discount rate selected and changes to those assumptions could materially impact our financial condition or operating performance if actual results differ from such estimates and assumptions.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spacing w:after="0" w:line="56"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6"/>
          <w:szCs w:val="16"/>
          <w:color w:val="D7282F"/>
        </w:rPr>
      </w:pPr>
      <w:r>
        <w:rPr>
          <w:rFonts w:ascii="Arial" w:cs="Arial" w:eastAsia="Arial" w:hAnsi="Arial"/>
          <w:sz w:val="16"/>
          <w:szCs w:val="16"/>
          <w:color w:val="auto"/>
        </w:rPr>
        <w:t>Significant under-performance (i.e., declines in sales, earnings, or cash flows) of a business or product line in relation to expectations;</w:t>
      </w:r>
    </w:p>
    <w:p>
      <w:pPr>
        <w:spacing w:after="0" w:line="86" w:lineRule="exact"/>
        <w:rPr>
          <w:rFonts w:ascii="Arial" w:cs="Arial" w:eastAsia="Arial" w:hAnsi="Arial"/>
          <w:sz w:val="16"/>
          <w:szCs w:val="16"/>
          <w:color w:val="D7282F"/>
        </w:rPr>
      </w:pPr>
    </w:p>
    <w:p>
      <w:pPr>
        <w:ind w:left="240" w:hanging="232"/>
        <w:spacing w:after="0"/>
        <w:tabs>
          <w:tab w:leader="none" w:pos="240" w:val="left"/>
        </w:tabs>
        <w:numPr>
          <w:ilvl w:val="0"/>
          <w:numId w:val="73"/>
        </w:numPr>
        <w:rPr>
          <w:rFonts w:ascii="Arial" w:cs="Arial" w:eastAsia="Arial" w:hAnsi="Arial"/>
          <w:sz w:val="16"/>
          <w:szCs w:val="16"/>
          <w:color w:val="D7282F"/>
        </w:rPr>
      </w:pPr>
      <w:r>
        <w:rPr>
          <w:rFonts w:ascii="Arial" w:cs="Arial" w:eastAsia="Arial" w:hAnsi="Arial"/>
          <w:sz w:val="16"/>
          <w:szCs w:val="16"/>
          <w:color w:val="auto"/>
        </w:rPr>
        <w:t>Annual operating plans or strategic plan outlook that indicates an unfavorable trend in operating performance of a business or product line;</w:t>
      </w:r>
    </w:p>
    <w:p>
      <w:pPr>
        <w:spacing w:after="0" w:line="86" w:lineRule="exact"/>
        <w:rPr>
          <w:rFonts w:ascii="Arial" w:cs="Arial" w:eastAsia="Arial" w:hAnsi="Arial"/>
          <w:sz w:val="16"/>
          <w:szCs w:val="16"/>
          <w:color w:val="D7282F"/>
        </w:rPr>
      </w:pPr>
    </w:p>
    <w:p>
      <w:pPr>
        <w:ind w:left="240" w:hanging="232"/>
        <w:spacing w:after="0"/>
        <w:tabs>
          <w:tab w:leader="none" w:pos="240" w:val="left"/>
        </w:tabs>
        <w:numPr>
          <w:ilvl w:val="0"/>
          <w:numId w:val="73"/>
        </w:numPr>
        <w:rPr>
          <w:rFonts w:ascii="Arial" w:cs="Arial" w:eastAsia="Arial" w:hAnsi="Arial"/>
          <w:sz w:val="16"/>
          <w:szCs w:val="16"/>
          <w:color w:val="D7282F"/>
        </w:rPr>
      </w:pPr>
      <w:r>
        <w:rPr>
          <w:rFonts w:ascii="Arial" w:cs="Arial" w:eastAsia="Arial" w:hAnsi="Arial"/>
          <w:sz w:val="16"/>
          <w:szCs w:val="16"/>
          <w:color w:val="auto"/>
        </w:rPr>
        <w:t>Significant negative industry or economic trends; or</w:t>
      </w:r>
    </w:p>
    <w:p>
      <w:pPr>
        <w:spacing w:after="0" w:line="72" w:lineRule="exact"/>
        <w:rPr>
          <w:rFonts w:ascii="Arial" w:cs="Arial" w:eastAsia="Arial" w:hAnsi="Arial"/>
          <w:sz w:val="16"/>
          <w:szCs w:val="16"/>
          <w:color w:val="D7282F"/>
        </w:rPr>
      </w:pPr>
    </w:p>
    <w:p>
      <w:pPr>
        <w:ind w:left="240" w:hanging="232"/>
        <w:spacing w:after="0"/>
        <w:tabs>
          <w:tab w:leader="none" w:pos="240" w:val="left"/>
        </w:tabs>
        <w:numPr>
          <w:ilvl w:val="0"/>
          <w:numId w:val="73"/>
        </w:numPr>
        <w:rPr>
          <w:rFonts w:ascii="Arial" w:cs="Arial" w:eastAsia="Arial" w:hAnsi="Arial"/>
          <w:sz w:val="16"/>
          <w:szCs w:val="16"/>
          <w:color w:val="D7282F"/>
        </w:rPr>
      </w:pPr>
      <w:r>
        <w:rPr>
          <w:rFonts w:ascii="Arial" w:cs="Arial" w:eastAsia="Arial" w:hAnsi="Arial"/>
          <w:sz w:val="16"/>
          <w:szCs w:val="16"/>
          <w:color w:val="auto"/>
        </w:rPr>
        <w:t>Significant changes or planned changes in our use of the assets.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Once it is determined that an impairment review is necessary, recoverability of assets is measured by comparing the carrying amount of the asset group to the estimated future undiscounted cash flows. If the carrying amount exceeds the estimated future undiscounted cash flows, impairment is then measured as the excess, if any, of the carrying amount of the asset group over its fair value.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spacing w:after="0" w:line="395"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2023 Annual Report on Form 10-K. As of September 30, 2024, there has been no material change in this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15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2023 Annual Report on Form 10-K under the section titled Risk Factors. For further discussion of our Risk Factors, refer to the section titled Risk Factors in our 2023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The Company is subject to risks related to its plan to spin off its Advanced Materials business into a standalone, publicly traded company.</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October 8, 2024, the Company announced its intent to spin off its Advanced Materials business, which is part of its Energy and Sustainability Solutions reportable business segment, into an independent, U.S. publicly traded company, in a transaction that is intended to be tax-free for the Company’s shareowners for U.S. federal income tax purposes. The spin-off will be subject to the satisfaction of a number of customary conditions, including, among others, finalization of the financial statements of the Advanced Materials business, the filing and effectiveness of applicable filings (including a Form 10 registration statement) with the SEC, assurance that the spin-off of the Advanced Materials business will be tax-free to Honeywell’s shareowners, receipt of applicable regulatory approvals and final approval by Honeywell’s Board of Directors. The failure to satisfy all of the required conditions, as well as additional factors such as conditions in the equity and debt markets, other external conditions, and developments or challenges involving the intended spin-off, the Company or any of its businesses, many of which are outside of the Company’s control, could delay the completion of the spin-off relative to the anticipated timeline or prevent it from occurring. These or other unanticipated developments could delay or prevent the proposed spin-off or cause the proposed spin-off to occur on terms or conditions that are less favorable than anticipated, including without limitation, the failure to qualify as tax-free to our shareowners (which could result in significant income tax liabilities to the Company and/or its shareholders), and the inability of the spun-off company to incur sufficient indebtedness to allow for a distribution to Honeywell of proceeds concurrently with the consummation of the spin-off. Furthermore, if the spin-off is completed, there is no guarantee that it will be successful in meeting its objectives or achieving its intended benefits. Whether or not the spin-off is ultimately completed, the Company and our business may face challenges as a result of the transaction, including potential business disruption; the diversion of management’s time; and potential negative impacts on the Company’s relationships with its customers, employees, regulators and other counterparties. Any of these factors could negatively impact our business, financial condition, results of operations, cash flows, and the price of our common stock.</w:t>
      </w:r>
    </w:p>
    <w:p>
      <w:pPr>
        <w:spacing w:after="0" w:line="319"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395"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September 30, 2024, no shares were repurchased by the Company. As of September 30, 2024, $5.9 billion remained available for additional share repurchases. The following table summarizes our purchases of Honeywell's common stock for the three months ended September 30, 2024: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00" w:type="dxa"/>
            <w:vAlign w:val="bottom"/>
            <w:tcBorders>
              <w:top w:val="single" w:sz="8" w:color="D7282F"/>
            </w:tcBorders>
          </w:tcPr>
          <w:p>
            <w:pPr>
              <w:spacing w:after="0"/>
              <w:rPr>
                <w:sz w:val="12"/>
                <w:szCs w:val="12"/>
                <w:color w:val="auto"/>
              </w:rPr>
            </w:pPr>
          </w:p>
        </w:tc>
        <w:tc>
          <w:tcPr>
            <w:tcW w:w="264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48"/>
              <w:spacing w:after="0" w:line="144" w:lineRule="exact"/>
              <w:rPr>
                <w:sz w:val="20"/>
                <w:szCs w:val="20"/>
                <w:color w:val="auto"/>
              </w:rPr>
            </w:pPr>
            <w:r>
              <w:rPr>
                <w:rFonts w:ascii="Arial" w:cs="Arial" w:eastAsia="Arial" w:hAnsi="Arial"/>
                <w:sz w:val="14"/>
                <w:szCs w:val="14"/>
                <w:b w:val="1"/>
                <w:bCs w:val="1"/>
                <w:color w:val="auto"/>
              </w:rPr>
              <w:t>Total Number</w:t>
            </w:r>
          </w:p>
        </w:tc>
        <w:tc>
          <w:tcPr>
            <w:tcW w:w="1920" w:type="dxa"/>
            <w:vAlign w:val="bottom"/>
            <w:tcBorders>
              <w:top w:val="single" w:sz="8" w:color="D7282F"/>
            </w:tcBorders>
          </w:tcPr>
          <w:p>
            <w:pPr>
              <w:jc w:val="center"/>
              <w:ind w:left="88"/>
              <w:spacing w:after="0" w:line="144"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9"/>
        </w:trPr>
        <w:tc>
          <w:tcPr>
            <w:tcW w:w="3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of Shares</w:t>
            </w:r>
          </w:p>
        </w:tc>
        <w:tc>
          <w:tcPr>
            <w:tcW w:w="192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64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Purchased as</w:t>
            </w:r>
          </w:p>
        </w:tc>
        <w:tc>
          <w:tcPr>
            <w:tcW w:w="192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Part of Publicly</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640" w:type="dxa"/>
            <w:vAlign w:val="bottom"/>
          </w:tcPr>
          <w:p>
            <w:pPr>
              <w:jc w:val="center"/>
              <w:ind w:left="80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35"/>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640" w:type="dxa"/>
            <w:vAlign w:val="bottom"/>
          </w:tcPr>
          <w:p>
            <w:pPr>
              <w:jc w:val="center"/>
              <w:ind w:left="808"/>
              <w:spacing w:after="0" w:line="135"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Plans</w:t>
            </w:r>
          </w:p>
        </w:tc>
        <w:tc>
          <w:tcPr>
            <w:tcW w:w="192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02"/>
        </w:trPr>
        <w:tc>
          <w:tcPr>
            <w:tcW w:w="3300" w:type="dxa"/>
            <w:vAlign w:val="bottom"/>
            <w:tcBorders>
              <w:bottom w:val="single" w:sz="8" w:color="D7282F"/>
            </w:tcBorders>
            <w:vMerge w:val="continue"/>
          </w:tcPr>
          <w:p>
            <w:pPr>
              <w:spacing w:after="0"/>
              <w:rPr>
                <w:sz w:val="17"/>
                <w:szCs w:val="17"/>
                <w:color w:val="auto"/>
              </w:rPr>
            </w:pPr>
          </w:p>
        </w:tc>
        <w:tc>
          <w:tcPr>
            <w:tcW w:w="2640" w:type="dxa"/>
            <w:vAlign w:val="bottom"/>
            <w:tcBorders>
              <w:bottom w:val="single" w:sz="8" w:color="D7282F"/>
            </w:tcBorders>
          </w:tcPr>
          <w:p>
            <w:pPr>
              <w:jc w:val="center"/>
              <w:ind w:left="78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192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3"/>
        </w:trPr>
        <w:tc>
          <w:tcPr>
            <w:tcW w:w="3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June 30, 2024 - July 27, 2024</w:t>
            </w:r>
          </w:p>
        </w:tc>
        <w:tc>
          <w:tcPr>
            <w:tcW w:w="2640" w:type="dxa"/>
            <w:vAlign w:val="bottom"/>
            <w:tcBorders>
              <w:bottom w:val="single" w:sz="8" w:color="61656A"/>
            </w:tcBorders>
          </w:tcPr>
          <w:p>
            <w:pPr>
              <w:jc w:val="center"/>
              <w:ind w:left="78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$5,904</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July 28, 2024 - Aug 24, 2024</w:t>
            </w:r>
          </w:p>
        </w:tc>
        <w:tc>
          <w:tcPr>
            <w:tcW w:w="2640" w:type="dxa"/>
            <w:vAlign w:val="bottom"/>
            <w:tcBorders>
              <w:bottom w:val="single" w:sz="8" w:color="61656A"/>
            </w:tcBorders>
          </w:tcPr>
          <w:p>
            <w:pPr>
              <w:jc w:val="center"/>
              <w:ind w:left="78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$5,904</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Aug 25, 2024 - Sep 28, 2024</w:t>
            </w:r>
          </w:p>
        </w:tc>
        <w:tc>
          <w:tcPr>
            <w:tcW w:w="2640" w:type="dxa"/>
            <w:vAlign w:val="bottom"/>
            <w:tcBorders>
              <w:bottom w:val="single" w:sz="8" w:color="D7282F"/>
            </w:tcBorders>
          </w:tcPr>
          <w:p>
            <w:pPr>
              <w:jc w:val="center"/>
              <w:ind w:left="78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$5,904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three months ended September 30, 2024, none of our executive officers or directors adopted, terminated, or modified a "Rule 10b5-1 trading arrangement," or adopted, terminated, or modified any "non-Rule 10b5-1 trading arrangement" (each as defined in Item 408 of Regulation S-K).</w:t>
      </w:r>
    </w:p>
    <w:p>
      <w:pPr>
        <w:spacing w:after="0" w:line="387"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3" w:lineRule="exact"/>
              <w:rPr>
                <w:rFonts w:ascii="Arial" w:cs="Arial" w:eastAsia="Arial" w:hAnsi="Arial"/>
                <w:sz w:val="14"/>
                <w:szCs w:val="14"/>
                <w:color w:val="auto"/>
              </w:rPr>
            </w:pPr>
            <w:hyperlink r:id="rId84">
              <w:r>
                <w:rPr>
                  <w:rFonts w:ascii="Arial" w:cs="Arial" w:eastAsia="Arial" w:hAnsi="Arial"/>
                  <w:sz w:val="14"/>
                  <w:szCs w:val="14"/>
                  <w:color w:val="auto"/>
                </w:rPr>
                <w:t>Second 364-Day Credit Agreement, dated as of July 2, 2024, among Honeywell International Inc., the banks, financial institutions, and other institutional</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4">
              <w:r>
                <w:rPr>
                  <w:rFonts w:ascii="Arial" w:cs="Arial" w:eastAsia="Arial" w:hAnsi="Arial"/>
                  <w:sz w:val="14"/>
                  <w:szCs w:val="14"/>
                  <w:color w:val="auto"/>
                </w:rPr>
                <w:t>parties thereto and Bank of America, N.A., as administrative agent (incorporated by reference to Exhibit 10.1 to Honeywell's Form 8-K filed July 2, 2024)</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2" w:lineRule="exact"/>
              <w:rPr>
                <w:rFonts w:ascii="Arial" w:cs="Arial" w:eastAsia="Arial" w:hAnsi="Arial"/>
                <w:sz w:val="14"/>
                <w:szCs w:val="14"/>
                <w:color w:val="auto"/>
              </w:rPr>
            </w:pPr>
            <w:hyperlink r:id="rId85">
              <w:r>
                <w:rPr>
                  <w:rFonts w:ascii="Arial" w:cs="Arial" w:eastAsia="Arial" w:hAnsi="Arial"/>
                  <w:sz w:val="14"/>
                  <w:szCs w:val="14"/>
                  <w:color w:val="auto"/>
                </w:rPr>
                <w:t>Fixed Rate Term Loan Credit Agreement, dated as of August 12, 2024, among Honeywell International Inc., the banks, financial institutions, and other</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85">
              <w:r>
                <w:rPr>
                  <w:rFonts w:ascii="Arial" w:cs="Arial" w:eastAsia="Arial" w:hAnsi="Arial"/>
                  <w:sz w:val="14"/>
                  <w:szCs w:val="14"/>
                  <w:color w:val="auto"/>
                </w:rPr>
                <w:t>institutional lenders parties thereto and Bank of America, N.A., as administrative agent (incorporated by reference to Exhibit 10.1 to Honeywell's Form 8-K</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5">
              <w:r>
                <w:rPr>
                  <w:rFonts w:ascii="Arial" w:cs="Arial" w:eastAsia="Arial" w:hAnsi="Arial"/>
                  <w:sz w:val="14"/>
                  <w:szCs w:val="14"/>
                  <w:color w:val="auto"/>
                </w:rPr>
                <w:t>filed August 12, 2024)</w:t>
              </w:r>
            </w:hyperlink>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October 24,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2024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24, 2024</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2024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24, 2024</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September 30, 2024,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September 30, 2024,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bullet"/>
      <w:start w:val="1"/>
    </w:lvl>
  </w:abstractNum>
  <w:abstractNum w:abstractNumId="3">
    <w:nsid w:val="1D4ED43B"/>
    <w:multiLevelType w:val="hybridMultilevel"/>
    <w:lvl w:ilvl="0">
      <w:lvlJc w:val="left"/>
      <w:lvlText w:val="2"/>
      <w:numFmt w:val="bullet"/>
      <w:start w:val="1"/>
    </w:lvl>
  </w:abstractNum>
  <w:abstractNum w:abstractNumId="4">
    <w:nsid w:val="725A06FB"/>
    <w:multiLevelType w:val="hybridMultilevel"/>
    <w:lvl w:ilvl="0">
      <w:lvlJc w:val="left"/>
      <w:lvlText w:val="3"/>
      <w:numFmt w:val="bullet"/>
      <w:start w:val="1"/>
    </w:lvl>
  </w:abstractNum>
  <w:abstractNum w:abstractNumId="5">
    <w:nsid w:val="2CD89A32"/>
    <w:multiLevelType w:val="hybridMultilevel"/>
    <w:lvl w:ilvl="0">
      <w:lvlJc w:val="left"/>
      <w:lvlText w:val="4"/>
      <w:numFmt w:val="bullet"/>
      <w:start w:val="1"/>
    </w:lvl>
  </w:abstractNum>
  <w:abstractNum w:abstractNumId="6">
    <w:nsid w:val="57E4CCAF"/>
    <w:multiLevelType w:val="hybridMultilevel"/>
    <w:lvl w:ilvl="0">
      <w:lvlJc w:val="left"/>
      <w:lvlText w:val="5"/>
      <w:numFmt w:val="bullet"/>
      <w:start w:val="1"/>
    </w:lvl>
  </w:abstractNum>
  <w:abstractNum w:abstractNumId="7">
    <w:nsid w:val="7A6D8D3C"/>
    <w:multiLevelType w:val="hybridMultilevel"/>
    <w:lvl w:ilvl="0">
      <w:lvlJc w:val="left"/>
      <w:lvlText w:val="6"/>
      <w:numFmt w:val="bullet"/>
      <w:start w:val="1"/>
    </w:lvl>
  </w:abstractNum>
  <w:abstractNum w:abstractNumId="8">
    <w:nsid w:val="4B588F54"/>
    <w:multiLevelType w:val="hybridMultilevel"/>
    <w:lvl w:ilvl="0">
      <w:lvlJc w:val="left"/>
      <w:lvlText w:val="7"/>
      <w:numFmt w:val="bullet"/>
      <w:start w:val="1"/>
    </w:lvl>
  </w:abstractNum>
  <w:abstractNum w:abstractNumId="9">
    <w:nsid w:val="542289EC"/>
    <w:multiLevelType w:val="hybridMultilevel"/>
    <w:lvl w:ilvl="0">
      <w:lvlJc w:val="left"/>
      <w:lvlText w:val="8"/>
      <w:numFmt w:val="bullet"/>
      <w:start w:val="1"/>
    </w:lvl>
  </w:abstractNum>
  <w:abstractNum w:abstractNumId="10">
    <w:nsid w:val="6DE91B18"/>
    <w:multiLevelType w:val="hybridMultilevel"/>
    <w:lvl w:ilvl="0">
      <w:lvlJc w:val="left"/>
      <w:lvlText w:val="9"/>
      <w:numFmt w:val="bullet"/>
      <w:start w:val="1"/>
    </w:lvl>
  </w:abstractNum>
  <w:abstractNum w:abstractNumId="11">
    <w:nsid w:val="38437FDB"/>
    <w:multiLevelType w:val="hybridMultilevel"/>
    <w:lvl w:ilvl="0">
      <w:lvlJc w:val="left"/>
      <w:lvlText w:val="%1"/>
      <w:numFmt w:val="decimal"/>
      <w:start w:val="10"/>
    </w:lvl>
  </w:abstractNum>
  <w:abstractNum w:abstractNumId="12">
    <w:nsid w:val="7644A45C"/>
    <w:multiLevelType w:val="hybridMultilevel"/>
    <w:lvl w:ilvl="0">
      <w:lvlJc w:val="left"/>
      <w:lvlText w:val="%1"/>
      <w:numFmt w:val="decimal"/>
      <w:start w:val="11"/>
    </w:lvl>
  </w:abstractNum>
  <w:abstractNum w:abstractNumId="13">
    <w:nsid w:val="32FFF902"/>
    <w:multiLevelType w:val="hybridMultilevel"/>
    <w:lvl w:ilvl="0">
      <w:lvlJc w:val="left"/>
      <w:lvlText w:val="1"/>
      <w:numFmt w:val="bullet"/>
      <w:start w:val="1"/>
    </w:lvl>
  </w:abstractNum>
  <w:abstractNum w:abstractNumId="14">
    <w:nsid w:val="684A481A"/>
    <w:multiLevelType w:val="hybridMultilevel"/>
    <w:lvl w:ilvl="0">
      <w:lvlJc w:val="left"/>
      <w:lvlText w:val="%1"/>
      <w:numFmt w:val="decimal"/>
      <w:start w:val="12"/>
    </w:lvl>
  </w:abstractNum>
  <w:abstractNum w:abstractNumId="15">
    <w:nsid w:val="579478FE"/>
    <w:multiLevelType w:val="hybridMultilevel"/>
    <w:lvl w:ilvl="0">
      <w:lvlJc w:val="left"/>
      <w:lvlText w:val="%1"/>
      <w:numFmt w:val="decimal"/>
      <w:start w:val="13"/>
    </w:lvl>
  </w:abstractNum>
  <w:abstractNum w:abstractNumId="16">
    <w:nsid w:val="749ABB43"/>
    <w:multiLevelType w:val="hybridMultilevel"/>
    <w:lvl w:ilvl="0">
      <w:lvlJc w:val="left"/>
      <w:lvlText w:val="%1"/>
      <w:numFmt w:val="decimal"/>
      <w:start w:val="14"/>
    </w:lvl>
  </w:abstractNum>
  <w:abstractNum w:abstractNumId="17">
    <w:nsid w:val="3DC240FB"/>
    <w:multiLevelType w:val="hybridMultilevel"/>
    <w:lvl w:ilvl="0">
      <w:lvlJc w:val="left"/>
      <w:lvlText w:val="1"/>
      <w:numFmt w:val="bullet"/>
      <w:start w:val="1"/>
    </w:lvl>
  </w:abstractNum>
  <w:abstractNum w:abstractNumId="18">
    <w:nsid w:val="1BA026FA"/>
    <w:multiLevelType w:val="hybridMultilevel"/>
    <w:lvl w:ilvl="0">
      <w:lvlJc w:val="left"/>
      <w:lvlText w:val="2"/>
      <w:numFmt w:val="bullet"/>
      <w:start w:val="1"/>
    </w:lvl>
  </w:abstractNum>
  <w:abstractNum w:abstractNumId="19">
    <w:nsid w:val="79A1DEAA"/>
    <w:multiLevelType w:val="hybridMultilevel"/>
    <w:lvl w:ilvl="0">
      <w:lvlJc w:val="left"/>
      <w:lvlText w:val="%1"/>
      <w:numFmt w:val="decimal"/>
      <w:start w:val="15"/>
    </w:lvl>
  </w:abstractNum>
  <w:abstractNum w:abstractNumId="20">
    <w:nsid w:val="75C6C33A"/>
    <w:multiLevelType w:val="hybridMultilevel"/>
    <w:lvl w:ilvl="0">
      <w:lvlJc w:val="left"/>
      <w:lvlText w:val="1"/>
      <w:numFmt w:val="bullet"/>
      <w:start w:val="1"/>
    </w:lvl>
  </w:abstractNum>
  <w:abstractNum w:abstractNumId="21">
    <w:nsid w:val="12E685FB"/>
    <w:multiLevelType w:val="hybridMultilevel"/>
    <w:lvl w:ilvl="0">
      <w:lvlJc w:val="left"/>
      <w:lvlText w:val="%1"/>
      <w:numFmt w:val="decimal"/>
      <w:start w:val="17"/>
    </w:lvl>
  </w:abstractNum>
  <w:abstractNum w:abstractNumId="22">
    <w:nsid w:val="70C6A529"/>
    <w:multiLevelType w:val="hybridMultilevel"/>
    <w:lvl w:ilvl="0">
      <w:lvlJc w:val="left"/>
      <w:lvlText w:val="1"/>
      <w:numFmt w:val="bullet"/>
      <w:start w:val="1"/>
    </w:lvl>
  </w:abstractNum>
  <w:abstractNum w:abstractNumId="23">
    <w:nsid w:val="520EEDD1"/>
    <w:multiLevelType w:val="hybridMultilevel"/>
    <w:lvl w:ilvl="0">
      <w:lvlJc w:val="left"/>
      <w:lvlText w:val="%1"/>
      <w:numFmt w:val="decimal"/>
      <w:start w:val="18"/>
    </w:lvl>
  </w:abstractNum>
  <w:abstractNum w:abstractNumId="24">
    <w:nsid w:val="374A3FE6"/>
    <w:multiLevelType w:val="hybridMultilevel"/>
    <w:lvl w:ilvl="0">
      <w:lvlJc w:val="left"/>
      <w:lvlText w:val="1"/>
      <w:numFmt w:val="bullet"/>
      <w:start w:val="1"/>
    </w:lvl>
  </w:abstractNum>
  <w:abstractNum w:abstractNumId="25">
    <w:nsid w:val="4F4EF005"/>
    <w:multiLevelType w:val="hybridMultilevel"/>
    <w:lvl w:ilvl="0">
      <w:lvlJc w:val="left"/>
      <w:lvlText w:val="2"/>
      <w:numFmt w:val="bullet"/>
      <w:start w:val="1"/>
    </w:lvl>
  </w:abstractNum>
  <w:abstractNum w:abstractNumId="26">
    <w:nsid w:val="23F9C13C"/>
    <w:multiLevelType w:val="hybridMultilevel"/>
    <w:lvl w:ilvl="0">
      <w:lvlJc w:val="left"/>
      <w:lvlText w:val="%1"/>
      <w:numFmt w:val="decimal"/>
      <w:start w:val="19"/>
    </w:lvl>
  </w:abstractNum>
  <w:abstractNum w:abstractNumId="27">
    <w:nsid w:val="649BB77C"/>
    <w:multiLevelType w:val="hybridMultilevel"/>
    <w:lvl w:ilvl="0">
      <w:lvlJc w:val="left"/>
      <w:lvlText w:val="%1"/>
      <w:numFmt w:val="decimal"/>
      <w:start w:val="21"/>
    </w:lvl>
  </w:abstractNum>
  <w:abstractNum w:abstractNumId="28">
    <w:nsid w:val="275AC794"/>
    <w:multiLevelType w:val="hybridMultilevel"/>
    <w:lvl w:ilvl="0">
      <w:lvlJc w:val="left"/>
      <w:lvlText w:val="1"/>
      <w:numFmt w:val="bullet"/>
      <w:start w:val="1"/>
    </w:lvl>
  </w:abstractNum>
  <w:abstractNum w:abstractNumId="29">
    <w:nsid w:val="39386575"/>
    <w:multiLevelType w:val="hybridMultilevel"/>
    <w:lvl w:ilvl="0">
      <w:lvlJc w:val="left"/>
      <w:lvlText w:val="2"/>
      <w:numFmt w:val="bullet"/>
      <w:start w:val="1"/>
    </w:lvl>
  </w:abstractNum>
  <w:abstractNum w:abstractNumId="30">
    <w:nsid w:val="1CF10FD8"/>
    <w:multiLevelType w:val="hybridMultilevel"/>
    <w:lvl w:ilvl="0">
      <w:lvlJc w:val="left"/>
      <w:lvlText w:val="%1"/>
      <w:numFmt w:val="decimal"/>
      <w:start w:val="22"/>
    </w:lvl>
  </w:abstractNum>
  <w:abstractNum w:abstractNumId="31">
    <w:nsid w:val="180115BE"/>
    <w:multiLevelType w:val="hybridMultilevel"/>
    <w:lvl w:ilvl="0">
      <w:lvlJc w:val="left"/>
      <w:lvlText w:val="%1"/>
      <w:numFmt w:val="decimal"/>
      <w:start w:val="23"/>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26"/>
    </w:lvl>
  </w:abstractNum>
  <w:abstractNum w:abstractNumId="34">
    <w:nsid w:val="354FE9F9"/>
    <w:multiLevelType w:val="hybridMultilevel"/>
    <w:lvl w:ilvl="0">
      <w:lvlJc w:val="left"/>
      <w:lvlText w:val="%1"/>
      <w:numFmt w:val="decimal"/>
      <w:start w:val="27"/>
    </w:lvl>
  </w:abstractNum>
  <w:abstractNum w:abstractNumId="35">
    <w:nsid w:val="15B5AF5C"/>
    <w:multiLevelType w:val="hybridMultilevel"/>
    <w:lvl w:ilvl="0">
      <w:lvlJc w:val="left"/>
      <w:lvlText w:val="%1"/>
      <w:numFmt w:val="decimal"/>
      <w:start w:val="30"/>
    </w:lvl>
  </w:abstractNum>
  <w:abstractNum w:abstractNumId="36">
    <w:nsid w:val="741226BB"/>
    <w:multiLevelType w:val="hybridMultilevel"/>
    <w:lvl w:ilvl="0">
      <w:lvlJc w:val="left"/>
      <w:lvlText w:val="%1"/>
      <w:numFmt w:val="decimal"/>
      <w:start w:val="31"/>
    </w:lvl>
  </w:abstractNum>
  <w:abstractNum w:abstractNumId="37">
    <w:nsid w:val="D34B6A8"/>
    <w:multiLevelType w:val="hybridMultilevel"/>
    <w:lvl w:ilvl="0">
      <w:lvlJc w:val="left"/>
      <w:lvlText w:val="%1"/>
      <w:numFmt w:val="decimal"/>
      <w:start w:val="32"/>
    </w:lvl>
  </w:abstractNum>
  <w:abstractNum w:abstractNumId="38">
    <w:nsid w:val="10233C99"/>
    <w:multiLevelType w:val="hybridMultilevel"/>
    <w:lvl w:ilvl="0">
      <w:lvlJc w:val="left"/>
      <w:lvlText w:val="%1"/>
      <w:numFmt w:val="decimal"/>
      <w:start w:val="33"/>
    </w:lvl>
  </w:abstractNum>
  <w:abstractNum w:abstractNumId="39">
    <w:nsid w:val="3F6AB60F"/>
    <w:multiLevelType w:val="hybridMultilevel"/>
    <w:lvl w:ilvl="0">
      <w:lvlJc w:val="left"/>
      <w:lvlText w:val="%1"/>
      <w:numFmt w:val="decimal"/>
      <w:start w:val="34"/>
    </w:lvl>
  </w:abstractNum>
  <w:abstractNum w:abstractNumId="40">
    <w:nsid w:val="61574095"/>
    <w:multiLevelType w:val="hybridMultilevel"/>
    <w:lvl w:ilvl="0">
      <w:lvlJc w:val="left"/>
      <w:lvlText w:val="1"/>
      <w:numFmt w:val="bullet"/>
      <w:start w:val="1"/>
    </w:lvl>
  </w:abstractNum>
  <w:abstractNum w:abstractNumId="41">
    <w:nsid w:val="7E0C57B1"/>
    <w:multiLevelType w:val="hybridMultilevel"/>
    <w:lvl w:ilvl="0">
      <w:lvlJc w:val="left"/>
      <w:lvlText w:val="2"/>
      <w:numFmt w:val="bullet"/>
      <w:start w:val="1"/>
    </w:lvl>
  </w:abstractNum>
  <w:abstractNum w:abstractNumId="42">
    <w:nsid w:val="77AE35EB"/>
    <w:multiLevelType w:val="hybridMultilevel"/>
    <w:lvl w:ilvl="0">
      <w:lvlJc w:val="left"/>
      <w:lvlText w:val="3"/>
      <w:numFmt w:val="bullet"/>
      <w:start w:val="1"/>
    </w:lvl>
  </w:abstractNum>
  <w:abstractNum w:abstractNumId="43">
    <w:nsid w:val="579BE4F1"/>
    <w:multiLevelType w:val="hybridMultilevel"/>
    <w:lvl w:ilvl="0">
      <w:lvlJc w:val="left"/>
      <w:lvlText w:val="4"/>
      <w:numFmt w:val="bullet"/>
      <w:start w:val="1"/>
    </w:lvl>
  </w:abstractNum>
  <w:abstractNum w:abstractNumId="44">
    <w:nsid w:val="310C50B3"/>
    <w:multiLevelType w:val="hybridMultilevel"/>
    <w:lvl w:ilvl="0">
      <w:lvlJc w:val="left"/>
      <w:lvlText w:val="%1"/>
      <w:numFmt w:val="decimal"/>
      <w:start w:val="35"/>
    </w:lvl>
  </w:abstractNum>
  <w:abstractNum w:abstractNumId="45">
    <w:nsid w:val="5FF87E05"/>
    <w:multiLevelType w:val="hybridMultilevel"/>
    <w:lvl w:ilvl="0">
      <w:lvlJc w:val="left"/>
      <w:lvlText w:val="%1"/>
      <w:numFmt w:val="decimal"/>
      <w:start w:val="36"/>
    </w:lvl>
  </w:abstractNum>
  <w:abstractNum w:abstractNumId="46">
    <w:nsid w:val="2F305DEF"/>
    <w:multiLevelType w:val="hybridMultilevel"/>
    <w:lvl w:ilvl="0">
      <w:lvlJc w:val="left"/>
      <w:lvlText w:val="%1"/>
      <w:numFmt w:val="decimal"/>
      <w:start w:val="37"/>
    </w:lvl>
  </w:abstractNum>
  <w:abstractNum w:abstractNumId="47">
    <w:nsid w:val="25A70BF7"/>
    <w:multiLevelType w:val="hybridMultilevel"/>
    <w:lvl w:ilvl="0">
      <w:lvlJc w:val="left"/>
      <w:lvlText w:val="%1"/>
      <w:numFmt w:val="decimal"/>
      <w:start w:val="38"/>
    </w:lvl>
  </w:abstractNum>
  <w:abstractNum w:abstractNumId="48">
    <w:nsid w:val="1DBABF00"/>
    <w:multiLevelType w:val="hybridMultilevel"/>
    <w:lvl w:ilvl="0">
      <w:lvlJc w:val="left"/>
      <w:lvlText w:val="%1"/>
      <w:numFmt w:val="decimal"/>
      <w:start w:val="39"/>
    </w:lvl>
  </w:abstractNum>
  <w:abstractNum w:abstractNumId="49">
    <w:nsid w:val="4AD084E9"/>
    <w:multiLevelType w:val="hybridMultilevel"/>
    <w:lvl w:ilvl="0">
      <w:lvlJc w:val="left"/>
      <w:lvlText w:val="%1"/>
      <w:numFmt w:val="decimal"/>
      <w:start w:val="40"/>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decimal"/>
      <w:start w:val="4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42"/>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43"/>
    </w:lvl>
  </w:abstractNum>
  <w:abstractNum w:abstractNumId="58">
    <w:nsid w:val="799D0247"/>
    <w:multiLevelType w:val="hybridMultilevel"/>
    <w:lvl w:ilvl="0">
      <w:lvlJc w:val="left"/>
      <w:lvlText w:val="%1"/>
      <w:numFmt w:val="decimal"/>
      <w:start w:val="44"/>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decimal"/>
      <w:start w:val="45"/>
    </w:lvl>
  </w:abstractNum>
  <w:abstractNum w:abstractNumId="62">
    <w:nsid w:val="1EBA5D23"/>
    <w:multiLevelType w:val="hybridMultilevel"/>
    <w:lvl w:ilvl="0">
      <w:lvlJc w:val="left"/>
      <w:lvlText w:val="1"/>
      <w:numFmt w:val="bullet"/>
      <w:start w:val="1"/>
    </w:lvl>
  </w:abstractNum>
  <w:abstractNum w:abstractNumId="63">
    <w:nsid w:val="661E3F1E"/>
    <w:multiLevelType w:val="hybridMultilevel"/>
    <w:lvl w:ilvl="0">
      <w:lvlJc w:val="left"/>
      <w:lvlText w:val="%1"/>
      <w:numFmt w:val="decimal"/>
      <w:start w:val="46"/>
    </w:lvl>
  </w:abstractNum>
  <w:abstractNum w:abstractNumId="64">
    <w:nsid w:val="5DC79EA8"/>
    <w:multiLevelType w:val="hybridMultilevel"/>
    <w:lvl w:ilvl="0">
      <w:lvlJc w:val="left"/>
      <w:lvlText w:val="%1"/>
      <w:numFmt w:val="decimal"/>
      <w:start w:val="48"/>
    </w:lvl>
  </w:abstractNum>
  <w:abstractNum w:abstractNumId="65">
    <w:nsid w:val="540A471C"/>
    <w:multiLevelType w:val="hybridMultilevel"/>
    <w:lvl w:ilvl="0">
      <w:lvlJc w:val="left"/>
      <w:lvlText w:val="%1"/>
      <w:numFmt w:val="decimal"/>
      <w:start w:val="49"/>
    </w:lvl>
  </w:abstractNum>
  <w:abstractNum w:abstractNumId="66">
    <w:nsid w:val="7BD3EE7B"/>
    <w:multiLevelType w:val="hybridMultilevel"/>
    <w:lvl w:ilvl="0">
      <w:lvlJc w:val="left"/>
      <w:lvlText w:val="%1"/>
      <w:numFmt w:val="decimal"/>
      <w:start w:val="50"/>
    </w:lvl>
  </w:abstractNum>
  <w:abstractNum w:abstractNumId="67">
    <w:nsid w:val="51D9C564"/>
    <w:multiLevelType w:val="hybridMultilevel"/>
    <w:lvl w:ilvl="0">
      <w:lvlJc w:val="left"/>
      <w:lvlText w:val="%1"/>
      <w:numFmt w:val="decimal"/>
      <w:start w:val="51"/>
    </w:lvl>
  </w:abstractNum>
  <w:abstractNum w:abstractNumId="68">
    <w:nsid w:val="613EFDC5"/>
    <w:multiLevelType w:val="hybridMultilevel"/>
    <w:lvl w:ilvl="0">
      <w:lvlJc w:val="left"/>
      <w:lvlText w:val="%1"/>
      <w:numFmt w:val="decimal"/>
      <w:start w:val="52"/>
    </w:lvl>
  </w:abstractNum>
  <w:abstractNum w:abstractNumId="69">
    <w:nsid w:val="BF72B14"/>
    <w:multiLevelType w:val="hybridMultilevel"/>
    <w:lvl w:ilvl="0">
      <w:lvlJc w:val="left"/>
      <w:lvlText w:val="%1"/>
      <w:numFmt w:val="decimal"/>
      <w:start w:val="53"/>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decimal"/>
      <w:start w:val="54"/>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55"/>
    </w:lvl>
  </w:abstractNum>
  <w:abstractNum w:abstractNumId="74">
    <w:nsid w:val="1A32234B"/>
    <w:multiLevelType w:val="hybridMultilevel"/>
    <w:lvl w:ilvl="0">
      <w:lvlJc w:val="left"/>
      <w:lvlText w:val="%1"/>
      <w:numFmt w:val="decimal"/>
      <w:start w:val="56"/>
    </w:lvl>
  </w:abstractNum>
  <w:abstractNum w:abstractNumId="75">
    <w:nsid w:val="3B0FD379"/>
    <w:multiLevelType w:val="hybridMultilevel"/>
    <w:lvl w:ilvl="0">
      <w:lvlJc w:val="left"/>
      <w:lvlText w:val="%1"/>
      <w:numFmt w:val="decimal"/>
      <w:start w:val="57"/>
    </w:lvl>
  </w:abstractNum>
  <w:abstractNum w:abstractNumId="76">
    <w:nsid w:val="68EB2F63"/>
    <w:multiLevelType w:val="hybridMultilevel"/>
    <w:lvl w:ilvl="0">
      <w:lvlJc w:val="left"/>
      <w:lvlText w:val="%1"/>
      <w:numFmt w:val="decimal"/>
      <w:start w:val="58"/>
    </w:lvl>
  </w:abstractNum>
  <w:abstractNum w:abstractNumId="77">
    <w:nsid w:val="4962813B"/>
    <w:multiLevelType w:val="hybridMultilevel"/>
    <w:lvl w:ilvl="0">
      <w:lvlJc w:val="left"/>
      <w:lvlText w:val="%1"/>
      <w:numFmt w:val="decimal"/>
      <w:start w:val="59"/>
    </w:lvl>
  </w:abstractNum>
  <w:abstractNum w:abstractNumId="78">
    <w:nsid w:val="60B6DF70"/>
    <w:multiLevelType w:val="hybridMultilevel"/>
    <w:lvl w:ilvl="0">
      <w:lvlJc w:val="left"/>
      <w:lvlText w:val="%1"/>
      <w:numFmt w:val="decimal"/>
      <w:start w:val="60"/>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4" Type="http://schemas.openxmlformats.org/officeDocument/2006/relationships/hyperlink" Target="https://www.sec.gov/Archives/edgar/data/773840/000119312524174346/d447517dex101.htm" TargetMode="External"/><Relationship Id="rId85" Type="http://schemas.openxmlformats.org/officeDocument/2006/relationships/hyperlink" Target="https://www.sec.gov/Archives/edgar/data/773840/000119312524199003/d7433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2024-10-24T08:48:04Z</dcterms:created>
  <dcterms:modified xsi:type="dcterms:W3CDTF">2024-10-24T08:48:04Z</dcterms:modified>
</cp:coreProperties>
</file>