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583519.xml.htm"/>
      <w:bookmarkStart w:id="1" w:name="kswkform4_178458351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Masso James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855 S. MINT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CHARLOTTE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28202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HONEYWELL INTERNATIONAL INC</w:t>
              </w:r>
            </w:hyperlink>
            <w:r>
              <w:rPr/>
              <w:t xml:space="preserve"> [ </w:t>
            </w:r>
            <w:r>
              <w:rPr>
                <w:rFonts w:ascii="Times;serif" w:hAnsi="Times;serif"/>
                <w:color w:val="0000FF"/>
                <w:sz w:val="24"/>
                <w:shd w:fill="FFFFFF" w:val="clear"/>
              </w:rPr>
              <w:t>HON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Pres/CEO, Process Automation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67"/>
        <w:gridCol w:w="903"/>
        <w:gridCol w:w="772"/>
        <w:gridCol w:w="600"/>
        <w:gridCol w:w="352"/>
        <w:gridCol w:w="898"/>
        <w:gridCol w:w="463"/>
        <w:gridCol w:w="636"/>
        <w:gridCol w:w="1178"/>
        <w:gridCol w:w="1008"/>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07/16/2026</w:t>
            </w:r>
            <w:r>
              <w:rPr>
                <w:rFonts w:ascii="Times;serif" w:hAnsi="Times;serif"/>
                <w:color w:val="008000"/>
                <w:position w:val="7"/>
                <w:sz w:val="16"/>
                <w:sz w:val="20"/>
                <w:shd w:fill="FFFFFF" w:val="clear"/>
              </w:rPr>
              <w:t>(1)</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1,879</w:t>
            </w:r>
            <w:r>
              <w:rPr>
                <w:rFonts w:ascii="Times;serif" w:hAnsi="Times;serif"/>
                <w:color w:val="008000"/>
                <w:position w:val="7"/>
                <w:sz w:val="16"/>
                <w:sz w:val="20"/>
                <w:shd w:fill="FFFFFF" w:val="clear"/>
              </w:rPr>
              <w:t>(2)</w:t>
            </w:r>
          </w:p>
        </w:tc>
        <w:tc>
          <w:tcPr>
            <w:tcW w:w="4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1,879</w:t>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07/16/2026</w:t>
            </w:r>
            <w:r>
              <w:rPr>
                <w:rFonts w:ascii="Times;serif" w:hAnsi="Times;serif"/>
                <w:color w:val="008000"/>
                <w:position w:val="7"/>
                <w:sz w:val="16"/>
                <w:sz w:val="20"/>
                <w:shd w:fill="FFFFFF" w:val="clear"/>
              </w:rPr>
              <w:t>(1)</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620</w:t>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224</w:t>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1,259</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8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66"/>
        <w:gridCol w:w="906"/>
        <w:gridCol w:w="801"/>
        <w:gridCol w:w="891"/>
        <w:gridCol w:w="741"/>
        <w:gridCol w:w="801"/>
        <w:gridCol w:w="936"/>
        <w:gridCol w:w="831"/>
        <w:gridCol w:w="846"/>
      </w:tblGrid>
      <w:tr>
        <w:trPr>
          <w:tblHeader w:val="true"/>
        </w:trPr>
        <w:tc>
          <w:tcPr>
            <w:tcW w:w="1208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3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7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07/16/2026</w:t>
            </w:r>
            <w:r>
              <w:rPr>
                <w:rFonts w:ascii="Times;serif" w:hAnsi="Times;serif"/>
                <w:color w:val="008000"/>
                <w:position w:val="7"/>
                <w:sz w:val="16"/>
                <w:sz w:val="20"/>
                <w:shd w:fill="FFFFFF" w:val="clear"/>
              </w:rPr>
              <w:t>(1)</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1,879</w:t>
            </w:r>
            <w:r>
              <w:rPr>
                <w:rFonts w:ascii="Times;serif" w:hAnsi="Times;serif"/>
                <w:color w:val="008000"/>
                <w:position w:val="7"/>
                <w:sz w:val="16"/>
                <w:sz w:val="20"/>
                <w:shd w:fill="FFFFFF" w:val="clear"/>
              </w:rPr>
              <w:t>(2)(4)</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7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1,879</w:t>
            </w:r>
            <w:r>
              <w:rPr>
                <w:rFonts w:ascii="Times;serif" w:hAnsi="Times;serif"/>
                <w:color w:val="008000"/>
                <w:position w:val="7"/>
                <w:sz w:val="16"/>
                <w:sz w:val="20"/>
                <w:shd w:fill="FFFFFF" w:val="clear"/>
              </w:rPr>
              <w:t>(2)(4)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3,733</w:t>
            </w:r>
            <w:r>
              <w:rPr>
                <w:rFonts w:ascii="Times;serif" w:hAnsi="Times;serif"/>
                <w:color w:val="008000"/>
                <w:position w:val="7"/>
                <w:sz w:val="16"/>
                <w:sz w:val="20"/>
                <w:shd w:fill="FFFFFF" w:val="clear"/>
              </w:rPr>
              <w:t>(5)(6)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settlement of restricted stock units granted under the 2016 Stock Incentive Plan of Honeywell International Inc. and its Affiliates that vested on July 14, 2026. The transaction date reported, July 16, 2026, is the date on which the blackout period ended following the successful completion of the spin-off of Honeywell Aerospace Inc. ("Honeywell Aerospace") from Honeywell International Inc. ("Honeywell Technologies") on June 29,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units were adjusted to reflect the spin-off of Honeywell Aerospace from Honeywell Technologies and further adjusted to reflect the reverse stock split of Honeywell Technologies.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Instrument converts 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the reinvestment of dividend equivalents into 40 additional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restricted stock units were granted under the 2016 Stock Incentive Plan of Honeywell International Inc. and its Affiliates with 1,839 units vesting on July 14, 2027 and 1,894 units vesting on July 14, 2028. The units were adjusted to reflect the spin-off of Honeywell Aerospace from Honeywell Technologies on June 29, 2026 and further adjusted to reflect the reverse stock split of Honeywell Technologies.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Excludes reinvestment of dividend equivalents during the vesting period.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Richard Kent for James Masso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77291" TargetMode="External"/><Relationship Id="rId5" Type="http://schemas.openxmlformats.org/officeDocument/2006/relationships/hyperlink" Target="http://www.sec.gov/cgi-bin/browse-edgar?action=getcompany&amp;CIK=000077384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780</Words>
  <Characters>4297</Characters>
  <CharactersWithSpaces>4984</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