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Washington, D.C. 20549</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 10-Q</w:t>
      </w:r>
    </w:p>
    <w:p>
      <w:pPr>
        <w:spacing w:after="0" w:line="20" w:lineRule="exact"/>
        <w:rPr>
          <w:sz w:val="24"/>
          <w:szCs w:val="24"/>
          <w:color w:val="auto"/>
        </w:rPr>
      </w:pPr>
    </w:p>
    <w:p>
      <w:pPr>
        <w:ind w:left="5140"/>
        <w:spacing w:after="0"/>
        <w:rPr>
          <w:sz w:val="20"/>
          <w:szCs w:val="20"/>
          <w:color w:val="auto"/>
        </w:rPr>
      </w:pPr>
      <w:r>
        <w:rPr>
          <w:rFonts w:ascii="Arial" w:cs="Arial" w:eastAsia="Arial" w:hAnsi="Arial"/>
          <w:sz w:val="12"/>
          <w:szCs w:val="12"/>
          <w:color w:val="auto"/>
        </w:rPr>
        <w:t>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x QUARTERLY REPORT PURSUANT TO SECTION 13 OR 15(d)</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OF THE SECURITIES EXCHANGE ACT OF 1934</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For the quarterly period ended </w:t>
      </w:r>
      <w:r>
        <w:rPr>
          <w:rFonts w:ascii="Arial" w:cs="Arial" w:eastAsia="Arial" w:hAnsi="Arial"/>
          <w:sz w:val="12"/>
          <w:szCs w:val="12"/>
          <w:u w:val="single" w:color="auto"/>
          <w:color w:val="auto"/>
        </w:rPr>
        <w:t>March 31, 2019</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OR</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o TRANSITION REPORT PURSUANT TO SECTION 13 OR 15(d)</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OF THE SECURITIES EXCHANGE ACT OF 1934</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For the transition period from ______ to _____</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 xml:space="preserve">Commission file number </w:t>
      </w:r>
      <w:r>
        <w:rPr>
          <w:rFonts w:ascii="Arial" w:cs="Arial" w:eastAsia="Arial" w:hAnsi="Arial"/>
          <w:sz w:val="12"/>
          <w:szCs w:val="12"/>
          <w:u w:val="single" w:color="auto"/>
          <w:color w:val="auto"/>
        </w:rPr>
        <w:t>1-8974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132" w:lineRule="exact"/>
        <w:rPr>
          <w:sz w:val="24"/>
          <w:szCs w:val="24"/>
          <w:color w:val="auto"/>
        </w:rPr>
      </w:pPr>
    </w:p>
    <w:tbl>
      <w:tblPr>
        <w:tblLayout w:type="fixed"/>
        <w:tblInd w:w="1200" w:type="dxa"/>
        <w:tblCellMar>
          <w:top w:w="0" w:type="dxa"/>
          <w:left w:w="0" w:type="dxa"/>
          <w:bottom w:w="0" w:type="dxa"/>
          <w:right w:w="0" w:type="dxa"/>
        </w:tblCellMar>
      </w:tblPr>
      <w:tr>
        <w:trPr>
          <w:trHeight w:val="149"/>
        </w:trPr>
        <w:tc>
          <w:tcPr>
            <w:tcW w:w="62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jc w:val="center"/>
              <w:ind w:right="540"/>
              <w:spacing w:after="0"/>
              <w:rPr>
                <w:sz w:val="20"/>
                <w:szCs w:val="20"/>
                <w:color w:val="auto"/>
              </w:rPr>
            </w:pPr>
            <w:r>
              <w:rPr>
                <w:rFonts w:ascii="Arial" w:cs="Arial" w:eastAsia="Arial" w:hAnsi="Arial"/>
                <w:sz w:val="12"/>
                <w:szCs w:val="12"/>
                <w:color w:val="auto"/>
                <w:w w:val="98"/>
              </w:rPr>
              <w:t>Delaware</w:t>
            </w:r>
          </w:p>
        </w:tc>
        <w:tc>
          <w:tcPr>
            <w:tcW w:w="100" w:type="dxa"/>
            <w:vAlign w:val="bottom"/>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jc w:val="right"/>
              <w:ind w:right="1260"/>
              <w:spacing w:after="0"/>
              <w:rPr>
                <w:sz w:val="20"/>
                <w:szCs w:val="20"/>
                <w:color w:val="auto"/>
              </w:rPr>
            </w:pPr>
            <w:r>
              <w:rPr>
                <w:rFonts w:ascii="Arial" w:cs="Arial" w:eastAsia="Arial" w:hAnsi="Arial"/>
                <w:sz w:val="12"/>
                <w:szCs w:val="12"/>
                <w:color w:val="auto"/>
              </w:rPr>
              <w:t>22-2640650</w:t>
            </w:r>
          </w:p>
        </w:tc>
        <w:tc>
          <w:tcPr>
            <w:tcW w:w="620" w:type="dxa"/>
            <w:vAlign w:val="bottom"/>
            <w:tcBorders>
              <w:bottom w:val="single" w:sz="8" w:color="auto"/>
            </w:tcBorders>
          </w:tcPr>
          <w:p>
            <w:pPr>
              <w:spacing w:after="0"/>
              <w:rPr>
                <w:sz w:val="12"/>
                <w:szCs w:val="12"/>
                <w:color w:val="auto"/>
              </w:rPr>
            </w:pPr>
          </w:p>
        </w:tc>
      </w:tr>
      <w:tr>
        <w:trPr>
          <w:trHeight w:val="146"/>
        </w:trPr>
        <w:tc>
          <w:tcPr>
            <w:tcW w:w="620" w:type="dxa"/>
            <w:vAlign w:val="bottom"/>
          </w:tcPr>
          <w:p>
            <w:pPr>
              <w:spacing w:after="0"/>
              <w:rPr>
                <w:sz w:val="12"/>
                <w:szCs w:val="12"/>
                <w:color w:val="auto"/>
              </w:rPr>
            </w:pPr>
          </w:p>
        </w:tc>
        <w:tc>
          <w:tcPr>
            <w:tcW w:w="5520" w:type="dxa"/>
            <w:vAlign w:val="bottom"/>
            <w:gridSpan w:val="3"/>
          </w:tcPr>
          <w:p>
            <w:pPr>
              <w:jc w:val="center"/>
              <w:ind w:right="2300"/>
              <w:spacing w:after="0"/>
              <w:rPr>
                <w:sz w:val="20"/>
                <w:szCs w:val="20"/>
                <w:color w:val="auto"/>
              </w:rPr>
            </w:pPr>
            <w:r>
              <w:rPr>
                <w:rFonts w:ascii="Arial" w:cs="Arial" w:eastAsia="Arial" w:hAnsi="Arial"/>
                <w:sz w:val="12"/>
                <w:szCs w:val="12"/>
                <w:color w:val="auto"/>
                <w:w w:val="99"/>
              </w:rPr>
              <w:t>(State or other jurisdiction of</w:t>
            </w:r>
          </w:p>
        </w:tc>
        <w:tc>
          <w:tcPr>
            <w:tcW w:w="2920" w:type="dxa"/>
            <w:vAlign w:val="bottom"/>
            <w:gridSpan w:val="2"/>
          </w:tcPr>
          <w:p>
            <w:pPr>
              <w:jc w:val="center"/>
              <w:ind w:right="1600"/>
              <w:spacing w:after="0"/>
              <w:rPr>
                <w:sz w:val="20"/>
                <w:szCs w:val="20"/>
                <w:color w:val="auto"/>
              </w:rPr>
            </w:pPr>
            <w:r>
              <w:rPr>
                <w:rFonts w:ascii="Arial" w:cs="Arial" w:eastAsia="Arial" w:hAnsi="Arial"/>
                <w:sz w:val="12"/>
                <w:szCs w:val="12"/>
                <w:color w:val="auto"/>
                <w:w w:val="99"/>
              </w:rPr>
              <w:t>(I.R.S. Employer</w:t>
            </w:r>
          </w:p>
        </w:tc>
      </w:tr>
      <w:tr>
        <w:trPr>
          <w:trHeight w:val="145"/>
        </w:trPr>
        <w:tc>
          <w:tcPr>
            <w:tcW w:w="620" w:type="dxa"/>
            <w:vAlign w:val="bottom"/>
          </w:tcPr>
          <w:p>
            <w:pPr>
              <w:spacing w:after="0"/>
              <w:rPr>
                <w:sz w:val="12"/>
                <w:szCs w:val="12"/>
                <w:color w:val="auto"/>
              </w:rPr>
            </w:pPr>
          </w:p>
        </w:tc>
        <w:tc>
          <w:tcPr>
            <w:tcW w:w="5520" w:type="dxa"/>
            <w:vAlign w:val="bottom"/>
            <w:gridSpan w:val="3"/>
          </w:tcPr>
          <w:p>
            <w:pPr>
              <w:jc w:val="center"/>
              <w:ind w:right="2320"/>
              <w:spacing w:after="0"/>
              <w:rPr>
                <w:sz w:val="20"/>
                <w:szCs w:val="20"/>
                <w:color w:val="auto"/>
              </w:rPr>
            </w:pPr>
            <w:r>
              <w:rPr>
                <w:rFonts w:ascii="Arial" w:cs="Arial" w:eastAsia="Arial" w:hAnsi="Arial"/>
                <w:sz w:val="12"/>
                <w:szCs w:val="12"/>
                <w:color w:val="auto"/>
                <w:w w:val="99"/>
              </w:rPr>
              <w:t>incorporation or organization)</w:t>
            </w:r>
          </w:p>
        </w:tc>
        <w:tc>
          <w:tcPr>
            <w:tcW w:w="2920" w:type="dxa"/>
            <w:vAlign w:val="bottom"/>
            <w:gridSpan w:val="2"/>
          </w:tcPr>
          <w:p>
            <w:pPr>
              <w:jc w:val="center"/>
              <w:ind w:right="1600"/>
              <w:spacing w:after="0"/>
              <w:rPr>
                <w:sz w:val="20"/>
                <w:szCs w:val="20"/>
                <w:color w:val="auto"/>
              </w:rPr>
            </w:pPr>
            <w:r>
              <w:rPr>
                <w:rFonts w:ascii="Arial" w:cs="Arial" w:eastAsia="Arial" w:hAnsi="Arial"/>
                <w:sz w:val="12"/>
                <w:szCs w:val="12"/>
                <w:color w:val="auto"/>
                <w:w w:val="98"/>
              </w:rPr>
              <w:t>Identification No.)</w:t>
            </w:r>
          </w:p>
        </w:tc>
      </w:tr>
      <w:tr>
        <w:trPr>
          <w:trHeight w:val="243"/>
        </w:trPr>
        <w:tc>
          <w:tcPr>
            <w:tcW w:w="620" w:type="dxa"/>
            <w:vAlign w:val="bottom"/>
          </w:tcPr>
          <w:p>
            <w:pPr>
              <w:spacing w:after="0"/>
              <w:rPr>
                <w:sz w:val="21"/>
                <w:szCs w:val="21"/>
                <w:color w:val="auto"/>
              </w:rPr>
            </w:pPr>
          </w:p>
        </w:tc>
        <w:tc>
          <w:tcPr>
            <w:tcW w:w="5520" w:type="dxa"/>
            <w:vAlign w:val="bottom"/>
            <w:gridSpan w:val="3"/>
          </w:tcPr>
          <w:p>
            <w:pPr>
              <w:jc w:val="center"/>
              <w:ind w:right="2300"/>
              <w:spacing w:after="0"/>
              <w:rPr>
                <w:sz w:val="20"/>
                <w:szCs w:val="20"/>
                <w:color w:val="auto"/>
              </w:rPr>
            </w:pPr>
            <w:r>
              <w:rPr>
                <w:rFonts w:ascii="Arial" w:cs="Arial" w:eastAsia="Arial" w:hAnsi="Arial"/>
                <w:sz w:val="12"/>
                <w:szCs w:val="12"/>
                <w:color w:val="auto"/>
                <w:w w:val="99"/>
              </w:rPr>
              <w:t>115 Tabor Road</w:t>
            </w:r>
          </w:p>
        </w:tc>
        <w:tc>
          <w:tcPr>
            <w:tcW w:w="23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149"/>
        </w:trPr>
        <w:tc>
          <w:tcPr>
            <w:tcW w:w="62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ind w:left="880"/>
              <w:spacing w:after="0"/>
              <w:rPr>
                <w:sz w:val="20"/>
                <w:szCs w:val="20"/>
                <w:color w:val="auto"/>
              </w:rPr>
            </w:pPr>
            <w:r>
              <w:rPr>
                <w:rFonts w:ascii="Arial" w:cs="Arial" w:eastAsia="Arial" w:hAnsi="Arial"/>
                <w:sz w:val="12"/>
                <w:szCs w:val="12"/>
                <w:color w:val="auto"/>
              </w:rPr>
              <w:t>Morris Plains, New Jersey</w:t>
            </w:r>
          </w:p>
        </w:tc>
        <w:tc>
          <w:tcPr>
            <w:tcW w:w="100" w:type="dxa"/>
            <w:vAlign w:val="bottom"/>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jc w:val="right"/>
              <w:ind w:right="1420"/>
              <w:spacing w:after="0"/>
              <w:rPr>
                <w:sz w:val="20"/>
                <w:szCs w:val="20"/>
                <w:color w:val="auto"/>
              </w:rPr>
            </w:pPr>
            <w:r>
              <w:rPr>
                <w:rFonts w:ascii="Arial" w:cs="Arial" w:eastAsia="Arial" w:hAnsi="Arial"/>
                <w:sz w:val="12"/>
                <w:szCs w:val="12"/>
                <w:color w:val="auto"/>
              </w:rPr>
              <w:t>07950</w:t>
            </w:r>
          </w:p>
        </w:tc>
        <w:tc>
          <w:tcPr>
            <w:tcW w:w="620" w:type="dxa"/>
            <w:vAlign w:val="bottom"/>
            <w:tcBorders>
              <w:bottom w:val="single" w:sz="8" w:color="auto"/>
            </w:tcBorders>
          </w:tcPr>
          <w:p>
            <w:pPr>
              <w:spacing w:after="0"/>
              <w:rPr>
                <w:sz w:val="12"/>
                <w:szCs w:val="12"/>
                <w:color w:val="auto"/>
              </w:rPr>
            </w:pPr>
          </w:p>
        </w:tc>
      </w:tr>
      <w:tr>
        <w:trPr>
          <w:trHeight w:val="156"/>
        </w:trPr>
        <w:tc>
          <w:tcPr>
            <w:tcW w:w="620" w:type="dxa"/>
            <w:vAlign w:val="bottom"/>
          </w:tcPr>
          <w:p>
            <w:pPr>
              <w:spacing w:after="0"/>
              <w:rPr>
                <w:sz w:val="13"/>
                <w:szCs w:val="13"/>
                <w:color w:val="auto"/>
              </w:rPr>
            </w:pPr>
          </w:p>
        </w:tc>
        <w:tc>
          <w:tcPr>
            <w:tcW w:w="5520" w:type="dxa"/>
            <w:vAlign w:val="bottom"/>
            <w:gridSpan w:val="3"/>
          </w:tcPr>
          <w:p>
            <w:pPr>
              <w:jc w:val="center"/>
              <w:ind w:right="2300"/>
              <w:spacing w:after="0"/>
              <w:rPr>
                <w:sz w:val="20"/>
                <w:szCs w:val="20"/>
                <w:color w:val="auto"/>
              </w:rPr>
            </w:pPr>
            <w:r>
              <w:rPr>
                <w:rFonts w:ascii="Arial" w:cs="Arial" w:eastAsia="Arial" w:hAnsi="Arial"/>
                <w:sz w:val="12"/>
                <w:szCs w:val="12"/>
                <w:color w:val="auto"/>
              </w:rPr>
              <w:t>(Address of principal executive offices)</w:t>
            </w:r>
          </w:p>
        </w:tc>
        <w:tc>
          <w:tcPr>
            <w:tcW w:w="2920" w:type="dxa"/>
            <w:vAlign w:val="bottom"/>
            <w:gridSpan w:val="2"/>
          </w:tcPr>
          <w:p>
            <w:pPr>
              <w:jc w:val="center"/>
              <w:ind w:right="1600"/>
              <w:spacing w:after="0"/>
              <w:rPr>
                <w:sz w:val="20"/>
                <w:szCs w:val="20"/>
                <w:color w:val="auto"/>
              </w:rPr>
            </w:pPr>
            <w:r>
              <w:rPr>
                <w:rFonts w:ascii="Arial" w:cs="Arial" w:eastAsia="Arial" w:hAnsi="Arial"/>
                <w:sz w:val="12"/>
                <w:szCs w:val="12"/>
                <w:color w:val="auto"/>
                <w:w w:val="98"/>
              </w:rPr>
              <w:t>(Zip Code)</w:t>
            </w:r>
          </w:p>
        </w:tc>
      </w:tr>
      <w:tr>
        <w:trPr>
          <w:trHeight w:val="275"/>
        </w:trPr>
        <w:tc>
          <w:tcPr>
            <w:tcW w:w="6140" w:type="dxa"/>
            <w:vAlign w:val="bottom"/>
            <w:gridSpan w:val="4"/>
          </w:tcPr>
          <w:p>
            <w:pPr>
              <w:jc w:val="center"/>
              <w:ind w:left="2860"/>
              <w:spacing w:after="0"/>
              <w:rPr>
                <w:sz w:val="20"/>
                <w:szCs w:val="20"/>
                <w:color w:val="auto"/>
              </w:rPr>
            </w:pPr>
            <w:r>
              <w:rPr>
                <w:rFonts w:ascii="Arial" w:cs="Arial" w:eastAsia="Arial" w:hAnsi="Arial"/>
                <w:sz w:val="12"/>
                <w:szCs w:val="12"/>
                <w:color w:val="auto"/>
                <w:w w:val="99"/>
              </w:rPr>
              <w:t>(973) 455-2000</w:t>
            </w:r>
          </w:p>
        </w:tc>
        <w:tc>
          <w:tcPr>
            <w:tcW w:w="23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56"/>
        </w:trPr>
        <w:tc>
          <w:tcPr>
            <w:tcW w:w="620" w:type="dxa"/>
            <w:vAlign w:val="bottom"/>
          </w:tcPr>
          <w:p>
            <w:pPr>
              <w:spacing w:after="0"/>
              <w:rPr>
                <w:sz w:val="13"/>
                <w:szCs w:val="13"/>
                <w:color w:val="auto"/>
              </w:rPr>
            </w:pPr>
          </w:p>
        </w:tc>
        <w:tc>
          <w:tcPr>
            <w:tcW w:w="5520" w:type="dxa"/>
            <w:vAlign w:val="bottom"/>
            <w:tcBorders>
              <w:top w:val="single" w:sz="8" w:color="auto"/>
            </w:tcBorders>
            <w:gridSpan w:val="3"/>
          </w:tcPr>
          <w:p>
            <w:pPr>
              <w:jc w:val="center"/>
              <w:ind w:left="2240"/>
              <w:spacing w:after="0"/>
              <w:rPr>
                <w:sz w:val="20"/>
                <w:szCs w:val="20"/>
                <w:color w:val="auto"/>
              </w:rPr>
            </w:pPr>
            <w:r>
              <w:rPr>
                <w:rFonts w:ascii="Arial" w:cs="Arial" w:eastAsia="Arial" w:hAnsi="Arial"/>
                <w:sz w:val="12"/>
                <w:szCs w:val="12"/>
                <w:color w:val="auto"/>
                <w:w w:val="99"/>
              </w:rPr>
              <w:t>(Registrant’s telephone number, including area code)</w:t>
            </w:r>
          </w:p>
        </w:tc>
        <w:tc>
          <w:tcPr>
            <w:tcW w:w="23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r>
      <w:tr>
        <w:trPr>
          <w:trHeight w:val="266"/>
        </w:trPr>
        <w:tc>
          <w:tcPr>
            <w:tcW w:w="620" w:type="dxa"/>
            <w:vAlign w:val="bottom"/>
          </w:tcPr>
          <w:p>
            <w:pPr>
              <w:spacing w:after="0"/>
              <w:rPr>
                <w:sz w:val="23"/>
                <w:szCs w:val="23"/>
                <w:color w:val="auto"/>
              </w:rPr>
            </w:pPr>
          </w:p>
        </w:tc>
        <w:tc>
          <w:tcPr>
            <w:tcW w:w="5520" w:type="dxa"/>
            <w:vAlign w:val="bottom"/>
            <w:tcBorders>
              <w:bottom w:val="single" w:sz="8" w:color="auto"/>
            </w:tcBorders>
            <w:gridSpan w:val="3"/>
          </w:tcPr>
          <w:p>
            <w:pPr>
              <w:jc w:val="center"/>
              <w:ind w:left="2240"/>
              <w:spacing w:after="0"/>
              <w:rPr>
                <w:sz w:val="20"/>
                <w:szCs w:val="20"/>
                <w:color w:val="auto"/>
              </w:rPr>
            </w:pPr>
            <w:r>
              <w:rPr>
                <w:rFonts w:ascii="Arial" w:cs="Arial" w:eastAsia="Arial" w:hAnsi="Arial"/>
                <w:sz w:val="12"/>
                <w:szCs w:val="12"/>
                <w:color w:val="auto"/>
              </w:rPr>
              <w:t>Not Applicable</w:t>
            </w:r>
          </w:p>
        </w:tc>
        <w:tc>
          <w:tcPr>
            <w:tcW w:w="2300" w:type="dxa"/>
            <w:vAlign w:val="bottom"/>
            <w:tcBorders>
              <w:bottom w:val="single" w:sz="8" w:color="auto"/>
            </w:tcBorders>
          </w:tcPr>
          <w:p>
            <w:pPr>
              <w:spacing w:after="0"/>
              <w:rPr>
                <w:sz w:val="23"/>
                <w:szCs w:val="23"/>
                <w:color w:val="auto"/>
              </w:rPr>
            </w:pPr>
          </w:p>
        </w:tc>
        <w:tc>
          <w:tcPr>
            <w:tcW w:w="620" w:type="dxa"/>
            <w:vAlign w:val="bottom"/>
          </w:tcPr>
          <w:p>
            <w:pPr>
              <w:spacing w:after="0"/>
              <w:rPr>
                <w:sz w:val="23"/>
                <w:szCs w:val="23"/>
                <w:color w:val="auto"/>
              </w:rPr>
            </w:pPr>
          </w:p>
        </w:tc>
      </w:tr>
      <w:tr>
        <w:trPr>
          <w:trHeight w:val="146"/>
        </w:trPr>
        <w:tc>
          <w:tcPr>
            <w:tcW w:w="620" w:type="dxa"/>
            <w:vAlign w:val="bottom"/>
          </w:tcPr>
          <w:p>
            <w:pPr>
              <w:spacing w:after="0"/>
              <w:rPr>
                <w:sz w:val="12"/>
                <w:szCs w:val="12"/>
                <w:color w:val="auto"/>
              </w:rPr>
            </w:pPr>
          </w:p>
        </w:tc>
        <w:tc>
          <w:tcPr>
            <w:tcW w:w="5520" w:type="dxa"/>
            <w:vAlign w:val="bottom"/>
            <w:gridSpan w:val="3"/>
          </w:tcPr>
          <w:p>
            <w:pPr>
              <w:jc w:val="center"/>
              <w:ind w:left="2240"/>
              <w:spacing w:after="0"/>
              <w:rPr>
                <w:sz w:val="20"/>
                <w:szCs w:val="20"/>
                <w:color w:val="auto"/>
              </w:rPr>
            </w:pPr>
            <w:r>
              <w:rPr>
                <w:rFonts w:ascii="Arial" w:cs="Arial" w:eastAsia="Arial" w:hAnsi="Arial"/>
                <w:sz w:val="12"/>
                <w:szCs w:val="12"/>
                <w:color w:val="auto"/>
              </w:rPr>
              <w:t>(Former name, former address and former fiscal year,</w:t>
            </w:r>
          </w:p>
        </w:tc>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5"/>
        </w:trPr>
        <w:tc>
          <w:tcPr>
            <w:tcW w:w="620" w:type="dxa"/>
            <w:vAlign w:val="bottom"/>
          </w:tcPr>
          <w:p>
            <w:pPr>
              <w:spacing w:after="0"/>
              <w:rPr>
                <w:sz w:val="12"/>
                <w:szCs w:val="12"/>
                <w:color w:val="auto"/>
              </w:rPr>
            </w:pPr>
          </w:p>
        </w:tc>
        <w:tc>
          <w:tcPr>
            <w:tcW w:w="5520" w:type="dxa"/>
            <w:vAlign w:val="bottom"/>
            <w:gridSpan w:val="3"/>
          </w:tcPr>
          <w:p>
            <w:pPr>
              <w:jc w:val="center"/>
              <w:ind w:left="2260"/>
              <w:spacing w:after="0"/>
              <w:rPr>
                <w:sz w:val="20"/>
                <w:szCs w:val="20"/>
                <w:color w:val="auto"/>
              </w:rPr>
            </w:pPr>
            <w:r>
              <w:rPr>
                <w:rFonts w:ascii="Arial" w:cs="Arial" w:eastAsia="Arial" w:hAnsi="Arial"/>
                <w:sz w:val="12"/>
                <w:szCs w:val="12"/>
                <w:color w:val="auto"/>
              </w:rPr>
              <w:t>if changed since last report)</w:t>
            </w:r>
          </w:p>
        </w:tc>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r>
    </w:tbl>
    <w:p>
      <w:pPr>
        <w:spacing w:after="0" w:line="81" w:lineRule="exact"/>
        <w:rPr>
          <w:sz w:val="24"/>
          <w:szCs w:val="24"/>
          <w:color w:val="auto"/>
        </w:rPr>
      </w:pPr>
    </w:p>
    <w:p>
      <w:pPr>
        <w:spacing w:after="0" w:line="262"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59" w:lineRule="exact"/>
        <w:rPr>
          <w:sz w:val="24"/>
          <w:szCs w:val="24"/>
          <w:color w:val="auto"/>
        </w:rPr>
      </w:pPr>
    </w:p>
    <w:p>
      <w:pPr>
        <w:spacing w:after="0" w:line="262"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9" w:lineRule="exact"/>
        <w:rPr>
          <w:sz w:val="24"/>
          <w:szCs w:val="24"/>
          <w:color w:val="auto"/>
        </w:rPr>
      </w:pPr>
    </w:p>
    <w:p>
      <w:pPr>
        <w:spacing w:after="0" w:line="26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80"/>
          </w:cols>
          <w:pgMar w:left="220" w:top="211" w:right="199" w:bottom="1440" w:gutter="0" w:footer="0" w:header="0"/>
        </w:sectPr>
      </w:pPr>
    </w:p>
    <w:p>
      <w:pPr>
        <w:spacing w:after="0" w:line="87" w:lineRule="exact"/>
        <w:rPr>
          <w:sz w:val="24"/>
          <w:szCs w:val="24"/>
          <w:color w:val="auto"/>
        </w:rPr>
      </w:pPr>
    </w:p>
    <w:p>
      <w:pPr>
        <w:ind w:left="20"/>
        <w:spacing w:after="0"/>
        <w:rPr>
          <w:sz w:val="20"/>
          <w:szCs w:val="20"/>
          <w:color w:val="auto"/>
        </w:rPr>
      </w:pPr>
      <w:r>
        <w:rPr>
          <w:rFonts w:ascii="Arial" w:cs="Arial" w:eastAsia="Arial" w:hAnsi="Arial"/>
          <w:sz w:val="11"/>
          <w:szCs w:val="11"/>
          <w:color w:val="auto"/>
        </w:rPr>
        <w:t>Large accelerated filer x</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 o</w:t>
      </w:r>
    </w:p>
    <w:p>
      <w:pPr>
        <w:spacing w:after="0" w:line="54" w:lineRule="exact"/>
        <w:rPr>
          <w:sz w:val="24"/>
          <w:szCs w:val="24"/>
          <w:color w:val="auto"/>
        </w:rPr>
      </w:pPr>
    </w:p>
    <w:p>
      <w:pPr>
        <w:sectPr>
          <w:pgSz w:w="11900" w:h="16838" w:orient="portrait"/>
          <w:cols w:equalWidth="0" w:num="2">
            <w:col w:w="6180" w:space="720"/>
            <w:col w:w="4580"/>
          </w:cols>
          <w:pgMar w:left="220" w:top="211" w:right="199" w:bottom="1440" w:gutter="0" w:footer="0" w:header="0"/>
          <w:type w:val="continuous"/>
        </w:sectPr>
      </w:pPr>
    </w:p>
    <w:p>
      <w:pPr>
        <w:ind w:left="20"/>
        <w:spacing w:after="0"/>
        <w:rPr>
          <w:sz w:val="20"/>
          <w:szCs w:val="20"/>
          <w:color w:val="auto"/>
        </w:rPr>
      </w:pPr>
      <w:r>
        <w:rPr>
          <w:rFonts w:ascii="Arial" w:cs="Arial" w:eastAsia="Arial" w:hAnsi="Arial"/>
          <w:sz w:val="11"/>
          <w:szCs w:val="11"/>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Smaller reporting company o</w:t>
      </w:r>
    </w:p>
    <w:p>
      <w:pPr>
        <w:spacing w:after="0" w:line="54" w:lineRule="exact"/>
        <w:rPr>
          <w:sz w:val="24"/>
          <w:szCs w:val="24"/>
          <w:color w:val="auto"/>
        </w:rPr>
      </w:pPr>
    </w:p>
    <w:p>
      <w:pPr>
        <w:sectPr>
          <w:pgSz w:w="11900" w:h="16838" w:orient="portrait"/>
          <w:cols w:equalWidth="0" w:num="2">
            <w:col w:w="6180" w:space="720"/>
            <w:col w:w="4580"/>
          </w:cols>
          <w:pgMar w:left="220" w:top="211" w:right="199" w:bottom="1440" w:gutter="0" w:footer="0" w:header="0"/>
          <w:type w:val="continuous"/>
        </w:sectPr>
      </w:pPr>
    </w:p>
    <w:p>
      <w:pPr>
        <w:ind w:left="6900"/>
        <w:spacing w:after="0"/>
        <w:rPr>
          <w:sz w:val="20"/>
          <w:szCs w:val="20"/>
          <w:color w:val="auto"/>
        </w:rPr>
      </w:pPr>
      <w:r>
        <w:rPr>
          <w:rFonts w:ascii="Arial" w:cs="Arial" w:eastAsia="Arial" w:hAnsi="Arial"/>
          <w:sz w:val="11"/>
          <w:szCs w:val="11"/>
          <w:color w:val="auto"/>
        </w:rPr>
        <w:t>Emerging growth company o</w:t>
      </w:r>
    </w:p>
    <w:p>
      <w:pPr>
        <w:sectPr>
          <w:pgSz w:w="11900" w:h="16838" w:orient="portrait"/>
          <w:cols w:equalWidth="0" w:num="1">
            <w:col w:w="11480"/>
          </w:cols>
          <w:pgMar w:left="220" w:top="211" w:right="199" w:bottom="1440" w:gutter="0" w:footer="0" w:header="0"/>
          <w:type w:val="continuous"/>
        </w:sectPr>
      </w:pPr>
    </w:p>
    <w:p>
      <w:pPr>
        <w:spacing w:after="0" w:line="44" w:lineRule="exact"/>
        <w:rPr>
          <w:sz w:val="24"/>
          <w:szCs w:val="24"/>
          <w:color w:val="auto"/>
        </w:rPr>
      </w:pPr>
    </w:p>
    <w:p>
      <w:pPr>
        <w:ind w:right="20"/>
        <w:spacing w:after="0" w:line="262"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51" w:lineRule="exact"/>
        <w:rPr>
          <w:sz w:val="24"/>
          <w:szCs w:val="24"/>
          <w:color w:val="auto"/>
        </w:rPr>
      </w:pPr>
    </w:p>
    <w:p>
      <w:pPr>
        <w:ind w:right="4800"/>
        <w:spacing w:after="0" w:line="402" w:lineRule="auto"/>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 No x There were 727,742,035 shares of Common Stock outstanding at March 31, 2019.</w:t>
      </w:r>
    </w:p>
    <w:p>
      <w:pPr>
        <w:sectPr>
          <w:pgSz w:w="11900" w:h="16838" w:orient="portrait"/>
          <w:cols w:equalWidth="0" w:num="1">
            <w:col w:w="11480"/>
          </w:cols>
          <w:pgMar w:left="220" w:top="211" w:right="1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Index</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520" w:type="dxa"/>
            <w:vAlign w:val="bottom"/>
            <w:gridSpan w:val="9"/>
          </w:tcPr>
          <w:p>
            <w:pPr>
              <w:spacing w:after="0"/>
              <w:rPr>
                <w:rFonts w:ascii="Arial" w:cs="Arial" w:eastAsia="Arial" w:hAnsi="Arial"/>
                <w:sz w:val="12"/>
                <w:szCs w:val="12"/>
                <w:b w:val="1"/>
                <w:bCs w:val="1"/>
                <w:color w:val="0000EE"/>
              </w:rPr>
            </w:pPr>
            <w:hyperlink w:anchor="page3">
              <w:r>
                <w:rPr>
                  <w:rFonts w:ascii="Arial" w:cs="Arial" w:eastAsia="Arial" w:hAnsi="Arial"/>
                  <w:sz w:val="12"/>
                  <w:szCs w:val="12"/>
                  <w:b w:val="1"/>
                  <w:bCs w:val="1"/>
                  <w:color w:val="0000EE"/>
                </w:rPr>
                <w:t>Part I.</w:t>
              </w:r>
            </w:hyperlink>
          </w:p>
        </w:tc>
        <w:tc>
          <w:tcPr>
            <w:tcW w:w="7040" w:type="dxa"/>
            <w:vAlign w:val="bottom"/>
            <w:gridSpan w:val="17"/>
          </w:tcPr>
          <w:p>
            <w:pPr>
              <w:spacing w:after="0"/>
              <w:rPr>
                <w:rFonts w:ascii="Arial" w:cs="Arial" w:eastAsia="Arial" w:hAnsi="Arial"/>
                <w:sz w:val="12"/>
                <w:szCs w:val="12"/>
                <w:b w:val="1"/>
                <w:bCs w:val="1"/>
                <w:color w:val="0000EE"/>
              </w:rPr>
            </w:pPr>
            <w:hyperlink w:anchor="page3">
              <w:r>
                <w:rPr>
                  <w:rFonts w:ascii="Arial" w:cs="Arial" w:eastAsia="Arial" w:hAnsi="Arial"/>
                  <w:sz w:val="12"/>
                  <w:szCs w:val="12"/>
                  <w:b w:val="1"/>
                  <w:bCs w:val="1"/>
                  <w:color w:val="0000EE"/>
                </w:rPr>
                <w:t>Financial Information</w:t>
              </w:r>
            </w:hyperlink>
          </w:p>
        </w:tc>
        <w:tc>
          <w:tcPr>
            <w:tcW w:w="1520" w:type="dxa"/>
            <w:vAlign w:val="bottom"/>
            <w:gridSpan w:val="2"/>
          </w:tcPr>
          <w:p>
            <w:pPr>
              <w:ind w:left="1000"/>
              <w:spacing w:after="0"/>
              <w:rPr>
                <w:sz w:val="20"/>
                <w:szCs w:val="20"/>
                <w:color w:val="auto"/>
              </w:rPr>
            </w:pPr>
            <w:r>
              <w:rPr>
                <w:rFonts w:ascii="Arial" w:cs="Arial" w:eastAsia="Arial" w:hAnsi="Arial"/>
                <w:sz w:val="12"/>
                <w:szCs w:val="12"/>
                <w:b w:val="1"/>
                <w:bCs w:val="1"/>
                <w:color w:val="auto"/>
                <w:w w:val="97"/>
              </w:rPr>
              <w:t>Page No.</w:t>
            </w:r>
          </w:p>
        </w:tc>
      </w:tr>
      <w:tr>
        <w:trPr>
          <w:trHeight w:val="160"/>
        </w:trPr>
        <w:tc>
          <w:tcPr>
            <w:tcW w:w="3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gridSpan w:val="5"/>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Item 1.</w:t>
              </w:r>
            </w:hyperlink>
          </w:p>
        </w:tc>
        <w:tc>
          <w:tcPr>
            <w:tcW w:w="1220" w:type="dxa"/>
            <w:vAlign w:val="bottom"/>
            <w:tcBorders>
              <w:top w:val="single" w:sz="8" w:color="0000EE"/>
            </w:tcBorders>
            <w:gridSpan w:val="6"/>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Financial Statements:</w:t>
              </w:r>
            </w:hyperlink>
          </w:p>
        </w:tc>
        <w:tc>
          <w:tcPr>
            <w:tcW w:w="5820" w:type="dxa"/>
            <w:vAlign w:val="bottom"/>
            <w:gridSpan w:val="11"/>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232"/>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40" w:type="dxa"/>
            <w:vAlign w:val="bottom"/>
            <w:tcBorders>
              <w:bottom w:val="single" w:sz="8" w:color="0000EE"/>
            </w:tcBorders>
            <w:gridSpan w:val="13"/>
          </w:tcPr>
          <w:p>
            <w:pPr>
              <w:spacing w:after="0"/>
              <w:rPr>
                <w:rFonts w:ascii="Arial" w:cs="Arial" w:eastAsia="Arial" w:hAnsi="Arial"/>
                <w:sz w:val="12"/>
                <w:szCs w:val="12"/>
                <w:color w:val="0000EE"/>
                <w:w w:val="99"/>
              </w:rPr>
            </w:pPr>
            <w:hyperlink w:anchor="page3">
              <w:r>
                <w:rPr>
                  <w:rFonts w:ascii="Arial" w:cs="Arial" w:eastAsia="Arial" w:hAnsi="Arial"/>
                  <w:sz w:val="12"/>
                  <w:szCs w:val="12"/>
                  <w:color w:val="0000EE"/>
                  <w:w w:val="99"/>
                </w:rPr>
                <w:t>Consolidated Statement of Operations (unaudited) – Three Months Ended March 31, 2019 and 2018</w:t>
              </w:r>
            </w:hyperlink>
          </w:p>
        </w:tc>
        <w:tc>
          <w:tcPr>
            <w:tcW w:w="1700" w:type="dxa"/>
            <w:vAlign w:val="bottom"/>
            <w:gridSpan w:val="4"/>
          </w:tcPr>
          <w:p>
            <w:pPr>
              <w:spacing w:after="0"/>
              <w:rPr>
                <w:sz w:val="20"/>
                <w:szCs w:val="20"/>
                <w:color w:val="auto"/>
              </w:rPr>
            </w:pPr>
          </w:p>
        </w:tc>
        <w:tc>
          <w:tcPr>
            <w:tcW w:w="1520" w:type="dxa"/>
            <w:vAlign w:val="bottom"/>
            <w:gridSpan w:val="2"/>
          </w:tcPr>
          <w:p>
            <w:pPr>
              <w:jc w:val="center"/>
              <w:ind w:left="960"/>
              <w:spacing w:after="0"/>
              <w:rPr>
                <w:rFonts w:ascii="Arial" w:cs="Arial" w:eastAsia="Arial" w:hAnsi="Arial"/>
                <w:sz w:val="12"/>
                <w:szCs w:val="12"/>
                <w:color w:val="auto"/>
                <w:w w:val="89"/>
              </w:rPr>
            </w:pPr>
            <w:hyperlink w:anchor="page3">
              <w:r>
                <w:rPr>
                  <w:rFonts w:ascii="Arial" w:cs="Arial" w:eastAsia="Arial" w:hAnsi="Arial"/>
                  <w:sz w:val="12"/>
                  <w:szCs w:val="12"/>
                  <w:color w:val="auto"/>
                  <w:w w:val="89"/>
                </w:rPr>
                <w:t>3</w:t>
              </w:r>
            </w:hyperlink>
          </w:p>
        </w:tc>
      </w:tr>
      <w:tr>
        <w:trPr>
          <w:trHeight w:val="250"/>
        </w:trPr>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20" w:type="dxa"/>
            <w:vAlign w:val="bottom"/>
            <w:tcBorders>
              <w:bottom w:val="single" w:sz="8" w:color="0000EE"/>
            </w:tcBorders>
            <w:gridSpan w:val="16"/>
          </w:tcPr>
          <w:p>
            <w:pPr>
              <w:spacing w:after="0"/>
              <w:rPr>
                <w:rFonts w:ascii="Arial" w:cs="Arial" w:eastAsia="Arial" w:hAnsi="Arial"/>
                <w:sz w:val="12"/>
                <w:szCs w:val="12"/>
                <w:color w:val="0000EE"/>
                <w:w w:val="99"/>
              </w:rPr>
            </w:pPr>
            <w:hyperlink w:anchor="page4">
              <w:r>
                <w:rPr>
                  <w:rFonts w:ascii="Arial" w:cs="Arial" w:eastAsia="Arial" w:hAnsi="Arial"/>
                  <w:sz w:val="12"/>
                  <w:szCs w:val="12"/>
                  <w:color w:val="0000EE"/>
                  <w:w w:val="99"/>
                </w:rPr>
                <w:t>Consolidated Statement of Comprehensive Income (unaudited) – Three Months Ended March 31, 2019 and 2018</w:t>
              </w:r>
            </w:hyperlink>
          </w:p>
        </w:tc>
        <w:tc>
          <w:tcPr>
            <w:tcW w:w="1020" w:type="dxa"/>
            <w:vAlign w:val="bottom"/>
          </w:tcPr>
          <w:p>
            <w:pPr>
              <w:spacing w:after="0"/>
              <w:rPr>
                <w:sz w:val="21"/>
                <w:szCs w:val="21"/>
                <w:color w:val="auto"/>
              </w:rPr>
            </w:pPr>
          </w:p>
        </w:tc>
        <w:tc>
          <w:tcPr>
            <w:tcW w:w="1520" w:type="dxa"/>
            <w:vAlign w:val="bottom"/>
            <w:gridSpan w:val="2"/>
          </w:tcPr>
          <w:p>
            <w:pPr>
              <w:jc w:val="center"/>
              <w:ind w:left="960"/>
              <w:spacing w:after="0"/>
              <w:rPr>
                <w:rFonts w:ascii="Arial" w:cs="Arial" w:eastAsia="Arial" w:hAnsi="Arial"/>
                <w:sz w:val="12"/>
                <w:szCs w:val="12"/>
                <w:color w:val="auto"/>
                <w:w w:val="89"/>
              </w:rPr>
            </w:pPr>
            <w:hyperlink w:anchor="page4">
              <w:r>
                <w:rPr>
                  <w:rFonts w:ascii="Arial" w:cs="Arial" w:eastAsia="Arial" w:hAnsi="Arial"/>
                  <w:sz w:val="12"/>
                  <w:szCs w:val="12"/>
                  <w:color w:val="auto"/>
                  <w:w w:val="89"/>
                </w:rPr>
                <w:t>4</w:t>
              </w:r>
            </w:hyperlink>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40" w:type="dxa"/>
            <w:vAlign w:val="bottom"/>
            <w:gridSpan w:val="17"/>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Consolidated Balance Sheet (unaudited) – March 31, 2019 and December 31, 2018</w:t>
              </w:r>
            </w:hyperlink>
          </w:p>
        </w:tc>
        <w:tc>
          <w:tcPr>
            <w:tcW w:w="1520" w:type="dxa"/>
            <w:vAlign w:val="bottom"/>
            <w:gridSpan w:val="2"/>
          </w:tcPr>
          <w:p>
            <w:pPr>
              <w:jc w:val="center"/>
              <w:ind w:left="960"/>
              <w:spacing w:after="0"/>
              <w:rPr>
                <w:rFonts w:ascii="Arial" w:cs="Arial" w:eastAsia="Arial" w:hAnsi="Arial"/>
                <w:sz w:val="12"/>
                <w:szCs w:val="12"/>
                <w:color w:val="auto"/>
                <w:w w:val="89"/>
              </w:rPr>
            </w:pPr>
            <w:hyperlink w:anchor="page5">
              <w:r>
                <w:rPr>
                  <w:rFonts w:ascii="Arial" w:cs="Arial" w:eastAsia="Arial" w:hAnsi="Arial"/>
                  <w:sz w:val="12"/>
                  <w:szCs w:val="12"/>
                  <w:color w:val="auto"/>
                  <w:w w:val="89"/>
                </w:rPr>
                <w:t>5</w:t>
              </w:r>
            </w:hyperlink>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380" w:type="dxa"/>
            <w:vAlign w:val="bottom"/>
            <w:tcBorders>
              <w:bottom w:val="single" w:sz="8" w:color="0000EE"/>
            </w:tcBorders>
            <w:gridSpan w:val="14"/>
          </w:tcPr>
          <w:p>
            <w:pPr>
              <w:spacing w:after="0"/>
              <w:rPr>
                <w:rFonts w:ascii="Arial" w:cs="Arial" w:eastAsia="Arial" w:hAnsi="Arial"/>
                <w:sz w:val="12"/>
                <w:szCs w:val="12"/>
                <w:color w:val="0000EE"/>
                <w:w w:val="99"/>
              </w:rPr>
            </w:pPr>
            <w:hyperlink w:anchor="page6">
              <w:r>
                <w:rPr>
                  <w:rFonts w:ascii="Arial" w:cs="Arial" w:eastAsia="Arial" w:hAnsi="Arial"/>
                  <w:sz w:val="12"/>
                  <w:szCs w:val="12"/>
                  <w:color w:val="0000EE"/>
                  <w:w w:val="99"/>
                </w:rPr>
                <w:t>Consolidated Statement of Cash Flows (unaudited) – Three Months Ended March 31, 2019 and 2018</w:t>
              </w:r>
            </w:hyperlink>
          </w:p>
        </w:tc>
        <w:tc>
          <w:tcPr>
            <w:tcW w:w="1660" w:type="dxa"/>
            <w:vAlign w:val="bottom"/>
            <w:gridSpan w:val="3"/>
          </w:tcPr>
          <w:p>
            <w:pPr>
              <w:spacing w:after="0"/>
              <w:rPr>
                <w:sz w:val="20"/>
                <w:szCs w:val="20"/>
                <w:color w:val="auto"/>
              </w:rPr>
            </w:pPr>
          </w:p>
        </w:tc>
        <w:tc>
          <w:tcPr>
            <w:tcW w:w="1520" w:type="dxa"/>
            <w:vAlign w:val="bottom"/>
            <w:gridSpan w:val="2"/>
          </w:tcPr>
          <w:p>
            <w:pPr>
              <w:jc w:val="center"/>
              <w:ind w:left="960"/>
              <w:spacing w:after="0"/>
              <w:rPr>
                <w:rFonts w:ascii="Arial" w:cs="Arial" w:eastAsia="Arial" w:hAnsi="Arial"/>
                <w:sz w:val="12"/>
                <w:szCs w:val="12"/>
                <w:color w:val="auto"/>
                <w:w w:val="89"/>
              </w:rPr>
            </w:pPr>
            <w:hyperlink w:anchor="page6">
              <w:r>
                <w:rPr>
                  <w:rFonts w:ascii="Arial" w:cs="Arial" w:eastAsia="Arial" w:hAnsi="Arial"/>
                  <w:sz w:val="12"/>
                  <w:szCs w:val="12"/>
                  <w:color w:val="auto"/>
                  <w:w w:val="89"/>
                </w:rPr>
                <w:t>6</w:t>
              </w:r>
            </w:hyperlink>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40" w:type="dxa"/>
            <w:vAlign w:val="bottom"/>
            <w:gridSpan w:val="17"/>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Consolidated Statement of Shareowners' Equity (unaudited) – Three Months Ended March 31, 2019 and 2018</w:t>
              </w:r>
            </w:hyperlink>
          </w:p>
        </w:tc>
        <w:tc>
          <w:tcPr>
            <w:tcW w:w="1520" w:type="dxa"/>
            <w:vAlign w:val="bottom"/>
            <w:gridSpan w:val="2"/>
          </w:tcPr>
          <w:p>
            <w:pPr>
              <w:jc w:val="center"/>
              <w:ind w:left="960"/>
              <w:spacing w:after="0"/>
              <w:rPr>
                <w:rFonts w:ascii="Arial" w:cs="Arial" w:eastAsia="Arial" w:hAnsi="Arial"/>
                <w:sz w:val="12"/>
                <w:szCs w:val="12"/>
                <w:color w:val="auto"/>
                <w:w w:val="89"/>
              </w:rPr>
            </w:pPr>
            <w:hyperlink w:anchor="page7">
              <w:r>
                <w:rPr>
                  <w:rFonts w:ascii="Arial" w:cs="Arial" w:eastAsia="Arial" w:hAnsi="Arial"/>
                  <w:sz w:val="12"/>
                  <w:szCs w:val="12"/>
                  <w:color w:val="auto"/>
                  <w:w w:val="89"/>
                </w:rPr>
                <w:t>7</w:t>
              </w:r>
            </w:hyperlink>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980" w:type="dxa"/>
            <w:vAlign w:val="bottom"/>
            <w:tcBorders>
              <w:top w:val="single" w:sz="8" w:color="0000EE"/>
              <w:bottom w:val="single" w:sz="8" w:color="0000EE"/>
            </w:tcBorders>
            <w:gridSpan w:val="8"/>
          </w:tcPr>
          <w:p>
            <w:pPr>
              <w:spacing w:after="0"/>
              <w:rPr>
                <w:rFonts w:ascii="Arial" w:cs="Arial" w:eastAsia="Arial" w:hAnsi="Arial"/>
                <w:sz w:val="12"/>
                <w:szCs w:val="12"/>
                <w:color w:val="0000EE"/>
                <w:w w:val="99"/>
              </w:rPr>
            </w:pPr>
            <w:hyperlink w:anchor="page8">
              <w:r>
                <w:rPr>
                  <w:rFonts w:ascii="Arial" w:cs="Arial" w:eastAsia="Arial" w:hAnsi="Arial"/>
                  <w:sz w:val="12"/>
                  <w:szCs w:val="12"/>
                  <w:color w:val="0000EE"/>
                  <w:w w:val="99"/>
                </w:rPr>
                <w:t>Notes to Consolidated Financial Statements (unaudited)</w:t>
              </w:r>
            </w:hyperlink>
          </w:p>
        </w:tc>
        <w:tc>
          <w:tcPr>
            <w:tcW w:w="2860" w:type="dxa"/>
            <w:vAlign w:val="bottom"/>
            <w:tcBorders>
              <w:top w:val="single" w:sz="8" w:color="0000EE"/>
            </w:tcBorders>
            <w:gridSpan w:val="7"/>
          </w:tcPr>
          <w:p>
            <w:pPr>
              <w:spacing w:after="0"/>
              <w:rPr>
                <w:sz w:val="20"/>
                <w:szCs w:val="20"/>
                <w:color w:val="auto"/>
              </w:rPr>
            </w:pPr>
          </w:p>
        </w:tc>
        <w:tc>
          <w:tcPr>
            <w:tcW w:w="1200" w:type="dxa"/>
            <w:vAlign w:val="bottom"/>
            <w:gridSpan w:val="2"/>
          </w:tcPr>
          <w:p>
            <w:pPr>
              <w:spacing w:after="0"/>
              <w:rPr>
                <w:sz w:val="20"/>
                <w:szCs w:val="20"/>
                <w:color w:val="auto"/>
              </w:rPr>
            </w:pPr>
          </w:p>
        </w:tc>
        <w:tc>
          <w:tcPr>
            <w:tcW w:w="1520" w:type="dxa"/>
            <w:vAlign w:val="bottom"/>
            <w:gridSpan w:val="2"/>
          </w:tcPr>
          <w:p>
            <w:pPr>
              <w:jc w:val="center"/>
              <w:ind w:left="960"/>
              <w:spacing w:after="0"/>
              <w:rPr>
                <w:rFonts w:ascii="Arial" w:cs="Arial" w:eastAsia="Arial" w:hAnsi="Arial"/>
                <w:sz w:val="12"/>
                <w:szCs w:val="12"/>
                <w:color w:val="auto"/>
                <w:w w:val="89"/>
              </w:rPr>
            </w:pPr>
            <w:hyperlink w:anchor="page8">
              <w:r>
                <w:rPr>
                  <w:rFonts w:ascii="Arial" w:cs="Arial" w:eastAsia="Arial" w:hAnsi="Arial"/>
                  <w:sz w:val="12"/>
                  <w:szCs w:val="12"/>
                  <w:color w:val="auto"/>
                  <w:w w:val="89"/>
                </w:rPr>
                <w:t>8</w:t>
              </w:r>
            </w:hyperlink>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gridSpan w:val="3"/>
          </w:tcPr>
          <w:p>
            <w:pPr>
              <w:spacing w:after="0"/>
              <w:rPr>
                <w:rFonts w:ascii="Arial" w:cs="Arial" w:eastAsia="Arial" w:hAnsi="Arial"/>
                <w:sz w:val="12"/>
                <w:szCs w:val="12"/>
                <w:color w:val="0000EE"/>
                <w:w w:val="97"/>
              </w:rPr>
            </w:pPr>
            <w:hyperlink w:anchor="page31">
              <w:r>
                <w:rPr>
                  <w:rFonts w:ascii="Arial" w:cs="Arial" w:eastAsia="Arial" w:hAnsi="Arial"/>
                  <w:sz w:val="12"/>
                  <w:szCs w:val="12"/>
                  <w:color w:val="0000EE"/>
                  <w:w w:val="97"/>
                </w:rPr>
                <w:t>Item 2.</w:t>
              </w:r>
            </w:hyperlink>
          </w:p>
        </w:tc>
        <w:tc>
          <w:tcPr>
            <w:tcW w:w="880" w:type="dxa"/>
            <w:vAlign w:val="bottom"/>
            <w:gridSpan w:val="2"/>
          </w:tcPr>
          <w:p>
            <w:pPr>
              <w:spacing w:after="0"/>
              <w:rPr>
                <w:sz w:val="20"/>
                <w:szCs w:val="20"/>
                <w:color w:val="auto"/>
              </w:rPr>
            </w:pPr>
          </w:p>
        </w:tc>
        <w:tc>
          <w:tcPr>
            <w:tcW w:w="7040" w:type="dxa"/>
            <w:vAlign w:val="bottom"/>
            <w:gridSpan w:val="17"/>
          </w:tcPr>
          <w:p>
            <w:pPr>
              <w:spacing w:after="0"/>
              <w:rPr>
                <w:rFonts w:ascii="Arial" w:cs="Arial" w:eastAsia="Arial" w:hAnsi="Arial"/>
                <w:sz w:val="12"/>
                <w:szCs w:val="12"/>
                <w:color w:val="0000EE"/>
              </w:rPr>
            </w:pPr>
            <w:hyperlink w:anchor="page31">
              <w:r>
                <w:rPr>
                  <w:rFonts w:ascii="Arial" w:cs="Arial" w:eastAsia="Arial" w:hAnsi="Arial"/>
                  <w:sz w:val="12"/>
                  <w:szCs w:val="12"/>
                  <w:color w:val="0000EE"/>
                </w:rPr>
                <w:t>Management’s Discussion and Analysis of Financial Condition and Results of Operations</w:t>
              </w:r>
            </w:hyperlink>
          </w:p>
        </w:tc>
        <w:tc>
          <w:tcPr>
            <w:tcW w:w="1520" w:type="dxa"/>
            <w:vAlign w:val="bottom"/>
            <w:gridSpan w:val="2"/>
          </w:tcPr>
          <w:p>
            <w:pPr>
              <w:jc w:val="center"/>
              <w:ind w:left="960"/>
              <w:spacing w:after="0"/>
              <w:rPr>
                <w:rFonts w:ascii="Arial" w:cs="Arial" w:eastAsia="Arial" w:hAnsi="Arial"/>
                <w:sz w:val="12"/>
                <w:szCs w:val="12"/>
                <w:color w:val="auto"/>
              </w:rPr>
            </w:pPr>
            <w:hyperlink w:anchor="page31">
              <w:r>
                <w:rPr>
                  <w:rFonts w:ascii="Arial" w:cs="Arial" w:eastAsia="Arial" w:hAnsi="Arial"/>
                  <w:sz w:val="12"/>
                  <w:szCs w:val="12"/>
                  <w:color w:val="auto"/>
                </w:rPr>
                <w:t>31</w:t>
              </w:r>
            </w:hyperlink>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Borders>
              <w:top w:val="single" w:sz="8" w:color="0000EE"/>
            </w:tcBorders>
            <w:gridSpan w:val="3"/>
          </w:tcPr>
          <w:p>
            <w:pPr>
              <w:spacing w:after="0"/>
              <w:rPr>
                <w:rFonts w:ascii="Arial" w:cs="Arial" w:eastAsia="Arial" w:hAnsi="Arial"/>
                <w:sz w:val="12"/>
                <w:szCs w:val="12"/>
                <w:color w:val="0000EE"/>
                <w:w w:val="97"/>
              </w:rPr>
            </w:pPr>
            <w:hyperlink w:anchor="page41">
              <w:r>
                <w:rPr>
                  <w:rFonts w:ascii="Arial" w:cs="Arial" w:eastAsia="Arial" w:hAnsi="Arial"/>
                  <w:sz w:val="12"/>
                  <w:szCs w:val="12"/>
                  <w:color w:val="0000EE"/>
                  <w:w w:val="97"/>
                </w:rPr>
                <w:t>Item 3.</w:t>
              </w:r>
            </w:hyperlink>
          </w:p>
        </w:tc>
        <w:tc>
          <w:tcPr>
            <w:tcW w:w="880" w:type="dxa"/>
            <w:vAlign w:val="bottom"/>
            <w:gridSpan w:val="2"/>
          </w:tcPr>
          <w:p>
            <w:pPr>
              <w:spacing w:after="0"/>
              <w:rPr>
                <w:sz w:val="20"/>
                <w:szCs w:val="20"/>
                <w:color w:val="auto"/>
              </w:rPr>
            </w:pPr>
          </w:p>
        </w:tc>
        <w:tc>
          <w:tcPr>
            <w:tcW w:w="4720" w:type="dxa"/>
            <w:vAlign w:val="bottom"/>
            <w:tcBorders>
              <w:top w:val="single" w:sz="8" w:color="0000EE"/>
            </w:tcBorders>
            <w:gridSpan w:val="12"/>
          </w:tcPr>
          <w:p>
            <w:pPr>
              <w:spacing w:after="0"/>
              <w:rPr>
                <w:rFonts w:ascii="Arial" w:cs="Arial" w:eastAsia="Arial" w:hAnsi="Arial"/>
                <w:sz w:val="12"/>
                <w:szCs w:val="12"/>
                <w:color w:val="0000EE"/>
              </w:rPr>
            </w:pPr>
            <w:hyperlink w:anchor="page41">
              <w:r>
                <w:rPr>
                  <w:rFonts w:ascii="Arial" w:cs="Arial" w:eastAsia="Arial" w:hAnsi="Arial"/>
                  <w:sz w:val="12"/>
                  <w:szCs w:val="12"/>
                  <w:color w:val="0000EE"/>
                </w:rPr>
                <w:t>Quantitative and Qualitative Disclosures About Market Risks</w:t>
              </w:r>
            </w:hyperlink>
          </w:p>
        </w:tc>
        <w:tc>
          <w:tcPr>
            <w:tcW w:w="2320" w:type="dxa"/>
            <w:vAlign w:val="bottom"/>
            <w:gridSpan w:val="5"/>
          </w:tcPr>
          <w:p>
            <w:pPr>
              <w:spacing w:after="0"/>
              <w:rPr>
                <w:sz w:val="20"/>
                <w:szCs w:val="20"/>
                <w:color w:val="auto"/>
              </w:rPr>
            </w:pPr>
          </w:p>
        </w:tc>
        <w:tc>
          <w:tcPr>
            <w:tcW w:w="1520" w:type="dxa"/>
            <w:vAlign w:val="bottom"/>
            <w:gridSpan w:val="2"/>
          </w:tcPr>
          <w:p>
            <w:pPr>
              <w:jc w:val="center"/>
              <w:ind w:left="960"/>
              <w:spacing w:after="0"/>
              <w:rPr>
                <w:rFonts w:ascii="Arial" w:cs="Arial" w:eastAsia="Arial" w:hAnsi="Arial"/>
                <w:sz w:val="12"/>
                <w:szCs w:val="12"/>
                <w:color w:val="auto"/>
              </w:rPr>
            </w:pPr>
            <w:hyperlink w:anchor="page41">
              <w:r>
                <w:rPr>
                  <w:rFonts w:ascii="Arial" w:cs="Arial" w:eastAsia="Arial" w:hAnsi="Arial"/>
                  <w:sz w:val="12"/>
                  <w:szCs w:val="12"/>
                  <w:color w:val="auto"/>
                </w:rPr>
                <w:t>41</w:t>
              </w:r>
            </w:hyperlink>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Borders>
              <w:top w:val="single" w:sz="8" w:color="0000EE"/>
            </w:tcBorders>
            <w:gridSpan w:val="3"/>
          </w:tcPr>
          <w:p>
            <w:pPr>
              <w:spacing w:after="0"/>
              <w:rPr>
                <w:rFonts w:ascii="Arial" w:cs="Arial" w:eastAsia="Arial" w:hAnsi="Arial"/>
                <w:sz w:val="12"/>
                <w:szCs w:val="12"/>
                <w:color w:val="0000EE"/>
                <w:w w:val="97"/>
              </w:rPr>
            </w:pPr>
            <w:hyperlink w:anchor="page41">
              <w:r>
                <w:rPr>
                  <w:rFonts w:ascii="Arial" w:cs="Arial" w:eastAsia="Arial" w:hAnsi="Arial"/>
                  <w:sz w:val="12"/>
                  <w:szCs w:val="12"/>
                  <w:color w:val="0000EE"/>
                  <w:w w:val="97"/>
                </w:rPr>
                <w:t>Item 4.</w:t>
              </w:r>
            </w:hyperlink>
          </w:p>
        </w:tc>
        <w:tc>
          <w:tcPr>
            <w:tcW w:w="880" w:type="dxa"/>
            <w:vAlign w:val="bottom"/>
            <w:gridSpan w:val="2"/>
          </w:tcPr>
          <w:p>
            <w:pPr>
              <w:spacing w:after="0"/>
              <w:rPr>
                <w:sz w:val="20"/>
                <w:szCs w:val="20"/>
                <w:color w:val="auto"/>
              </w:rPr>
            </w:pPr>
          </w:p>
        </w:tc>
        <w:tc>
          <w:tcPr>
            <w:tcW w:w="3200" w:type="dxa"/>
            <w:vAlign w:val="bottom"/>
            <w:tcBorders>
              <w:top w:val="single" w:sz="8" w:color="0000EE"/>
            </w:tcBorders>
            <w:gridSpan w:val="9"/>
          </w:tcPr>
          <w:p>
            <w:pPr>
              <w:spacing w:after="0"/>
              <w:rPr>
                <w:rFonts w:ascii="Arial" w:cs="Arial" w:eastAsia="Arial" w:hAnsi="Arial"/>
                <w:sz w:val="12"/>
                <w:szCs w:val="12"/>
                <w:color w:val="0000EE"/>
              </w:rPr>
            </w:pPr>
            <w:hyperlink w:anchor="page41">
              <w:r>
                <w:rPr>
                  <w:rFonts w:ascii="Arial" w:cs="Arial" w:eastAsia="Arial" w:hAnsi="Arial"/>
                  <w:sz w:val="12"/>
                  <w:szCs w:val="12"/>
                  <w:color w:val="0000EE"/>
                </w:rPr>
                <w:t>Controls and Procedures</w:t>
              </w:r>
            </w:hyperlink>
          </w:p>
        </w:tc>
        <w:tc>
          <w:tcPr>
            <w:tcW w:w="3840" w:type="dxa"/>
            <w:vAlign w:val="bottom"/>
            <w:gridSpan w:val="8"/>
          </w:tcPr>
          <w:p>
            <w:pPr>
              <w:spacing w:after="0"/>
              <w:rPr>
                <w:sz w:val="20"/>
                <w:szCs w:val="20"/>
                <w:color w:val="auto"/>
              </w:rPr>
            </w:pPr>
          </w:p>
        </w:tc>
        <w:tc>
          <w:tcPr>
            <w:tcW w:w="1520" w:type="dxa"/>
            <w:vAlign w:val="bottom"/>
            <w:gridSpan w:val="2"/>
          </w:tcPr>
          <w:p>
            <w:pPr>
              <w:jc w:val="center"/>
              <w:ind w:left="960"/>
              <w:spacing w:after="0"/>
              <w:rPr>
                <w:rFonts w:ascii="Arial" w:cs="Arial" w:eastAsia="Arial" w:hAnsi="Arial"/>
                <w:sz w:val="12"/>
                <w:szCs w:val="12"/>
                <w:color w:val="auto"/>
              </w:rPr>
            </w:pPr>
            <w:hyperlink w:anchor="page41">
              <w:r>
                <w:rPr>
                  <w:rFonts w:ascii="Arial" w:cs="Arial" w:eastAsia="Arial" w:hAnsi="Arial"/>
                  <w:sz w:val="12"/>
                  <w:szCs w:val="12"/>
                  <w:color w:val="auto"/>
                </w:rPr>
                <w:t>41</w:t>
              </w:r>
            </w:hyperlink>
          </w:p>
        </w:tc>
      </w:tr>
      <w:tr>
        <w:trPr>
          <w:trHeight w:val="241"/>
        </w:trPr>
        <w:tc>
          <w:tcPr>
            <w:tcW w:w="360" w:type="dxa"/>
            <w:vAlign w:val="bottom"/>
            <w:tcBorders>
              <w:bottom w:val="single" w:sz="8" w:color="0000EE"/>
            </w:tcBorders>
            <w:gridSpan w:val="2"/>
          </w:tcPr>
          <w:p>
            <w:pPr>
              <w:spacing w:after="0"/>
              <w:rPr>
                <w:rFonts w:ascii="Arial" w:cs="Arial" w:eastAsia="Arial" w:hAnsi="Arial"/>
                <w:sz w:val="12"/>
                <w:szCs w:val="12"/>
                <w:b w:val="1"/>
                <w:bCs w:val="1"/>
                <w:color w:val="0000EE"/>
                <w:w w:val="92"/>
              </w:rPr>
            </w:pPr>
            <w:hyperlink w:anchor="page42">
              <w:r>
                <w:rPr>
                  <w:rFonts w:ascii="Arial" w:cs="Arial" w:eastAsia="Arial" w:hAnsi="Arial"/>
                  <w:sz w:val="12"/>
                  <w:szCs w:val="12"/>
                  <w:b w:val="1"/>
                  <w:bCs w:val="1"/>
                  <w:color w:val="0000EE"/>
                  <w:w w:val="92"/>
                </w:rPr>
                <w:t>Part II.</w:t>
              </w:r>
            </w:hyperlink>
          </w:p>
        </w:tc>
        <w:tc>
          <w:tcPr>
            <w:tcW w:w="920" w:type="dxa"/>
            <w:vAlign w:val="bottom"/>
            <w:gridSpan w:val="3"/>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900" w:type="dxa"/>
            <w:vAlign w:val="bottom"/>
            <w:gridSpan w:val="3"/>
          </w:tcPr>
          <w:p>
            <w:pPr>
              <w:spacing w:after="0"/>
              <w:rPr>
                <w:sz w:val="20"/>
                <w:szCs w:val="20"/>
                <w:color w:val="auto"/>
              </w:rPr>
            </w:pPr>
          </w:p>
        </w:tc>
        <w:tc>
          <w:tcPr>
            <w:tcW w:w="1020" w:type="dxa"/>
            <w:vAlign w:val="bottom"/>
            <w:tcBorders>
              <w:top w:val="single" w:sz="8" w:color="0000EE"/>
              <w:bottom w:val="single" w:sz="8" w:color="0000EE"/>
            </w:tcBorders>
            <w:gridSpan w:val="4"/>
          </w:tcPr>
          <w:p>
            <w:pPr>
              <w:spacing w:after="0"/>
              <w:rPr>
                <w:rFonts w:ascii="Arial" w:cs="Arial" w:eastAsia="Arial" w:hAnsi="Arial"/>
                <w:sz w:val="12"/>
                <w:szCs w:val="12"/>
                <w:b w:val="1"/>
                <w:bCs w:val="1"/>
                <w:color w:val="0000EE"/>
                <w:w w:val="98"/>
              </w:rPr>
            </w:pPr>
            <w:hyperlink w:anchor="page42">
              <w:r>
                <w:rPr>
                  <w:rFonts w:ascii="Arial" w:cs="Arial" w:eastAsia="Arial" w:hAnsi="Arial"/>
                  <w:sz w:val="12"/>
                  <w:szCs w:val="12"/>
                  <w:b w:val="1"/>
                  <w:bCs w:val="1"/>
                  <w:color w:val="0000EE"/>
                  <w:w w:val="98"/>
                </w:rPr>
                <w:t>Other Information</w:t>
              </w:r>
            </w:hyperlink>
          </w:p>
        </w:tc>
        <w:tc>
          <w:tcPr>
            <w:tcW w:w="300" w:type="dxa"/>
            <w:vAlign w:val="bottom"/>
            <w:tcBorders>
              <w:top w:val="single" w:sz="8" w:color="0000EE"/>
            </w:tcBorders>
            <w:gridSpan w:val="3"/>
          </w:tcPr>
          <w:p>
            <w:pPr>
              <w:spacing w:after="0"/>
              <w:rPr>
                <w:sz w:val="20"/>
                <w:szCs w:val="20"/>
                <w:color w:val="auto"/>
              </w:rPr>
            </w:pPr>
          </w:p>
        </w:tc>
        <w:tc>
          <w:tcPr>
            <w:tcW w:w="5720" w:type="dxa"/>
            <w:vAlign w:val="bottom"/>
            <w:gridSpan w:val="10"/>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Borders>
              <w:bottom w:val="single" w:sz="8" w:color="0000EE"/>
            </w:tcBorders>
            <w:gridSpan w:val="3"/>
          </w:tcPr>
          <w:p>
            <w:pPr>
              <w:spacing w:after="0"/>
              <w:rPr>
                <w:rFonts w:ascii="Arial" w:cs="Arial" w:eastAsia="Arial" w:hAnsi="Arial"/>
                <w:sz w:val="12"/>
                <w:szCs w:val="12"/>
                <w:color w:val="0000EE"/>
                <w:w w:val="97"/>
              </w:rPr>
            </w:pPr>
            <w:hyperlink w:anchor="page42">
              <w:r>
                <w:rPr>
                  <w:rFonts w:ascii="Arial" w:cs="Arial" w:eastAsia="Arial" w:hAnsi="Arial"/>
                  <w:sz w:val="12"/>
                  <w:szCs w:val="12"/>
                  <w:color w:val="0000EE"/>
                  <w:w w:val="97"/>
                </w:rPr>
                <w:t>Item 1.</w:t>
              </w:r>
            </w:hyperlink>
          </w:p>
        </w:tc>
        <w:tc>
          <w:tcPr>
            <w:tcW w:w="880" w:type="dxa"/>
            <w:vAlign w:val="bottom"/>
            <w:gridSpan w:val="2"/>
          </w:tcPr>
          <w:p>
            <w:pPr>
              <w:spacing w:after="0"/>
              <w:rPr>
                <w:sz w:val="20"/>
                <w:szCs w:val="20"/>
                <w:color w:val="auto"/>
              </w:rPr>
            </w:pPr>
          </w:p>
        </w:tc>
        <w:tc>
          <w:tcPr>
            <w:tcW w:w="1000" w:type="dxa"/>
            <w:vAlign w:val="bottom"/>
            <w:tcBorders>
              <w:bottom w:val="single" w:sz="8" w:color="0000EE"/>
            </w:tcBorders>
            <w:gridSpan w:val="3"/>
          </w:tcPr>
          <w:p>
            <w:pPr>
              <w:spacing w:after="0"/>
              <w:rPr>
                <w:rFonts w:ascii="Arial" w:cs="Arial" w:eastAsia="Arial" w:hAnsi="Arial"/>
                <w:sz w:val="12"/>
                <w:szCs w:val="12"/>
                <w:color w:val="0000EE"/>
                <w:w w:val="98"/>
              </w:rPr>
            </w:pPr>
            <w:hyperlink w:anchor="page42">
              <w:r>
                <w:rPr>
                  <w:rFonts w:ascii="Arial" w:cs="Arial" w:eastAsia="Arial" w:hAnsi="Arial"/>
                  <w:sz w:val="12"/>
                  <w:szCs w:val="12"/>
                  <w:color w:val="0000EE"/>
                  <w:w w:val="98"/>
                </w:rPr>
                <w:t>Legal Proceedings</w:t>
              </w:r>
            </w:hyperlink>
          </w:p>
        </w:tc>
        <w:tc>
          <w:tcPr>
            <w:tcW w:w="6040" w:type="dxa"/>
            <w:vAlign w:val="bottom"/>
            <w:gridSpan w:val="14"/>
          </w:tcPr>
          <w:p>
            <w:pPr>
              <w:spacing w:after="0"/>
              <w:rPr>
                <w:sz w:val="20"/>
                <w:szCs w:val="20"/>
                <w:color w:val="auto"/>
              </w:rPr>
            </w:pPr>
          </w:p>
        </w:tc>
        <w:tc>
          <w:tcPr>
            <w:tcW w:w="1520" w:type="dxa"/>
            <w:vAlign w:val="bottom"/>
            <w:gridSpan w:val="2"/>
          </w:tcPr>
          <w:p>
            <w:pPr>
              <w:jc w:val="center"/>
              <w:ind w:left="960"/>
              <w:spacing w:after="0"/>
              <w:rPr>
                <w:rFonts w:ascii="Arial" w:cs="Arial" w:eastAsia="Arial" w:hAnsi="Arial"/>
                <w:sz w:val="12"/>
                <w:szCs w:val="12"/>
                <w:color w:val="auto"/>
              </w:rPr>
            </w:pPr>
            <w:hyperlink w:anchor="page42">
              <w:r>
                <w:rPr>
                  <w:rFonts w:ascii="Arial" w:cs="Arial" w:eastAsia="Arial" w:hAnsi="Arial"/>
                  <w:sz w:val="12"/>
                  <w:szCs w:val="12"/>
                  <w:color w:val="auto"/>
                </w:rPr>
                <w:t>42</w:t>
              </w:r>
            </w:hyperlink>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gridSpan w:val="5"/>
          </w:tcPr>
          <w:p>
            <w:pPr>
              <w:spacing w:after="0"/>
              <w:rPr>
                <w:rFonts w:ascii="Arial" w:cs="Arial" w:eastAsia="Arial" w:hAnsi="Arial"/>
                <w:sz w:val="12"/>
                <w:szCs w:val="12"/>
                <w:color w:val="0000EE"/>
              </w:rPr>
            </w:pPr>
            <w:hyperlink w:anchor="page42">
              <w:r>
                <w:rPr>
                  <w:rFonts w:ascii="Arial" w:cs="Arial" w:eastAsia="Arial" w:hAnsi="Arial"/>
                  <w:sz w:val="12"/>
                  <w:szCs w:val="12"/>
                  <w:color w:val="0000EE"/>
                </w:rPr>
                <w:t>Item 1A.</w:t>
              </w:r>
            </w:hyperlink>
          </w:p>
        </w:tc>
        <w:tc>
          <w:tcPr>
            <w:tcW w:w="7040" w:type="dxa"/>
            <w:vAlign w:val="bottom"/>
            <w:gridSpan w:val="17"/>
          </w:tcPr>
          <w:p>
            <w:pPr>
              <w:spacing w:after="0"/>
              <w:rPr>
                <w:rFonts w:ascii="Arial" w:cs="Arial" w:eastAsia="Arial" w:hAnsi="Arial"/>
                <w:sz w:val="12"/>
                <w:szCs w:val="12"/>
                <w:color w:val="0000EE"/>
              </w:rPr>
            </w:pPr>
            <w:hyperlink w:anchor="page42">
              <w:r>
                <w:rPr>
                  <w:rFonts w:ascii="Arial" w:cs="Arial" w:eastAsia="Arial" w:hAnsi="Arial"/>
                  <w:sz w:val="12"/>
                  <w:szCs w:val="12"/>
                  <w:color w:val="0000EE"/>
                </w:rPr>
                <w:t>Risk Factors</w:t>
              </w:r>
            </w:hyperlink>
          </w:p>
        </w:tc>
        <w:tc>
          <w:tcPr>
            <w:tcW w:w="1520" w:type="dxa"/>
            <w:vAlign w:val="bottom"/>
            <w:gridSpan w:val="2"/>
          </w:tcPr>
          <w:p>
            <w:pPr>
              <w:jc w:val="center"/>
              <w:ind w:left="960"/>
              <w:spacing w:after="0"/>
              <w:rPr>
                <w:rFonts w:ascii="Arial" w:cs="Arial" w:eastAsia="Arial" w:hAnsi="Arial"/>
                <w:sz w:val="12"/>
                <w:szCs w:val="12"/>
                <w:color w:val="auto"/>
              </w:rPr>
            </w:pPr>
            <w:hyperlink w:anchor="page42">
              <w:r>
                <w:rPr>
                  <w:rFonts w:ascii="Arial" w:cs="Arial" w:eastAsia="Arial" w:hAnsi="Arial"/>
                  <w:sz w:val="12"/>
                  <w:szCs w:val="12"/>
                  <w:color w:val="auto"/>
                </w:rPr>
                <w:t>42</w:t>
              </w:r>
            </w:hyperlink>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Borders>
              <w:bottom w:val="single" w:sz="8" w:color="0000EE"/>
            </w:tcBorders>
            <w:gridSpan w:val="3"/>
          </w:tcPr>
          <w:p>
            <w:pPr>
              <w:spacing w:after="0"/>
              <w:rPr>
                <w:rFonts w:ascii="Arial" w:cs="Arial" w:eastAsia="Arial" w:hAnsi="Arial"/>
                <w:sz w:val="12"/>
                <w:szCs w:val="12"/>
                <w:color w:val="0000EE"/>
                <w:w w:val="97"/>
              </w:rPr>
            </w:pPr>
            <w:hyperlink w:anchor="page42">
              <w:r>
                <w:rPr>
                  <w:rFonts w:ascii="Arial" w:cs="Arial" w:eastAsia="Arial" w:hAnsi="Arial"/>
                  <w:sz w:val="12"/>
                  <w:szCs w:val="12"/>
                  <w:color w:val="0000EE"/>
                  <w:w w:val="97"/>
                </w:rPr>
                <w:t>Item 2.</w:t>
              </w:r>
            </w:hyperlink>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40" w:type="dxa"/>
            <w:vAlign w:val="bottom"/>
            <w:tcBorders>
              <w:bottom w:val="single" w:sz="8" w:color="0000EE"/>
            </w:tcBorders>
            <w:gridSpan w:val="10"/>
          </w:tcPr>
          <w:p>
            <w:pPr>
              <w:spacing w:after="0"/>
              <w:rPr>
                <w:rFonts w:ascii="Arial" w:cs="Arial" w:eastAsia="Arial" w:hAnsi="Arial"/>
                <w:sz w:val="12"/>
                <w:szCs w:val="12"/>
                <w:color w:val="0000EE"/>
                <w:w w:val="99"/>
              </w:rPr>
            </w:pPr>
            <w:hyperlink w:anchor="page42">
              <w:r>
                <w:rPr>
                  <w:rFonts w:ascii="Arial" w:cs="Arial" w:eastAsia="Arial" w:hAnsi="Arial"/>
                  <w:sz w:val="12"/>
                  <w:szCs w:val="12"/>
                  <w:color w:val="0000EE"/>
                  <w:w w:val="99"/>
                </w:rPr>
                <w:t>Unregistered Sales of Equity Securities and Use of Proceeds</w:t>
              </w:r>
            </w:hyperlink>
          </w:p>
        </w:tc>
        <w:tc>
          <w:tcPr>
            <w:tcW w:w="3800" w:type="dxa"/>
            <w:vAlign w:val="bottom"/>
            <w:gridSpan w:val="7"/>
          </w:tcPr>
          <w:p>
            <w:pPr>
              <w:spacing w:after="0"/>
              <w:rPr>
                <w:sz w:val="20"/>
                <w:szCs w:val="20"/>
                <w:color w:val="auto"/>
              </w:rPr>
            </w:pPr>
          </w:p>
        </w:tc>
        <w:tc>
          <w:tcPr>
            <w:tcW w:w="1520" w:type="dxa"/>
            <w:vAlign w:val="bottom"/>
            <w:gridSpan w:val="2"/>
          </w:tcPr>
          <w:p>
            <w:pPr>
              <w:jc w:val="center"/>
              <w:ind w:left="960"/>
              <w:spacing w:after="0"/>
              <w:rPr>
                <w:rFonts w:ascii="Arial" w:cs="Arial" w:eastAsia="Arial" w:hAnsi="Arial"/>
                <w:sz w:val="12"/>
                <w:szCs w:val="12"/>
                <w:color w:val="auto"/>
              </w:rPr>
            </w:pPr>
            <w:hyperlink w:anchor="page42">
              <w:r>
                <w:rPr>
                  <w:rFonts w:ascii="Arial" w:cs="Arial" w:eastAsia="Arial" w:hAnsi="Arial"/>
                  <w:sz w:val="12"/>
                  <w:szCs w:val="12"/>
                  <w:color w:val="auto"/>
                </w:rPr>
                <w:t>42</w:t>
              </w:r>
            </w:hyperlink>
          </w:p>
        </w:tc>
      </w:tr>
      <w:tr>
        <w:trPr>
          <w:trHeight w:val="241"/>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gridSpan w:val="5"/>
          </w:tcPr>
          <w:p>
            <w:pPr>
              <w:spacing w:after="0"/>
              <w:rPr>
                <w:rFonts w:ascii="Arial" w:cs="Arial" w:eastAsia="Arial" w:hAnsi="Arial"/>
                <w:sz w:val="12"/>
                <w:szCs w:val="12"/>
                <w:color w:val="0000EE"/>
              </w:rPr>
            </w:pPr>
            <w:hyperlink w:anchor="page43">
              <w:r>
                <w:rPr>
                  <w:rFonts w:ascii="Arial" w:cs="Arial" w:eastAsia="Arial" w:hAnsi="Arial"/>
                  <w:sz w:val="12"/>
                  <w:szCs w:val="12"/>
                  <w:color w:val="0000EE"/>
                </w:rPr>
                <w:t>Item 6.</w:t>
              </w:r>
            </w:hyperlink>
          </w:p>
        </w:tc>
        <w:tc>
          <w:tcPr>
            <w:tcW w:w="7040" w:type="dxa"/>
            <w:vAlign w:val="bottom"/>
            <w:gridSpan w:val="17"/>
          </w:tcPr>
          <w:p>
            <w:pPr>
              <w:spacing w:after="0"/>
              <w:rPr>
                <w:rFonts w:ascii="Arial" w:cs="Arial" w:eastAsia="Arial" w:hAnsi="Arial"/>
                <w:sz w:val="12"/>
                <w:szCs w:val="12"/>
                <w:color w:val="0000EE"/>
              </w:rPr>
            </w:pPr>
            <w:hyperlink w:anchor="page43">
              <w:r>
                <w:rPr>
                  <w:rFonts w:ascii="Arial" w:cs="Arial" w:eastAsia="Arial" w:hAnsi="Arial"/>
                  <w:sz w:val="12"/>
                  <w:szCs w:val="12"/>
                  <w:color w:val="0000EE"/>
                </w:rPr>
                <w:t>Exhibits</w:t>
              </w:r>
            </w:hyperlink>
          </w:p>
        </w:tc>
        <w:tc>
          <w:tcPr>
            <w:tcW w:w="1520" w:type="dxa"/>
            <w:vAlign w:val="bottom"/>
            <w:gridSpan w:val="2"/>
          </w:tcPr>
          <w:p>
            <w:pPr>
              <w:jc w:val="center"/>
              <w:ind w:left="960"/>
              <w:spacing w:after="0"/>
              <w:rPr>
                <w:rFonts w:ascii="Arial" w:cs="Arial" w:eastAsia="Arial" w:hAnsi="Arial"/>
                <w:sz w:val="12"/>
                <w:szCs w:val="12"/>
                <w:color w:val="auto"/>
              </w:rPr>
            </w:pPr>
            <w:hyperlink w:anchor="page43">
              <w:r>
                <w:rPr>
                  <w:rFonts w:ascii="Arial" w:cs="Arial" w:eastAsia="Arial" w:hAnsi="Arial"/>
                  <w:sz w:val="12"/>
                  <w:szCs w:val="12"/>
                  <w:color w:val="auto"/>
                </w:rPr>
                <w:t>43</w:t>
              </w:r>
            </w:hyperlink>
          </w:p>
        </w:tc>
      </w:tr>
      <w:tr>
        <w:trPr>
          <w:trHeight w:val="241"/>
        </w:trPr>
        <w:tc>
          <w:tcPr>
            <w:tcW w:w="1280" w:type="dxa"/>
            <w:vAlign w:val="bottom"/>
            <w:gridSpan w:val="5"/>
          </w:tcPr>
          <w:p>
            <w:pPr>
              <w:spacing w:after="0"/>
              <w:rPr>
                <w:rFonts w:ascii="Arial" w:cs="Arial" w:eastAsia="Arial" w:hAnsi="Arial"/>
                <w:sz w:val="12"/>
                <w:szCs w:val="12"/>
                <w:color w:val="0000EE"/>
              </w:rPr>
            </w:pPr>
            <w:hyperlink w:anchor="page44">
              <w:r>
                <w:rPr>
                  <w:rFonts w:ascii="Arial" w:cs="Arial" w:eastAsia="Arial" w:hAnsi="Arial"/>
                  <w:sz w:val="12"/>
                  <w:szCs w:val="12"/>
                  <w:color w:val="0000EE"/>
                </w:rPr>
                <w:t>Signatures</w:t>
              </w:r>
            </w:hyperlink>
          </w:p>
        </w:tc>
        <w:tc>
          <w:tcPr>
            <w:tcW w:w="340" w:type="dxa"/>
            <w:vAlign w:val="bottom"/>
            <w:tcBorders>
              <w:top w:val="single" w:sz="8" w:color="0000EE"/>
            </w:tcBorders>
          </w:tcPr>
          <w:p>
            <w:pPr>
              <w:spacing w:after="0"/>
              <w:rPr>
                <w:sz w:val="20"/>
                <w:szCs w:val="20"/>
                <w:color w:val="auto"/>
              </w:rPr>
            </w:pPr>
          </w:p>
        </w:tc>
        <w:tc>
          <w:tcPr>
            <w:tcW w:w="900" w:type="dxa"/>
            <w:vAlign w:val="bottom"/>
            <w:gridSpan w:val="3"/>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gridSpan w:val="2"/>
          </w:tcPr>
          <w:p>
            <w:pPr>
              <w:jc w:val="center"/>
              <w:ind w:left="960"/>
              <w:spacing w:after="0"/>
              <w:rPr>
                <w:rFonts w:ascii="Arial" w:cs="Arial" w:eastAsia="Arial" w:hAnsi="Arial"/>
                <w:sz w:val="12"/>
                <w:szCs w:val="12"/>
                <w:color w:val="auto"/>
              </w:rPr>
            </w:pPr>
            <w:hyperlink w:anchor="page44">
              <w:r>
                <w:rPr>
                  <w:rFonts w:ascii="Arial" w:cs="Arial" w:eastAsia="Arial" w:hAnsi="Arial"/>
                  <w:sz w:val="12"/>
                  <w:szCs w:val="12"/>
                  <w:color w:val="auto"/>
                </w:rPr>
                <w:t>44</w:t>
              </w:r>
            </w:hyperlink>
          </w:p>
        </w:tc>
      </w:tr>
      <w:tr>
        <w:trPr>
          <w:trHeight w:val="20"/>
        </w:trPr>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71"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Cautionary Statement about Forward-Looking Statements</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2"/>
          <w:szCs w:val="12"/>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2018 Annual Report on Form 10-K.</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577"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color w:val="auto"/>
        </w:rPr>
        <w:t>PART I. FINANCIAL INFORMATION</w:t>
      </w:r>
    </w:p>
    <w:p>
      <w:pPr>
        <w:spacing w:after="0" w:line="150" w:lineRule="exact"/>
        <w:rPr>
          <w:sz w:val="20"/>
          <w:szCs w:val="20"/>
          <w:color w:val="auto"/>
        </w:rPr>
      </w:pPr>
    </w:p>
    <w:p>
      <w:pPr>
        <w:ind w:right="40" w:firstLine="432"/>
        <w:spacing w:after="0" w:line="262" w:lineRule="auto"/>
        <w:rPr>
          <w:sz w:val="20"/>
          <w:szCs w:val="20"/>
          <w:color w:val="auto"/>
        </w:rPr>
      </w:pPr>
      <w:r>
        <w:rPr>
          <w:rFonts w:ascii="Arial" w:cs="Arial" w:eastAsia="Arial" w:hAnsi="Arial"/>
          <w:sz w:val="12"/>
          <w:szCs w:val="12"/>
          <w:color w:val="auto"/>
        </w:rPr>
        <w:t>The financial statements and related footnotes as of March 31, 2019 should be read in conjunction with the financial statements for the year ended December 31, 2018 contained in our 2018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ITEM 1. </w:t>
      </w:r>
      <w:r>
        <w:rPr>
          <w:rFonts w:ascii="Arial" w:cs="Arial" w:eastAsia="Arial" w:hAnsi="Arial"/>
          <w:sz w:val="12"/>
          <w:szCs w:val="12"/>
          <w:u w:val="single" w:color="auto"/>
          <w:color w:val="auto"/>
        </w:rPr>
        <w:t>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March 31,</w:t>
            </w:r>
          </w:p>
        </w:tc>
        <w:tc>
          <w:tcPr>
            <w:tcW w:w="920" w:type="dxa"/>
            <w:vAlign w:val="bottom"/>
            <w:tcBorders>
              <w:bottom w:val="single" w:sz="8" w:color="auto"/>
            </w:tcBorders>
          </w:tcPr>
          <w:p>
            <w:pPr>
              <w:spacing w:after="0"/>
              <w:rPr>
                <w:sz w:val="11"/>
                <w:szCs w:val="11"/>
                <w:color w:val="auto"/>
              </w:rPr>
            </w:pPr>
          </w:p>
        </w:tc>
      </w:tr>
      <w:tr>
        <w:trPr>
          <w:trHeight w:val="169"/>
        </w:trPr>
        <w:tc>
          <w:tcPr>
            <w:tcW w:w="8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w w:val="89"/>
              </w:rPr>
              <w:t>2018</w:t>
            </w:r>
          </w:p>
        </w:tc>
      </w:tr>
      <w:tr>
        <w:trPr>
          <w:trHeight w:val="133"/>
        </w:trPr>
        <w:tc>
          <w:tcPr>
            <w:tcW w:w="8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980" w:type="dxa"/>
            <w:vAlign w:val="bottom"/>
            <w:gridSpan w:val="4"/>
          </w:tcPr>
          <w:p>
            <w:pPr>
              <w:jc w:val="right"/>
              <w:ind w:right="541"/>
              <w:spacing w:after="0"/>
              <w:rPr>
                <w:sz w:val="20"/>
                <w:szCs w:val="20"/>
                <w:color w:val="auto"/>
              </w:rPr>
            </w:pPr>
            <w:r>
              <w:rPr>
                <w:rFonts w:ascii="Arial" w:cs="Arial" w:eastAsia="Arial" w:hAnsi="Arial"/>
                <w:sz w:val="10"/>
                <w:szCs w:val="10"/>
                <w:b w:val="1"/>
                <w:bCs w:val="1"/>
                <w:color w:val="auto"/>
              </w:rPr>
              <w:t>(Dollars in millions, except per share amounts)</w:t>
            </w: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Product sales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6,713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8,234</w:t>
            </w:r>
          </w:p>
        </w:tc>
      </w:tr>
      <w:tr>
        <w:trPr>
          <w:trHeight w:val="17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Service sales</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2,171</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2,158</w:t>
            </w:r>
          </w:p>
        </w:tc>
      </w:tr>
      <w:tr>
        <w:trPr>
          <w:trHeight w:val="165"/>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3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8,884</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10,392</w:t>
            </w:r>
          </w:p>
        </w:tc>
      </w:tr>
      <w:tr>
        <w:trPr>
          <w:trHeight w:val="165"/>
        </w:trPr>
        <w:tc>
          <w:tcPr>
            <w:tcW w:w="8160" w:type="dxa"/>
            <w:vAlign w:val="bottom"/>
          </w:tcPr>
          <w:p>
            <w:pPr>
              <w:ind w:left="20"/>
              <w:spacing w:after="0"/>
              <w:rPr>
                <w:sz w:val="20"/>
                <w:szCs w:val="20"/>
                <w:color w:val="auto"/>
              </w:rPr>
            </w:pPr>
            <w:r>
              <w:rPr>
                <w:rFonts w:ascii="Arial" w:cs="Arial" w:eastAsia="Arial" w:hAnsi="Arial"/>
                <w:sz w:val="12"/>
                <w:szCs w:val="12"/>
                <w:color w:val="auto"/>
              </w:rPr>
              <w:t>Costs, expenses and other</w:t>
            </w: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5"/>
        </w:trPr>
        <w:tc>
          <w:tcPr>
            <w:tcW w:w="8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Cost of products sold</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4,622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5,905</w:t>
            </w:r>
          </w:p>
        </w:tc>
      </w:tr>
      <w:tr>
        <w:trPr>
          <w:trHeight w:val="176"/>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Cost of services sold</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1,257</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1,286</w:t>
            </w:r>
          </w:p>
        </w:tc>
      </w:tr>
      <w:tr>
        <w:trPr>
          <w:trHeight w:val="165"/>
        </w:trPr>
        <w:tc>
          <w:tcPr>
            <w:tcW w:w="8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5,879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7,191</w:t>
            </w:r>
          </w:p>
        </w:tc>
      </w:tr>
      <w:tr>
        <w:trPr>
          <w:trHeight w:val="176"/>
        </w:trPr>
        <w:tc>
          <w:tcPr>
            <w:tcW w:w="8160" w:type="dxa"/>
            <w:vAlign w:val="bottom"/>
          </w:tcPr>
          <w:p>
            <w:pPr>
              <w:ind w:left="180"/>
              <w:spacing w:after="0"/>
              <w:rPr>
                <w:sz w:val="20"/>
                <w:szCs w:val="20"/>
                <w:color w:val="auto"/>
              </w:rPr>
            </w:pPr>
            <w:r>
              <w:rPr>
                <w:rFonts w:ascii="Arial" w:cs="Arial" w:eastAsia="Arial" w:hAnsi="Arial"/>
                <w:sz w:val="12"/>
                <w:szCs w:val="12"/>
                <w:color w:val="auto"/>
              </w:rPr>
              <w:t>Selling, general and administrative expenses</w:t>
            </w:r>
          </w:p>
        </w:tc>
        <w:tc>
          <w:tcPr>
            <w:tcW w:w="340" w:type="dxa"/>
            <w:vAlign w:val="bottom"/>
          </w:tcPr>
          <w:p>
            <w:pPr>
              <w:spacing w:after="0"/>
              <w:rPr>
                <w:sz w:val="15"/>
                <w:szCs w:val="15"/>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1,363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1,475</w:t>
            </w:r>
          </w:p>
        </w:tc>
      </w:tr>
      <w:tr>
        <w:trPr>
          <w:trHeight w:val="185"/>
        </w:trPr>
        <w:tc>
          <w:tcPr>
            <w:tcW w:w="8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(income) expense</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(285)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(268)</w:t>
            </w:r>
          </w:p>
        </w:tc>
      </w:tr>
      <w:tr>
        <w:trPr>
          <w:trHeight w:val="176"/>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Interest and other financial charges</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85</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83</w:t>
            </w:r>
          </w:p>
        </w:tc>
      </w:tr>
      <w:tr>
        <w:trPr>
          <w:trHeight w:val="160"/>
        </w:trPr>
        <w:tc>
          <w:tcPr>
            <w:tcW w:w="81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7,042</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8,481</w:t>
            </w:r>
          </w:p>
        </w:tc>
      </w:tr>
      <w:tr>
        <w:trPr>
          <w:trHeight w:val="160"/>
        </w:trPr>
        <w:tc>
          <w:tcPr>
            <w:tcW w:w="8160" w:type="dxa"/>
            <w:vAlign w:val="bottom"/>
          </w:tcPr>
          <w:p>
            <w:pPr>
              <w:ind w:left="20"/>
              <w:spacing w:after="0"/>
              <w:rPr>
                <w:sz w:val="20"/>
                <w:szCs w:val="20"/>
                <w:color w:val="auto"/>
              </w:rPr>
            </w:pPr>
            <w:r>
              <w:rPr>
                <w:rFonts w:ascii="Arial" w:cs="Arial" w:eastAsia="Arial" w:hAnsi="Arial"/>
                <w:sz w:val="12"/>
                <w:szCs w:val="12"/>
                <w:color w:val="auto"/>
              </w:rPr>
              <w:t>Income before taxes</w:t>
            </w:r>
          </w:p>
        </w:tc>
        <w:tc>
          <w:tcPr>
            <w:tcW w:w="340" w:type="dxa"/>
            <w:vAlign w:val="bottom"/>
          </w:tcPr>
          <w:p>
            <w:pPr>
              <w:spacing w:after="0"/>
              <w:rPr>
                <w:sz w:val="13"/>
                <w:szCs w:val="13"/>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1,842</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1,911</w:t>
            </w: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expense</w:t>
            </w:r>
          </w:p>
        </w:tc>
        <w:tc>
          <w:tcPr>
            <w:tcW w:w="3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406</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459</w:t>
            </w:r>
          </w:p>
        </w:tc>
      </w:tr>
      <w:tr>
        <w:trPr>
          <w:trHeight w:val="160"/>
        </w:trPr>
        <w:tc>
          <w:tcPr>
            <w:tcW w:w="816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340" w:type="dxa"/>
            <w:vAlign w:val="bottom"/>
          </w:tcPr>
          <w:p>
            <w:pPr>
              <w:spacing w:after="0"/>
              <w:rPr>
                <w:sz w:val="13"/>
                <w:szCs w:val="13"/>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1,436</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jc w:val="right"/>
              <w:ind w:right="61"/>
              <w:spacing w:after="0"/>
              <w:rPr>
                <w:sz w:val="20"/>
                <w:szCs w:val="20"/>
                <w:color w:val="auto"/>
              </w:rPr>
            </w:pPr>
            <w:r>
              <w:rPr>
                <w:rFonts w:ascii="Arial" w:cs="Arial" w:eastAsia="Arial" w:hAnsi="Arial"/>
                <w:sz w:val="12"/>
                <w:szCs w:val="12"/>
                <w:color w:val="auto"/>
              </w:rPr>
              <w:t>1,452</w:t>
            </w: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Net income attributable to the noncontrolling interest</w:t>
            </w:r>
          </w:p>
        </w:tc>
        <w:tc>
          <w:tcPr>
            <w:tcW w:w="3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w:t>
            </w:r>
          </w:p>
        </w:tc>
      </w:tr>
      <w:tr>
        <w:trPr>
          <w:trHeight w:val="172"/>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 attributable to Honeywell</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1,416</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1,439</w:t>
            </w:r>
          </w:p>
        </w:tc>
      </w:tr>
      <w:tr>
        <w:trPr>
          <w:trHeight w:val="17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Earnings per share of common stock - basic</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1.94</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1.92</w:t>
            </w:r>
          </w:p>
        </w:tc>
      </w:tr>
      <w:tr>
        <w:trPr>
          <w:trHeight w:val="178"/>
        </w:trPr>
        <w:tc>
          <w:tcPr>
            <w:tcW w:w="8160" w:type="dxa"/>
            <w:vAlign w:val="bottom"/>
          </w:tcPr>
          <w:p>
            <w:pPr>
              <w:ind w:left="20"/>
              <w:spacing w:after="0"/>
              <w:rPr>
                <w:sz w:val="20"/>
                <w:szCs w:val="20"/>
                <w:color w:val="auto"/>
              </w:rPr>
            </w:pPr>
            <w:r>
              <w:rPr>
                <w:rFonts w:ascii="Arial" w:cs="Arial" w:eastAsia="Arial" w:hAnsi="Arial"/>
                <w:sz w:val="12"/>
                <w:szCs w:val="12"/>
                <w:color w:val="auto"/>
              </w:rPr>
              <w:t>Earnings per share of common stock - assuming dilution</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1.92</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1.89</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Notes to Consolidated Financial Statements are an integral part of this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589" w:right="1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 of Comprehensive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1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6"/>
              </w:rPr>
              <w:t>Three Months Ended March 31,</w:t>
            </w:r>
          </w:p>
        </w:tc>
        <w:tc>
          <w:tcPr>
            <w:tcW w:w="920" w:type="dxa"/>
            <w:vAlign w:val="bottom"/>
            <w:tcBorders>
              <w:bottom w:val="single" w:sz="8" w:color="auto"/>
            </w:tcBorders>
          </w:tcPr>
          <w:p>
            <w:pPr>
              <w:spacing w:after="0"/>
              <w:rPr>
                <w:sz w:val="11"/>
                <w:szCs w:val="11"/>
                <w:color w:val="auto"/>
              </w:rPr>
            </w:pPr>
          </w:p>
        </w:tc>
      </w:tr>
      <w:tr>
        <w:trPr>
          <w:trHeight w:val="169"/>
        </w:trPr>
        <w:tc>
          <w:tcPr>
            <w:tcW w:w="81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w w:val="89"/>
              </w:rPr>
              <w:t>2018</w:t>
            </w:r>
          </w:p>
        </w:tc>
      </w:tr>
      <w:tr>
        <w:trPr>
          <w:trHeight w:val="133"/>
        </w:trPr>
        <w:tc>
          <w:tcPr>
            <w:tcW w:w="8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(Dollars in millions)</w:t>
            </w:r>
          </w:p>
        </w:tc>
        <w:tc>
          <w:tcPr>
            <w:tcW w:w="920" w:type="dxa"/>
            <w:vAlign w:val="bottom"/>
          </w:tcPr>
          <w:p>
            <w:pPr>
              <w:spacing w:after="0"/>
              <w:rPr>
                <w:sz w:val="11"/>
                <w:szCs w:val="11"/>
                <w:color w:val="auto"/>
              </w:rPr>
            </w:pPr>
          </w:p>
        </w:tc>
      </w:tr>
      <w:tr>
        <w:trPr>
          <w:trHeight w:val="18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940" w:type="dxa"/>
            <w:vAlign w:val="bottom"/>
            <w:shd w:val="clear" w:color="auto" w:fill="CCEEFF"/>
          </w:tcPr>
          <w:p>
            <w:pPr>
              <w:jc w:val="right"/>
              <w:ind w:right="804"/>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1,436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1,452</w:t>
            </w:r>
          </w:p>
        </w:tc>
      </w:tr>
      <w:tr>
        <w:trPr>
          <w:trHeight w:val="176"/>
        </w:trPr>
        <w:tc>
          <w:tcPr>
            <w:tcW w:w="8160" w:type="dxa"/>
            <w:vAlign w:val="bottom"/>
          </w:tcPr>
          <w:p>
            <w:pPr>
              <w:ind w:left="180"/>
              <w:spacing w:after="0"/>
              <w:rPr>
                <w:sz w:val="20"/>
                <w:szCs w:val="20"/>
                <w:color w:val="auto"/>
              </w:rPr>
            </w:pPr>
            <w:r>
              <w:rPr>
                <w:rFonts w:ascii="Arial" w:cs="Arial" w:eastAsia="Arial" w:hAnsi="Arial"/>
                <w:sz w:val="12"/>
                <w:szCs w:val="12"/>
                <w:color w:val="auto"/>
              </w:rPr>
              <w:t>Other comprehensive income (loss), net of tax</w:t>
            </w: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81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Foreign exchange translation adjustment</w:t>
            </w: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205</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91</w:t>
            </w:r>
          </w:p>
        </w:tc>
      </w:tr>
      <w:tr>
        <w:trPr>
          <w:trHeight w:val="198"/>
        </w:trPr>
        <w:tc>
          <w:tcPr>
            <w:tcW w:w="8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0"/>
        </w:trPr>
        <w:tc>
          <w:tcPr>
            <w:tcW w:w="81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Actuarial (gains) losses recognized</w:t>
            </w:r>
          </w:p>
        </w:tc>
        <w:tc>
          <w:tcPr>
            <w:tcW w:w="9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w:t>
            </w:r>
          </w:p>
        </w:tc>
      </w:tr>
      <w:tr>
        <w:trPr>
          <w:trHeight w:val="176"/>
        </w:trPr>
        <w:tc>
          <w:tcPr>
            <w:tcW w:w="816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Prior service (credit) cost recognized</w:t>
            </w: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(18)</w:t>
            </w:r>
          </w:p>
        </w:tc>
      </w:tr>
      <w:tr>
        <w:trPr>
          <w:trHeight w:val="165"/>
        </w:trPr>
        <w:tc>
          <w:tcPr>
            <w:tcW w:w="81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Pension and other postretirement benefits adjustments</w:t>
            </w:r>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w:t>
            </w:r>
          </w:p>
        </w:tc>
      </w:tr>
      <w:tr>
        <w:trPr>
          <w:trHeight w:val="198"/>
        </w:trPr>
        <w:tc>
          <w:tcPr>
            <w:tcW w:w="8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0"/>
        </w:trPr>
        <w:tc>
          <w:tcPr>
            <w:tcW w:w="81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Cash flow hedges recognized in other comprehensive income (loss)</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(32)</w:t>
            </w:r>
          </w:p>
        </w:tc>
      </w:tr>
      <w:tr>
        <w:trPr>
          <w:trHeight w:val="176"/>
        </w:trPr>
        <w:tc>
          <w:tcPr>
            <w:tcW w:w="816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Less: Reclassification adjustment for gains (losses) included in net income</w:t>
            </w: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32</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(18)</w:t>
            </w:r>
          </w:p>
        </w:tc>
      </w:tr>
      <w:tr>
        <w:trPr>
          <w:trHeight w:val="160"/>
        </w:trPr>
        <w:tc>
          <w:tcPr>
            <w:tcW w:w="81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Changes in fair value of cash flow hedges</w:t>
            </w:r>
          </w:p>
        </w:tc>
        <w:tc>
          <w:tcPr>
            <w:tcW w:w="9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(14)</w:t>
            </w:r>
          </w:p>
        </w:tc>
      </w:tr>
      <w:tr>
        <w:trPr>
          <w:trHeight w:val="160"/>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comprehensive income (loss), net of tax</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192</w:t>
            </w: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61</w:t>
            </w:r>
          </w:p>
        </w:tc>
      </w:tr>
      <w:tr>
        <w:trPr>
          <w:trHeight w:val="165"/>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Comprehensive income</w:t>
            </w:r>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1,628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1,513</w:t>
            </w:r>
          </w:p>
        </w:tc>
      </w:tr>
      <w:tr>
        <w:trPr>
          <w:trHeight w:val="176"/>
        </w:trPr>
        <w:tc>
          <w:tcPr>
            <w:tcW w:w="816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Less: Comprehensive income attributable to the noncontrolling interest</w:t>
            </w: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w:t>
            </w:r>
          </w:p>
        </w:tc>
      </w:tr>
      <w:tr>
        <w:trPr>
          <w:trHeight w:val="17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Comprehensive income attributable to Honeywell</w:t>
            </w:r>
          </w:p>
        </w:tc>
        <w:tc>
          <w:tcPr>
            <w:tcW w:w="94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1,604</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1,495</w:t>
            </w:r>
          </w:p>
        </w:tc>
      </w:tr>
    </w:tbl>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this statement.</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577" w:right="1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March 31, 2019</w:t>
            </w: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December 31, 2018</w:t>
            </w:r>
          </w:p>
        </w:tc>
      </w:tr>
      <w:tr>
        <w:trPr>
          <w:trHeight w:val="133"/>
        </w:trPr>
        <w:tc>
          <w:tcPr>
            <w:tcW w:w="8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gridSpan w:val="4"/>
          </w:tcPr>
          <w:p>
            <w:pPr>
              <w:jc w:val="right"/>
              <w:ind w:right="920"/>
              <w:spacing w:after="0"/>
              <w:rPr>
                <w:sz w:val="20"/>
                <w:szCs w:val="20"/>
                <w:color w:val="auto"/>
              </w:rPr>
            </w:pPr>
            <w:r>
              <w:rPr>
                <w:rFonts w:ascii="Arial" w:cs="Arial" w:eastAsia="Arial" w:hAnsi="Arial"/>
                <w:sz w:val="10"/>
                <w:szCs w:val="10"/>
                <w:b w:val="1"/>
                <w:bCs w:val="1"/>
                <w:color w:val="auto"/>
              </w:rPr>
              <w:t>(Dollars in millions)</w:t>
            </w:r>
          </w:p>
        </w:tc>
      </w:tr>
      <w:tr>
        <w:trPr>
          <w:trHeight w:val="18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Cash and cash equivalents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8,625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9,287</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Short-term investments</w:t>
            </w:r>
          </w:p>
        </w:tc>
        <w:tc>
          <w:tcPr>
            <w:tcW w:w="22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2,059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1,623</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Accounts receivable - net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7,307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7,508</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Inventories</w:t>
            </w:r>
          </w:p>
        </w:tc>
        <w:tc>
          <w:tcPr>
            <w:tcW w:w="22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4,548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4,326</w:t>
            </w:r>
          </w:p>
        </w:tc>
      </w:tr>
      <w:tr>
        <w:trPr>
          <w:trHeight w:val="180"/>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current assets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1,795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1,618</w:t>
            </w:r>
          </w:p>
        </w:tc>
      </w:tr>
      <w:tr>
        <w:trPr>
          <w:trHeight w:val="160"/>
        </w:trPr>
        <w:tc>
          <w:tcPr>
            <w:tcW w:w="8620" w:type="dxa"/>
            <w:vAlign w:val="bottom"/>
          </w:tcPr>
          <w:p>
            <w:pPr>
              <w:ind w:left="320"/>
              <w:spacing w:after="0"/>
              <w:rPr>
                <w:sz w:val="20"/>
                <w:szCs w:val="20"/>
                <w:color w:val="auto"/>
              </w:rPr>
            </w:pPr>
            <w:r>
              <w:rPr>
                <w:rFonts w:ascii="Arial" w:cs="Arial" w:eastAsia="Arial" w:hAnsi="Arial"/>
                <w:sz w:val="12"/>
                <w:szCs w:val="12"/>
                <w:color w:val="auto"/>
              </w:rPr>
              <w:t>Total current assets</w:t>
            </w:r>
          </w:p>
        </w:tc>
        <w:tc>
          <w:tcPr>
            <w:tcW w:w="220" w:type="dxa"/>
            <w:vAlign w:val="bottom"/>
          </w:tcPr>
          <w:p>
            <w:pPr>
              <w:spacing w:after="0"/>
              <w:rPr>
                <w:sz w:val="13"/>
                <w:szCs w:val="13"/>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24,334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24,362</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Investments and long-term receivables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742</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Property, plant and equipment - net</w:t>
            </w:r>
          </w:p>
        </w:tc>
        <w:tc>
          <w:tcPr>
            <w:tcW w:w="22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5,276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5,296</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15,555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15,546</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Other intangible assets - net</w:t>
            </w:r>
          </w:p>
        </w:tc>
        <w:tc>
          <w:tcPr>
            <w:tcW w:w="22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4,039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4,139</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Insurance recoveries for asbestos related liabilities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437</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Deferred income taxes</w:t>
            </w:r>
          </w:p>
        </w:tc>
        <w:tc>
          <w:tcPr>
            <w:tcW w:w="22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362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382</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7,818</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6,869</w:t>
            </w:r>
          </w:p>
        </w:tc>
      </w:tr>
      <w:tr>
        <w:trPr>
          <w:trHeight w:val="172"/>
        </w:trPr>
        <w:tc>
          <w:tcPr>
            <w:tcW w:w="86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assets</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58,560</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57,773</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Accounts payable</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5,582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5,607</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Commercial paper and other short-term borrowings</w:t>
            </w:r>
          </w:p>
        </w:tc>
        <w:tc>
          <w:tcPr>
            <w:tcW w:w="22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3,514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3,586</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Current maturities of long-term debt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2,872</w:t>
            </w:r>
          </w:p>
        </w:tc>
      </w:tr>
      <w:tr>
        <w:trPr>
          <w:trHeight w:val="176"/>
        </w:trPr>
        <w:tc>
          <w:tcPr>
            <w:tcW w:w="86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Accrued liabilities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6,497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6,859</w:t>
            </w:r>
          </w:p>
        </w:tc>
      </w:tr>
      <w:tr>
        <w:trPr>
          <w:trHeight w:val="165"/>
        </w:trPr>
        <w:tc>
          <w:tcPr>
            <w:tcW w:w="8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current liabilities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19,593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18,924</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Long-term debt</w:t>
            </w:r>
          </w:p>
        </w:tc>
        <w:tc>
          <w:tcPr>
            <w:tcW w:w="22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8,598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9,756</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income taxes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1,850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1,713</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Postretirement benefit obligations other than pensions</w:t>
            </w:r>
          </w:p>
        </w:tc>
        <w:tc>
          <w:tcPr>
            <w:tcW w:w="22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333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344</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Asbestos related liabilities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2,269</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Other liabilities</w:t>
            </w:r>
          </w:p>
        </w:tc>
        <w:tc>
          <w:tcPr>
            <w:tcW w:w="22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6,977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6,402</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Redeemable noncontrolling interest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SHAREOWNERS’ EQUITY</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 - common stock issued</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958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958</w:t>
            </w:r>
          </w:p>
        </w:tc>
      </w:tr>
      <w:tr>
        <w:trPr>
          <w:trHeight w:val="176"/>
        </w:trPr>
        <w:tc>
          <w:tcPr>
            <w:tcW w:w="8620" w:type="dxa"/>
            <w:vAlign w:val="bottom"/>
          </w:tcPr>
          <w:p>
            <w:pPr>
              <w:ind w:left="460"/>
              <w:spacing w:after="0"/>
              <w:rPr>
                <w:sz w:val="20"/>
                <w:szCs w:val="20"/>
                <w:color w:val="auto"/>
              </w:rPr>
            </w:pPr>
            <w:r>
              <w:rPr>
                <w:rFonts w:ascii="Arial" w:cs="Arial" w:eastAsia="Arial" w:hAnsi="Arial"/>
                <w:sz w:val="12"/>
                <w:szCs w:val="12"/>
                <w:color w:val="auto"/>
              </w:rPr>
              <w:t>- additional paid-in capital</w:t>
            </w:r>
          </w:p>
        </w:tc>
        <w:tc>
          <w:tcPr>
            <w:tcW w:w="220" w:type="dxa"/>
            <w:vAlign w:val="bottom"/>
          </w:tcPr>
          <w:p>
            <w:pPr>
              <w:spacing w:after="0"/>
              <w:rPr>
                <w:sz w:val="15"/>
                <w:szCs w:val="15"/>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6,652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6,452</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 held in treasury, at cost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(20,392)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(19,771)</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Accumulated other comprehensive loss</w:t>
            </w:r>
          </w:p>
        </w:tc>
        <w:tc>
          <w:tcPr>
            <w:tcW w:w="220" w:type="dxa"/>
            <w:vAlign w:val="bottom"/>
          </w:tcPr>
          <w:p>
            <w:pPr>
              <w:spacing w:after="0"/>
              <w:rPr>
                <w:sz w:val="15"/>
                <w:szCs w:val="15"/>
                <w:color w:val="auto"/>
              </w:rPr>
            </w:pPr>
          </w:p>
        </w:tc>
        <w:tc>
          <w:tcPr>
            <w:tcW w:w="1160" w:type="dxa"/>
            <w:vAlign w:val="bottom"/>
          </w:tcPr>
          <w:p>
            <w:pPr>
              <w:jc w:val="right"/>
              <w:ind w:right="21"/>
              <w:spacing w:after="0"/>
              <w:rPr>
                <w:sz w:val="20"/>
                <w:szCs w:val="20"/>
                <w:color w:val="auto"/>
              </w:rPr>
            </w:pPr>
            <w:r>
              <w:rPr>
                <w:rFonts w:ascii="Arial" w:cs="Arial" w:eastAsia="Arial" w:hAnsi="Arial"/>
                <w:sz w:val="12"/>
                <w:szCs w:val="12"/>
                <w:color w:val="auto"/>
              </w:rPr>
              <w:t>(3,245)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20"/>
              <w:spacing w:after="0"/>
              <w:rPr>
                <w:sz w:val="20"/>
                <w:szCs w:val="20"/>
                <w:color w:val="auto"/>
              </w:rPr>
            </w:pPr>
            <w:r>
              <w:rPr>
                <w:rFonts w:ascii="Arial" w:cs="Arial" w:eastAsia="Arial" w:hAnsi="Arial"/>
                <w:sz w:val="12"/>
                <w:szCs w:val="12"/>
                <w:color w:val="auto"/>
              </w:rPr>
              <w:t>(3,437)</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Retained earnings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34,794</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33,978</w:t>
            </w:r>
          </w:p>
        </w:tc>
      </w:tr>
      <w:tr>
        <w:trPr>
          <w:trHeight w:val="160"/>
        </w:trPr>
        <w:tc>
          <w:tcPr>
            <w:tcW w:w="8620" w:type="dxa"/>
            <w:vAlign w:val="bottom"/>
          </w:tcPr>
          <w:p>
            <w:pPr>
              <w:ind w:left="180"/>
              <w:spacing w:after="0"/>
              <w:rPr>
                <w:sz w:val="20"/>
                <w:szCs w:val="20"/>
                <w:color w:val="auto"/>
              </w:rPr>
            </w:pPr>
            <w:r>
              <w:rPr>
                <w:rFonts w:ascii="Arial" w:cs="Arial" w:eastAsia="Arial" w:hAnsi="Arial"/>
                <w:sz w:val="12"/>
                <w:szCs w:val="12"/>
                <w:color w:val="auto"/>
              </w:rPr>
              <w:t>Total Honeywell shareowners’ equity</w:t>
            </w:r>
          </w:p>
        </w:tc>
        <w:tc>
          <w:tcPr>
            <w:tcW w:w="220" w:type="dxa"/>
            <w:vAlign w:val="bottom"/>
          </w:tcPr>
          <w:p>
            <w:pPr>
              <w:spacing w:after="0"/>
              <w:rPr>
                <w:sz w:val="13"/>
                <w:szCs w:val="13"/>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18,767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18,180</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Noncontrolling interest</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189</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178</w:t>
            </w:r>
          </w:p>
        </w:tc>
      </w:tr>
      <w:tr>
        <w:trPr>
          <w:trHeight w:val="160"/>
        </w:trPr>
        <w:tc>
          <w:tcPr>
            <w:tcW w:w="86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shareowners’ equity</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18,956</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18,358</w:t>
            </w:r>
          </w:p>
        </w:tc>
      </w:tr>
      <w:tr>
        <w:trPr>
          <w:trHeight w:val="172"/>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liabilities, redeemable noncontrolling interest and shareowners’ equity</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58,560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57,773</w:t>
            </w:r>
          </w:p>
        </w:tc>
      </w:tr>
    </w:tbl>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Notes to Consolidated Financial Statements are an integral part of this statement.</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577" w:right="1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20" w:type="dxa"/>
            <w:vAlign w:val="bottom"/>
          </w:tcPr>
          <w:p>
            <w:pPr>
              <w:spacing w:after="0"/>
              <w:rPr>
                <w:sz w:val="11"/>
                <w:szCs w:val="11"/>
                <w:color w:val="auto"/>
              </w:rPr>
            </w:pPr>
          </w:p>
        </w:tc>
        <w:tc>
          <w:tcPr>
            <w:tcW w:w="234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0"/>
                <w:szCs w:val="10"/>
                <w:b w:val="1"/>
                <w:bCs w:val="1"/>
                <w:color w:val="auto"/>
                <w:w w:val="96"/>
              </w:rPr>
              <w:t>Three Months Ended March 31,</w:t>
            </w:r>
          </w:p>
        </w:tc>
        <w:tc>
          <w:tcPr>
            <w:tcW w:w="520" w:type="dxa"/>
            <w:vAlign w:val="bottom"/>
            <w:tcBorders>
              <w:bottom w:val="single" w:sz="8" w:color="auto"/>
            </w:tcBorders>
          </w:tcPr>
          <w:p>
            <w:pPr>
              <w:spacing w:after="0"/>
              <w:rPr>
                <w:sz w:val="11"/>
                <w:szCs w:val="11"/>
                <w:color w:val="auto"/>
              </w:rPr>
            </w:pPr>
          </w:p>
        </w:tc>
      </w:tr>
      <w:tr>
        <w:trPr>
          <w:trHeight w:val="169"/>
        </w:trPr>
        <w:tc>
          <w:tcPr>
            <w:tcW w:w="8620" w:type="dxa"/>
            <w:vAlign w:val="bottom"/>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2018</w:t>
            </w:r>
          </w:p>
        </w:tc>
        <w:tc>
          <w:tcPr>
            <w:tcW w:w="520" w:type="dxa"/>
            <w:vAlign w:val="bottom"/>
            <w:tcBorders>
              <w:bottom w:val="single" w:sz="8" w:color="auto"/>
            </w:tcBorders>
          </w:tcPr>
          <w:p>
            <w:pPr>
              <w:spacing w:after="0"/>
              <w:rPr>
                <w:sz w:val="14"/>
                <w:szCs w:val="14"/>
                <w:color w:val="auto"/>
              </w:rPr>
            </w:pPr>
          </w:p>
        </w:tc>
      </w:tr>
      <w:tr>
        <w:trPr>
          <w:trHeight w:val="133"/>
        </w:trPr>
        <w:tc>
          <w:tcPr>
            <w:tcW w:w="8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gridSpan w:val="3"/>
          </w:tcPr>
          <w:p>
            <w:pPr>
              <w:jc w:val="center"/>
              <w:ind w:right="286"/>
              <w:spacing w:after="0"/>
              <w:rPr>
                <w:sz w:val="20"/>
                <w:szCs w:val="20"/>
                <w:color w:val="auto"/>
              </w:rPr>
            </w:pPr>
            <w:r>
              <w:rPr>
                <w:rFonts w:ascii="Arial" w:cs="Arial" w:eastAsia="Arial" w:hAnsi="Arial"/>
                <w:sz w:val="10"/>
                <w:szCs w:val="10"/>
                <w:b w:val="1"/>
                <w:bCs w:val="1"/>
                <w:color w:val="auto"/>
                <w:w w:val="96"/>
              </w:rPr>
              <w:t>(Dollars in millions)</w:t>
            </w:r>
          </w:p>
        </w:tc>
        <w:tc>
          <w:tcPr>
            <w:tcW w:w="520" w:type="dxa"/>
            <w:vAlign w:val="bottom"/>
          </w:tcPr>
          <w:p>
            <w:pPr>
              <w:spacing w:after="0"/>
              <w:rPr>
                <w:sz w:val="11"/>
                <w:szCs w:val="11"/>
                <w:color w:val="auto"/>
              </w:rPr>
            </w:pPr>
          </w:p>
        </w:tc>
      </w:tr>
      <w:tr>
        <w:trPr>
          <w:trHeight w:val="18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Net income</w:t>
            </w:r>
          </w:p>
        </w:tc>
        <w:tc>
          <w:tcPr>
            <w:tcW w:w="860" w:type="dxa"/>
            <w:vAlign w:val="bottom"/>
          </w:tcPr>
          <w:p>
            <w:pPr>
              <w:jc w:val="right"/>
              <w:ind w:right="728"/>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1,436</w:t>
            </w:r>
          </w:p>
        </w:tc>
        <w:tc>
          <w:tcPr>
            <w:tcW w:w="120" w:type="dxa"/>
            <w:vAlign w:val="bottom"/>
          </w:tcPr>
          <w:p>
            <w:pPr>
              <w:spacing w:after="0"/>
              <w:rPr>
                <w:sz w:val="15"/>
                <w:szCs w:val="15"/>
                <w:color w:val="auto"/>
              </w:rPr>
            </w:pPr>
          </w:p>
        </w:tc>
        <w:tc>
          <w:tcPr>
            <w:tcW w:w="840" w:type="dxa"/>
            <w:vAlign w:val="bottom"/>
          </w:tcPr>
          <w:p>
            <w:pPr>
              <w:jc w:val="right"/>
              <w:ind w:right="706"/>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1,452</w:t>
            </w:r>
          </w:p>
        </w:tc>
      </w:tr>
      <w:tr>
        <w:trPr>
          <w:trHeight w:val="180"/>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Less: Net income attributable to the noncontrolling interest</w:t>
            </w:r>
          </w:p>
        </w:tc>
        <w:tc>
          <w:tcPr>
            <w:tcW w:w="8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r>
      <w:tr>
        <w:trPr>
          <w:trHeight w:val="160"/>
        </w:trPr>
        <w:tc>
          <w:tcPr>
            <w:tcW w:w="8620" w:type="dxa"/>
            <w:vAlign w:val="bottom"/>
          </w:tcPr>
          <w:p>
            <w:pPr>
              <w:ind w:left="180"/>
              <w:spacing w:after="0"/>
              <w:rPr>
                <w:sz w:val="20"/>
                <w:szCs w:val="20"/>
                <w:color w:val="auto"/>
              </w:rPr>
            </w:pPr>
            <w:r>
              <w:rPr>
                <w:rFonts w:ascii="Arial" w:cs="Arial" w:eastAsia="Arial" w:hAnsi="Arial"/>
                <w:sz w:val="12"/>
                <w:szCs w:val="12"/>
                <w:color w:val="auto"/>
              </w:rPr>
              <w:t>Net income attributable to Honeywell</w:t>
            </w:r>
          </w:p>
        </w:tc>
        <w:tc>
          <w:tcPr>
            <w:tcW w:w="860" w:type="dxa"/>
            <w:vAlign w:val="bottom"/>
          </w:tcPr>
          <w:p>
            <w:pPr>
              <w:spacing w:after="0"/>
              <w:rPr>
                <w:sz w:val="13"/>
                <w:szCs w:val="13"/>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1,416</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1,439</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Adjustments to reconcile net income attributable to Honeywell to net cash provided by operating activities: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76"/>
        </w:trPr>
        <w:tc>
          <w:tcPr>
            <w:tcW w:w="8620" w:type="dxa"/>
            <w:vAlign w:val="bottom"/>
          </w:tcPr>
          <w:p>
            <w:pPr>
              <w:ind w:left="320"/>
              <w:spacing w:after="0"/>
              <w:rPr>
                <w:sz w:val="20"/>
                <w:szCs w:val="20"/>
                <w:color w:val="auto"/>
              </w:rPr>
            </w:pPr>
            <w:r>
              <w:rPr>
                <w:rFonts w:ascii="Arial" w:cs="Arial" w:eastAsia="Arial" w:hAnsi="Arial"/>
                <w:sz w:val="12"/>
                <w:szCs w:val="12"/>
                <w:color w:val="auto"/>
              </w:rPr>
              <w:t>Depreciation</w:t>
            </w:r>
          </w:p>
        </w:tc>
        <w:tc>
          <w:tcPr>
            <w:tcW w:w="86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179</w:t>
            </w:r>
          </w:p>
        </w:tc>
      </w:tr>
      <w:tr>
        <w:trPr>
          <w:trHeight w:val="185"/>
        </w:trPr>
        <w:tc>
          <w:tcPr>
            <w:tcW w:w="8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Amortization</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109</w:t>
            </w:r>
          </w:p>
        </w:tc>
      </w:tr>
      <w:tr>
        <w:trPr>
          <w:trHeight w:val="176"/>
        </w:trPr>
        <w:tc>
          <w:tcPr>
            <w:tcW w:w="8620" w:type="dxa"/>
            <w:vAlign w:val="bottom"/>
          </w:tcPr>
          <w:p>
            <w:pPr>
              <w:ind w:left="320"/>
              <w:spacing w:after="0"/>
              <w:rPr>
                <w:sz w:val="20"/>
                <w:szCs w:val="20"/>
                <w:color w:val="auto"/>
              </w:rPr>
            </w:pPr>
            <w:r>
              <w:rPr>
                <w:rFonts w:ascii="Arial" w:cs="Arial" w:eastAsia="Arial" w:hAnsi="Arial"/>
                <w:sz w:val="12"/>
                <w:szCs w:val="12"/>
                <w:color w:val="auto"/>
              </w:rPr>
              <w:t>Repositioning and other charges</w:t>
            </w:r>
          </w:p>
        </w:tc>
        <w:tc>
          <w:tcPr>
            <w:tcW w:w="86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191</w:t>
            </w:r>
          </w:p>
        </w:tc>
      </w:tr>
      <w:tr>
        <w:trPr>
          <w:trHeight w:val="185"/>
        </w:trPr>
        <w:tc>
          <w:tcPr>
            <w:tcW w:w="8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payments for repositioning and other charges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(34)</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(141)</w:t>
            </w:r>
          </w:p>
        </w:tc>
      </w:tr>
      <w:tr>
        <w:trPr>
          <w:trHeight w:val="176"/>
        </w:trPr>
        <w:tc>
          <w:tcPr>
            <w:tcW w:w="8620" w:type="dxa"/>
            <w:vAlign w:val="bottom"/>
          </w:tcPr>
          <w:p>
            <w:pPr>
              <w:ind w:left="320"/>
              <w:spacing w:after="0"/>
              <w:rPr>
                <w:sz w:val="20"/>
                <w:szCs w:val="20"/>
                <w:color w:val="auto"/>
              </w:rPr>
            </w:pPr>
            <w:r>
              <w:rPr>
                <w:rFonts w:ascii="Arial" w:cs="Arial" w:eastAsia="Arial" w:hAnsi="Arial"/>
                <w:sz w:val="12"/>
                <w:szCs w:val="12"/>
                <w:color w:val="auto"/>
              </w:rPr>
              <w:t>Pension and other postretirement income</w:t>
            </w:r>
          </w:p>
        </w:tc>
        <w:tc>
          <w:tcPr>
            <w:tcW w:w="86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(163)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(254)</w:t>
            </w:r>
          </w:p>
        </w:tc>
      </w:tr>
      <w:tr>
        <w:trPr>
          <w:trHeight w:val="185"/>
        </w:trPr>
        <w:tc>
          <w:tcPr>
            <w:tcW w:w="8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Pension and other postretirement benefit payments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w:t>
            </w:r>
          </w:p>
        </w:tc>
      </w:tr>
      <w:tr>
        <w:trPr>
          <w:trHeight w:val="176"/>
        </w:trPr>
        <w:tc>
          <w:tcPr>
            <w:tcW w:w="8620" w:type="dxa"/>
            <w:vAlign w:val="bottom"/>
          </w:tcPr>
          <w:p>
            <w:pPr>
              <w:ind w:left="320"/>
              <w:spacing w:after="0"/>
              <w:rPr>
                <w:sz w:val="20"/>
                <w:szCs w:val="20"/>
                <w:color w:val="auto"/>
              </w:rPr>
            </w:pPr>
            <w:r>
              <w:rPr>
                <w:rFonts w:ascii="Arial" w:cs="Arial" w:eastAsia="Arial" w:hAnsi="Arial"/>
                <w:sz w:val="12"/>
                <w:szCs w:val="12"/>
                <w:color w:val="auto"/>
              </w:rPr>
              <w:t>Stock compensation expense</w:t>
            </w:r>
          </w:p>
        </w:tc>
        <w:tc>
          <w:tcPr>
            <w:tcW w:w="86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52</w:t>
            </w:r>
          </w:p>
        </w:tc>
      </w:tr>
      <w:tr>
        <w:trPr>
          <w:trHeight w:val="185"/>
        </w:trPr>
        <w:tc>
          <w:tcPr>
            <w:tcW w:w="8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Deferred income taxes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w:t>
            </w:r>
          </w:p>
        </w:tc>
      </w:tr>
      <w:tr>
        <w:trPr>
          <w:trHeight w:val="176"/>
        </w:trPr>
        <w:tc>
          <w:tcPr>
            <w:tcW w:w="8620" w:type="dxa"/>
            <w:vAlign w:val="bottom"/>
          </w:tcPr>
          <w:p>
            <w:pPr>
              <w:ind w:left="320"/>
              <w:spacing w:after="0"/>
              <w:rPr>
                <w:sz w:val="20"/>
                <w:szCs w:val="20"/>
                <w:color w:val="auto"/>
              </w:rPr>
            </w:pPr>
            <w:r>
              <w:rPr>
                <w:rFonts w:ascii="Arial" w:cs="Arial" w:eastAsia="Arial" w:hAnsi="Arial"/>
                <w:sz w:val="12"/>
                <w:szCs w:val="12"/>
                <w:color w:val="auto"/>
              </w:rPr>
              <w:t>Other</w:t>
            </w:r>
          </w:p>
        </w:tc>
        <w:tc>
          <w:tcPr>
            <w:tcW w:w="86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185"/>
        </w:trPr>
        <w:tc>
          <w:tcPr>
            <w:tcW w:w="8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Changes in assets and liabilities, net of the effects of acquisitions and divestitures: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76"/>
        </w:trPr>
        <w:tc>
          <w:tcPr>
            <w:tcW w:w="8620" w:type="dxa"/>
            <w:vAlign w:val="bottom"/>
          </w:tcPr>
          <w:p>
            <w:pPr>
              <w:ind w:left="460"/>
              <w:spacing w:after="0"/>
              <w:rPr>
                <w:sz w:val="20"/>
                <w:szCs w:val="20"/>
                <w:color w:val="auto"/>
              </w:rPr>
            </w:pPr>
            <w:r>
              <w:rPr>
                <w:rFonts w:ascii="Arial" w:cs="Arial" w:eastAsia="Arial" w:hAnsi="Arial"/>
                <w:sz w:val="12"/>
                <w:szCs w:val="12"/>
                <w:color w:val="auto"/>
              </w:rPr>
              <w:t>Accounts receivable</w:t>
            </w:r>
          </w:p>
        </w:tc>
        <w:tc>
          <w:tcPr>
            <w:tcW w:w="86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198</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(61)</w:t>
            </w:r>
          </w:p>
        </w:tc>
      </w:tr>
      <w:tr>
        <w:trPr>
          <w:trHeight w:val="185"/>
        </w:trPr>
        <w:tc>
          <w:tcPr>
            <w:tcW w:w="8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Inventories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(221)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(163)</w:t>
            </w:r>
          </w:p>
        </w:tc>
      </w:tr>
      <w:tr>
        <w:trPr>
          <w:trHeight w:val="176"/>
        </w:trPr>
        <w:tc>
          <w:tcPr>
            <w:tcW w:w="8620" w:type="dxa"/>
            <w:vAlign w:val="bottom"/>
          </w:tcPr>
          <w:p>
            <w:pPr>
              <w:ind w:left="460"/>
              <w:spacing w:after="0"/>
              <w:rPr>
                <w:sz w:val="20"/>
                <w:szCs w:val="20"/>
                <w:color w:val="auto"/>
              </w:rPr>
            </w:pPr>
            <w:r>
              <w:rPr>
                <w:rFonts w:ascii="Arial" w:cs="Arial" w:eastAsia="Arial" w:hAnsi="Arial"/>
                <w:sz w:val="12"/>
                <w:szCs w:val="12"/>
                <w:color w:val="auto"/>
              </w:rPr>
              <w:t>Other current assets</w:t>
            </w:r>
          </w:p>
        </w:tc>
        <w:tc>
          <w:tcPr>
            <w:tcW w:w="86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(217)</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(43)</w:t>
            </w:r>
          </w:p>
        </w:tc>
      </w:tr>
      <w:tr>
        <w:trPr>
          <w:trHeight w:val="185"/>
        </w:trPr>
        <w:tc>
          <w:tcPr>
            <w:tcW w:w="8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Accounts payable</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w:t>
            </w:r>
          </w:p>
        </w:tc>
      </w:tr>
      <w:tr>
        <w:trPr>
          <w:trHeight w:val="176"/>
        </w:trPr>
        <w:tc>
          <w:tcPr>
            <w:tcW w:w="862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Accrued liabilities</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(248)</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(242)</w:t>
            </w:r>
          </w:p>
        </w:tc>
      </w:tr>
      <w:tr>
        <w:trPr>
          <w:trHeight w:val="165"/>
        </w:trPr>
        <w:tc>
          <w:tcPr>
            <w:tcW w:w="8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operating activities</w:t>
            </w:r>
          </w:p>
        </w:tc>
        <w:tc>
          <w:tcPr>
            <w:tcW w:w="8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1,134</w:t>
            </w:r>
          </w:p>
        </w:tc>
        <w:tc>
          <w:tcPr>
            <w:tcW w:w="12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1,136</w:t>
            </w:r>
          </w:p>
        </w:tc>
      </w:tr>
      <w:tr>
        <w:trPr>
          <w:trHeight w:val="165"/>
        </w:trPr>
        <w:tc>
          <w:tcPr>
            <w:tcW w:w="862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Expenditures for property, plant and equipment</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(140)</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Proceeds from disposals of property, plant and equipment</w:t>
            </w:r>
          </w:p>
        </w:tc>
        <w:tc>
          <w:tcPr>
            <w:tcW w:w="86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2</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in investments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(1,226)</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(583)</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Decrease in investments</w:t>
            </w:r>
          </w:p>
        </w:tc>
        <w:tc>
          <w:tcPr>
            <w:tcW w:w="86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796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1,838</w:t>
            </w:r>
          </w:p>
        </w:tc>
      </w:tr>
      <w:tr>
        <w:trPr>
          <w:trHeight w:val="180"/>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8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(123)</w:t>
            </w:r>
          </w:p>
        </w:tc>
      </w:tr>
      <w:tr>
        <w:trPr>
          <w:trHeight w:val="16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cash (used for) provided by investing activities</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(609)</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994</w:t>
            </w:r>
          </w:p>
        </w:tc>
      </w:tr>
      <w:tr>
        <w:trPr>
          <w:trHeight w:val="17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Proceeds from issuance of commercial paper and other short-term borrowings</w:t>
            </w:r>
          </w:p>
        </w:tc>
        <w:tc>
          <w:tcPr>
            <w:tcW w:w="86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3,318</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6,676</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Payments of commercial paper and other short-term borrowings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(3,319)</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(5,329)</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Proceeds from issuance of common stock</w:t>
            </w:r>
          </w:p>
        </w:tc>
        <w:tc>
          <w:tcPr>
            <w:tcW w:w="86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60</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issuance of long-term debt</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Payments of long-term debt</w:t>
            </w:r>
          </w:p>
        </w:tc>
        <w:tc>
          <w:tcPr>
            <w:tcW w:w="86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(1,246)</w:t>
            </w:r>
          </w:p>
        </w:tc>
      </w:tr>
      <w:tr>
        <w:trPr>
          <w:trHeight w:val="185"/>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Repurchases of common stock</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(750)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(940)</w:t>
            </w:r>
          </w:p>
        </w:tc>
      </w:tr>
      <w:tr>
        <w:trPr>
          <w:trHeight w:val="176"/>
        </w:trPr>
        <w:tc>
          <w:tcPr>
            <w:tcW w:w="8620" w:type="dxa"/>
            <w:vAlign w:val="bottom"/>
          </w:tcPr>
          <w:p>
            <w:pPr>
              <w:ind w:left="180"/>
              <w:spacing w:after="0"/>
              <w:rPr>
                <w:sz w:val="20"/>
                <w:szCs w:val="20"/>
                <w:color w:val="auto"/>
              </w:rPr>
            </w:pPr>
            <w:r>
              <w:rPr>
                <w:rFonts w:ascii="Arial" w:cs="Arial" w:eastAsia="Arial" w:hAnsi="Arial"/>
                <w:sz w:val="12"/>
                <w:szCs w:val="12"/>
                <w:color w:val="auto"/>
              </w:rPr>
              <w:t>Cash dividends paid</w:t>
            </w:r>
          </w:p>
        </w:tc>
        <w:tc>
          <w:tcPr>
            <w:tcW w:w="86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(606)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(556)</w:t>
            </w:r>
          </w:p>
        </w:tc>
      </w:tr>
      <w:tr>
        <w:trPr>
          <w:trHeight w:val="180"/>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8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(116)</w:t>
            </w:r>
          </w:p>
        </w:tc>
      </w:tr>
      <w:tr>
        <w:trPr>
          <w:trHeight w:val="16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cash used for financing activities</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(1,235)</w:t>
            </w: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(1,448)</w:t>
            </w:r>
          </w:p>
        </w:tc>
      </w:tr>
      <w:tr>
        <w:trPr>
          <w:trHeight w:val="16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8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156</w:t>
            </w:r>
          </w:p>
        </w:tc>
      </w:tr>
    </w:tbl>
    <w:p>
      <w:pPr>
        <w:spacing w:after="0" w:line="17" w:lineRule="exact"/>
        <w:rPr>
          <w:sz w:val="20"/>
          <w:szCs w:val="20"/>
          <w:color w:val="auto"/>
        </w:rPr>
      </w:pPr>
    </w:p>
    <w:p>
      <w:pPr>
        <w:sectPr>
          <w:pgSz w:w="11900" w:h="16838" w:orient="portrait"/>
          <w:cols w:equalWidth="0" w:num="1">
            <w:col w:w="11480"/>
          </w:cols>
          <w:pgMar w:left="220" w:top="577" w:right="199" w:bottom="1440" w:gutter="0" w:footer="0" w:header="0"/>
        </w:sectPr>
      </w:pPr>
    </w:p>
    <w:p>
      <w:pPr>
        <w:ind w:left="20"/>
        <w:spacing w:after="0" w:line="350" w:lineRule="auto"/>
        <w:rPr>
          <w:sz w:val="20"/>
          <w:szCs w:val="20"/>
          <w:color w:val="auto"/>
        </w:rPr>
      </w:pPr>
      <w:r>
        <w:rPr>
          <w:rFonts w:ascii="Arial" w:cs="Arial" w:eastAsia="Arial" w:hAnsi="Arial"/>
          <w:sz w:val="11"/>
          <w:szCs w:val="11"/>
          <w:color w:val="auto"/>
        </w:rPr>
        <w:t>Net (decrease) increase in cash and cash equivalents Cash and cash equivalents at beginning of period</w:t>
      </w:r>
    </w:p>
    <w:p>
      <w:pPr>
        <w:ind w:left="20"/>
        <w:spacing w:after="0"/>
        <w:rPr>
          <w:sz w:val="20"/>
          <w:szCs w:val="20"/>
          <w:color w:val="auto"/>
        </w:rPr>
      </w:pPr>
      <w:r>
        <w:rPr>
          <w:rFonts w:ascii="Arial" w:cs="Arial" w:eastAsia="Arial" w:hAnsi="Arial"/>
          <w:sz w:val="12"/>
          <w:szCs w:val="12"/>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160" w:type="dxa"/>
        <w:tblCellMar>
          <w:top w:w="0" w:type="dxa"/>
          <w:left w:w="0" w:type="dxa"/>
          <w:bottom w:w="0" w:type="dxa"/>
          <w:right w:w="0" w:type="dxa"/>
        </w:tblCellMar>
      </w:tblPr>
      <w:tr>
        <w:trPr>
          <w:trHeight w:val="145"/>
        </w:trPr>
        <w:tc>
          <w:tcPr>
            <w:tcW w:w="520" w:type="dxa"/>
            <w:vAlign w:val="bottom"/>
          </w:tcPr>
          <w:p>
            <w:pPr>
              <w:spacing w:after="0"/>
              <w:rPr>
                <w:sz w:val="12"/>
                <w:szCs w:val="12"/>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(662)</w:t>
            </w:r>
          </w:p>
        </w:tc>
        <w:tc>
          <w:tcPr>
            <w:tcW w:w="120" w:type="dxa"/>
            <w:vAlign w:val="bottom"/>
          </w:tcPr>
          <w:p>
            <w:pPr>
              <w:spacing w:after="0"/>
              <w:rPr>
                <w:sz w:val="12"/>
                <w:szCs w:val="12"/>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838</w:t>
            </w:r>
          </w:p>
        </w:tc>
      </w:tr>
      <w:tr>
        <w:trPr>
          <w:trHeight w:val="185"/>
        </w:trPr>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9,287</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7,059</w:t>
            </w:r>
          </w:p>
        </w:tc>
      </w:tr>
      <w:tr>
        <w:trPr>
          <w:trHeight w:val="172"/>
        </w:trPr>
        <w:tc>
          <w:tcPr>
            <w:tcW w:w="5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8,625</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7,897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-245110</wp:posOffset>
            </wp:positionV>
            <wp:extent cx="729234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124" w:lineRule="exact"/>
        <w:rPr>
          <w:sz w:val="20"/>
          <w:szCs w:val="20"/>
          <w:color w:val="auto"/>
        </w:rPr>
      </w:pPr>
    </w:p>
    <w:p>
      <w:pPr>
        <w:jc w:val="center"/>
        <w:ind w:right="3460"/>
        <w:spacing w:after="0"/>
        <w:rPr>
          <w:sz w:val="20"/>
          <w:szCs w:val="20"/>
          <w:color w:val="auto"/>
        </w:rPr>
      </w:pPr>
      <w:r>
        <w:rPr>
          <w:rFonts w:ascii="Arial" w:cs="Arial" w:eastAsia="Arial" w:hAnsi="Arial"/>
          <w:sz w:val="11"/>
          <w:szCs w:val="11"/>
          <w:color w:val="auto"/>
        </w:rPr>
        <w:t>The Notes to Consolidated Financial Statements are an integral part of this statement.</w:t>
      </w:r>
    </w:p>
    <w:p>
      <w:pPr>
        <w:spacing w:after="0" w:line="180" w:lineRule="exact"/>
        <w:rPr>
          <w:sz w:val="20"/>
          <w:szCs w:val="20"/>
          <w:color w:val="auto"/>
        </w:rPr>
      </w:pPr>
    </w:p>
    <w:p>
      <w:pPr>
        <w:ind w:left="2240"/>
        <w:spacing w:after="0"/>
        <w:rPr>
          <w:sz w:val="20"/>
          <w:szCs w:val="20"/>
          <w:color w:val="auto"/>
        </w:rPr>
      </w:pPr>
      <w:r>
        <w:rPr>
          <w:rFonts w:ascii="Arial" w:cs="Arial" w:eastAsia="Arial" w:hAnsi="Arial"/>
          <w:sz w:val="12"/>
          <w:szCs w:val="12"/>
          <w:color w:val="auto"/>
        </w:rPr>
        <w:t>6</w:t>
      </w:r>
    </w:p>
    <w:p>
      <w:pPr>
        <w:sectPr>
          <w:pgSz w:w="11900" w:h="16838" w:orient="portrait"/>
          <w:cols w:equalWidth="0" w:num="2">
            <w:col w:w="2860" w:space="600"/>
            <w:col w:w="8020"/>
          </w:cols>
          <w:pgMar w:left="220" w:top="577" w:right="19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 of Shareowners'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0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0"/>
                <w:szCs w:val="10"/>
                <w:b w:val="1"/>
                <w:bCs w:val="1"/>
                <w:color w:val="auto"/>
              </w:rPr>
              <w:t>Three Months Ended March 31,</w:t>
            </w:r>
          </w:p>
        </w:tc>
        <w:tc>
          <w:tcPr>
            <w:tcW w:w="740" w:type="dxa"/>
            <w:vAlign w:val="bottom"/>
            <w:tcBorders>
              <w:bottom w:val="single" w:sz="8" w:color="auto"/>
            </w:tcBorders>
          </w:tcPr>
          <w:p>
            <w:pPr>
              <w:spacing w:after="0"/>
              <w:rPr>
                <w:sz w:val="11"/>
                <w:szCs w:val="11"/>
                <w:color w:val="auto"/>
              </w:rPr>
            </w:pPr>
          </w:p>
        </w:tc>
      </w:tr>
      <w:tr>
        <w:trPr>
          <w:trHeight w:val="169"/>
        </w:trPr>
        <w:tc>
          <w:tcPr>
            <w:tcW w:w="7000" w:type="dxa"/>
            <w:vAlign w:val="bottom"/>
          </w:tcPr>
          <w:p>
            <w:pPr>
              <w:spacing w:after="0"/>
              <w:rPr>
                <w:sz w:val="14"/>
                <w:szCs w:val="14"/>
                <w:color w:val="auto"/>
              </w:rPr>
            </w:pPr>
          </w:p>
        </w:tc>
        <w:tc>
          <w:tcPr>
            <w:tcW w:w="1400" w:type="dxa"/>
            <w:vAlign w:val="bottom"/>
            <w:gridSpan w:val="3"/>
          </w:tcPr>
          <w:p>
            <w:pPr>
              <w:jc w:val="right"/>
              <w:ind w:right="126"/>
              <w:spacing w:after="0"/>
              <w:rPr>
                <w:sz w:val="20"/>
                <w:szCs w:val="20"/>
                <w:color w:val="auto"/>
              </w:rPr>
            </w:pPr>
            <w:r>
              <w:rPr>
                <w:rFonts w:ascii="Arial" w:cs="Arial" w:eastAsia="Arial" w:hAnsi="Arial"/>
                <w:sz w:val="10"/>
                <w:szCs w:val="10"/>
                <w:b w:val="1"/>
                <w:bCs w:val="1"/>
                <w:color w:val="auto"/>
              </w:rPr>
              <w:t>2019</w:t>
            </w:r>
          </w:p>
        </w:tc>
        <w:tc>
          <w:tcPr>
            <w:tcW w:w="800" w:type="dxa"/>
            <w:vAlign w:val="bottom"/>
          </w:tcPr>
          <w:p>
            <w:pPr>
              <w:spacing w:after="0"/>
              <w:rPr>
                <w:sz w:val="14"/>
                <w:szCs w:val="14"/>
                <w:color w:val="auto"/>
              </w:rPr>
            </w:pPr>
          </w:p>
        </w:tc>
        <w:tc>
          <w:tcPr>
            <w:tcW w:w="154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rPr>
              <w:t>2018</w:t>
            </w:r>
          </w:p>
        </w:tc>
        <w:tc>
          <w:tcPr>
            <w:tcW w:w="740" w:type="dxa"/>
            <w:vAlign w:val="bottom"/>
          </w:tcPr>
          <w:p>
            <w:pPr>
              <w:spacing w:after="0"/>
              <w:rPr>
                <w:sz w:val="14"/>
                <w:szCs w:val="14"/>
                <w:color w:val="auto"/>
              </w:rPr>
            </w:pPr>
          </w:p>
        </w:tc>
      </w:tr>
      <w:tr>
        <w:trPr>
          <w:trHeight w:val="169"/>
        </w:trPr>
        <w:tc>
          <w:tcPr>
            <w:tcW w:w="7000" w:type="dxa"/>
            <w:vAlign w:val="bottom"/>
          </w:tcPr>
          <w:p>
            <w:pPr>
              <w:spacing w:after="0"/>
              <w:rPr>
                <w:sz w:val="14"/>
                <w:szCs w:val="14"/>
                <w:color w:val="auto"/>
              </w:rPr>
            </w:pPr>
          </w:p>
        </w:tc>
        <w:tc>
          <w:tcPr>
            <w:tcW w:w="1400" w:type="dxa"/>
            <w:vAlign w:val="bottom"/>
            <w:tcBorders>
              <w:top w:val="single" w:sz="8" w:color="auto"/>
              <w:bottom w:val="single" w:sz="8" w:color="auto"/>
            </w:tcBorders>
            <w:gridSpan w:val="3"/>
          </w:tcPr>
          <w:p>
            <w:pPr>
              <w:jc w:val="right"/>
              <w:ind w:right="666"/>
              <w:spacing w:after="0"/>
              <w:rPr>
                <w:sz w:val="20"/>
                <w:szCs w:val="20"/>
                <w:color w:val="auto"/>
              </w:rPr>
            </w:pPr>
            <w:r>
              <w:rPr>
                <w:rFonts w:ascii="Arial" w:cs="Arial" w:eastAsia="Arial" w:hAnsi="Arial"/>
                <w:sz w:val="10"/>
                <w:szCs w:val="10"/>
                <w:b w:val="1"/>
                <w:bCs w:val="1"/>
                <w:color w:val="auto"/>
              </w:rPr>
              <w:t>Shares</w:t>
            </w:r>
          </w:p>
        </w:tc>
        <w:tc>
          <w:tcPr>
            <w:tcW w:w="8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w:t>
            </w:r>
          </w:p>
        </w:tc>
        <w:tc>
          <w:tcPr>
            <w:tcW w:w="120" w:type="dxa"/>
            <w:vAlign w:val="bottom"/>
            <w:tcBorders>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3"/>
          </w:tcPr>
          <w:p>
            <w:pPr>
              <w:jc w:val="right"/>
              <w:ind w:right="680"/>
              <w:spacing w:after="0"/>
              <w:rPr>
                <w:sz w:val="20"/>
                <w:szCs w:val="20"/>
                <w:color w:val="auto"/>
              </w:rPr>
            </w:pPr>
            <w:r>
              <w:rPr>
                <w:rFonts w:ascii="Arial" w:cs="Arial" w:eastAsia="Arial" w:hAnsi="Arial"/>
                <w:sz w:val="10"/>
                <w:szCs w:val="10"/>
                <w:b w:val="1"/>
                <w:bCs w:val="1"/>
                <w:color w:val="auto"/>
              </w:rPr>
              <w:t>Shares</w:t>
            </w:r>
          </w:p>
        </w:tc>
        <w:tc>
          <w:tcPr>
            <w:tcW w:w="7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w:t>
            </w:r>
          </w:p>
        </w:tc>
      </w:tr>
      <w:tr>
        <w:trPr>
          <w:trHeight w:val="151"/>
        </w:trPr>
        <w:tc>
          <w:tcPr>
            <w:tcW w:w="7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6"/>
          </w:tcPr>
          <w:p>
            <w:pPr>
              <w:ind w:left="20"/>
              <w:spacing w:after="0"/>
              <w:rPr>
                <w:sz w:val="20"/>
                <w:szCs w:val="20"/>
                <w:color w:val="auto"/>
              </w:rPr>
            </w:pPr>
            <w:r>
              <w:rPr>
                <w:rFonts w:ascii="Arial" w:cs="Arial" w:eastAsia="Arial" w:hAnsi="Arial"/>
                <w:sz w:val="10"/>
                <w:szCs w:val="10"/>
                <w:b w:val="1"/>
                <w:bCs w:val="1"/>
                <w:color w:val="auto"/>
              </w:rPr>
              <w:t>(Dollars in millions, except per share amounts)</w:t>
            </w:r>
          </w:p>
        </w:tc>
        <w:tc>
          <w:tcPr>
            <w:tcW w:w="740" w:type="dxa"/>
            <w:vAlign w:val="bottom"/>
          </w:tcPr>
          <w:p>
            <w:pPr>
              <w:spacing w:after="0"/>
              <w:rPr>
                <w:sz w:val="13"/>
                <w:szCs w:val="13"/>
                <w:color w:val="auto"/>
              </w:rPr>
            </w:pPr>
          </w:p>
        </w:tc>
      </w:tr>
      <w:tr>
        <w:trPr>
          <w:trHeight w:val="184"/>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Common stock, par value</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957.6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958</w:t>
            </w:r>
          </w:p>
        </w:tc>
        <w:tc>
          <w:tcPr>
            <w:tcW w:w="1160" w:type="dxa"/>
            <w:vAlign w:val="bottom"/>
            <w:gridSpan w:val="2"/>
            <w:shd w:val="clear" w:color="auto" w:fill="CCEEFF"/>
          </w:tcPr>
          <w:p>
            <w:pPr>
              <w:jc w:val="right"/>
              <w:ind w:right="64"/>
              <w:spacing w:after="0"/>
              <w:rPr>
                <w:sz w:val="20"/>
                <w:szCs w:val="20"/>
                <w:color w:val="auto"/>
              </w:rPr>
            </w:pPr>
            <w:r>
              <w:rPr>
                <w:rFonts w:ascii="Arial" w:cs="Arial" w:eastAsia="Arial" w:hAnsi="Arial"/>
                <w:sz w:val="12"/>
                <w:szCs w:val="12"/>
                <w:color w:val="auto"/>
              </w:rPr>
              <w:t>957.6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958</w:t>
            </w:r>
          </w:p>
        </w:tc>
      </w:tr>
      <w:tr>
        <w:trPr>
          <w:trHeight w:val="165"/>
        </w:trPr>
        <w:tc>
          <w:tcPr>
            <w:tcW w:w="7000" w:type="dxa"/>
            <w:vAlign w:val="bottom"/>
          </w:tcPr>
          <w:p>
            <w:pPr>
              <w:ind w:left="20"/>
              <w:spacing w:after="0"/>
              <w:rPr>
                <w:sz w:val="20"/>
                <w:szCs w:val="20"/>
                <w:color w:val="auto"/>
              </w:rPr>
            </w:pPr>
            <w:r>
              <w:rPr>
                <w:rFonts w:ascii="Arial" w:cs="Arial" w:eastAsia="Arial" w:hAnsi="Arial"/>
                <w:sz w:val="12"/>
                <w:szCs w:val="12"/>
                <w:b w:val="1"/>
                <w:bCs w:val="1"/>
                <w:color w:val="auto"/>
              </w:rPr>
              <w:t>Additional paid-in capital</w:t>
            </w: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8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 balance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6,452</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6,212</w:t>
            </w:r>
          </w:p>
        </w:tc>
      </w:tr>
      <w:tr>
        <w:trPr>
          <w:trHeight w:val="176"/>
        </w:trPr>
        <w:tc>
          <w:tcPr>
            <w:tcW w:w="7000" w:type="dxa"/>
            <w:vAlign w:val="bottom"/>
          </w:tcPr>
          <w:p>
            <w:pPr>
              <w:ind w:left="200"/>
              <w:spacing w:after="0"/>
              <w:rPr>
                <w:sz w:val="20"/>
                <w:szCs w:val="20"/>
                <w:color w:val="auto"/>
              </w:rPr>
            </w:pPr>
            <w:r>
              <w:rPr>
                <w:rFonts w:ascii="Arial" w:cs="Arial" w:eastAsia="Arial" w:hAnsi="Arial"/>
                <w:sz w:val="12"/>
                <w:szCs w:val="12"/>
                <w:color w:val="auto"/>
              </w:rPr>
              <w:t>Issued for employee savings and option plans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159</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(14)</w:t>
            </w:r>
          </w:p>
        </w:tc>
      </w:tr>
      <w:tr>
        <w:trPr>
          <w:trHeight w:val="180"/>
        </w:trPr>
        <w:tc>
          <w:tcPr>
            <w:tcW w:w="7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Stock-based compensation expense</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41</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52</w:t>
            </w:r>
          </w:p>
        </w:tc>
      </w:tr>
      <w:tr>
        <w:trPr>
          <w:trHeight w:val="16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Ending balance</w:t>
            </w:r>
          </w:p>
        </w:tc>
        <w:tc>
          <w:tcPr>
            <w:tcW w:w="10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6,652</w:t>
            </w:r>
          </w:p>
        </w:tc>
        <w:tc>
          <w:tcPr>
            <w:tcW w:w="12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6,250</w:t>
            </w:r>
          </w:p>
        </w:tc>
      </w:tr>
      <w:tr>
        <w:trPr>
          <w:trHeight w:val="174"/>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Treasury stock</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6"/>
        </w:trPr>
        <w:tc>
          <w:tcPr>
            <w:tcW w:w="7000" w:type="dxa"/>
            <w:vAlign w:val="bottom"/>
          </w:tcPr>
          <w:p>
            <w:pPr>
              <w:ind w:left="20"/>
              <w:spacing w:after="0"/>
              <w:rPr>
                <w:sz w:val="20"/>
                <w:szCs w:val="20"/>
                <w:color w:val="auto"/>
              </w:rPr>
            </w:pPr>
            <w:r>
              <w:rPr>
                <w:rFonts w:ascii="Arial" w:cs="Arial" w:eastAsia="Arial" w:hAnsi="Arial"/>
                <w:sz w:val="12"/>
                <w:szCs w:val="12"/>
                <w:color w:val="auto"/>
              </w:rPr>
              <w:t>Beginning balance</w:t>
            </w:r>
          </w:p>
        </w:tc>
        <w:tc>
          <w:tcPr>
            <w:tcW w:w="1040" w:type="dxa"/>
            <w:vAlign w:val="bottom"/>
          </w:tcPr>
          <w:p>
            <w:pPr>
              <w:jc w:val="right"/>
              <w:ind w:right="23"/>
              <w:spacing w:after="0"/>
              <w:rPr>
                <w:sz w:val="20"/>
                <w:szCs w:val="20"/>
                <w:color w:val="auto"/>
              </w:rPr>
            </w:pPr>
            <w:r>
              <w:rPr>
                <w:rFonts w:ascii="Arial" w:cs="Arial" w:eastAsia="Arial" w:hAnsi="Arial"/>
                <w:sz w:val="12"/>
                <w:szCs w:val="12"/>
                <w:color w:val="auto"/>
              </w:rPr>
              <w:t>(228.0)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(19,771)</w:t>
            </w:r>
          </w:p>
        </w:tc>
        <w:tc>
          <w:tcPr>
            <w:tcW w:w="1160" w:type="dxa"/>
            <w:vAlign w:val="bottom"/>
            <w:gridSpan w:val="2"/>
          </w:tcPr>
          <w:p>
            <w:pPr>
              <w:jc w:val="right"/>
              <w:ind w:right="24"/>
              <w:spacing w:after="0"/>
              <w:rPr>
                <w:sz w:val="20"/>
                <w:szCs w:val="20"/>
                <w:color w:val="auto"/>
              </w:rPr>
            </w:pPr>
            <w:r>
              <w:rPr>
                <w:rFonts w:ascii="Arial" w:cs="Arial" w:eastAsia="Arial" w:hAnsi="Arial"/>
                <w:sz w:val="12"/>
                <w:szCs w:val="12"/>
                <w:color w:val="auto"/>
              </w:rPr>
              <w:t>(206.7)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20"/>
              <w:spacing w:after="0"/>
              <w:rPr>
                <w:sz w:val="20"/>
                <w:szCs w:val="20"/>
                <w:color w:val="auto"/>
              </w:rPr>
            </w:pPr>
            <w:r>
              <w:rPr>
                <w:rFonts w:ascii="Arial" w:cs="Arial" w:eastAsia="Arial" w:hAnsi="Arial"/>
                <w:sz w:val="12"/>
                <w:szCs w:val="12"/>
                <w:color w:val="auto"/>
              </w:rPr>
              <w:t>(15,914)</w:t>
            </w:r>
          </w:p>
        </w:tc>
      </w:tr>
      <w:tr>
        <w:trPr>
          <w:trHeight w:val="185"/>
        </w:trPr>
        <w:tc>
          <w:tcPr>
            <w:tcW w:w="7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Reacquired stock or repurchases of common stock</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(750)</w:t>
            </w:r>
          </w:p>
        </w:tc>
        <w:tc>
          <w:tcPr>
            <w:tcW w:w="1160" w:type="dxa"/>
            <w:vAlign w:val="bottom"/>
            <w:gridSpan w:val="2"/>
            <w:shd w:val="clear" w:color="auto" w:fill="CCEEFF"/>
          </w:tcPr>
          <w:p>
            <w:pPr>
              <w:jc w:val="right"/>
              <w:ind w:right="24"/>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(940)</w:t>
            </w:r>
          </w:p>
        </w:tc>
      </w:tr>
      <w:tr>
        <w:trPr>
          <w:trHeight w:val="176"/>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Issued for employee savings and option plans</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129</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w:t>
            </w:r>
          </w:p>
        </w:tc>
      </w:tr>
      <w:tr>
        <w:trPr>
          <w:trHeight w:val="16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(229.9)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(20,392)</w:t>
            </w:r>
          </w:p>
        </w:tc>
        <w:tc>
          <w:tcPr>
            <w:tcW w:w="1160" w:type="dxa"/>
            <w:vAlign w:val="bottom"/>
            <w:gridSpan w:val="2"/>
            <w:shd w:val="clear" w:color="auto" w:fill="CCEEFF"/>
          </w:tcPr>
          <w:p>
            <w:pPr>
              <w:jc w:val="right"/>
              <w:ind w:right="24"/>
              <w:spacing w:after="0"/>
              <w:rPr>
                <w:sz w:val="20"/>
                <w:szCs w:val="20"/>
                <w:color w:val="auto"/>
              </w:rPr>
            </w:pPr>
            <w:r>
              <w:rPr>
                <w:rFonts w:ascii="Arial" w:cs="Arial" w:eastAsia="Arial" w:hAnsi="Arial"/>
                <w:sz w:val="12"/>
                <w:szCs w:val="12"/>
                <w:color w:val="auto"/>
              </w:rPr>
              <w:t>(210.7)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(16,834)</w:t>
            </w:r>
          </w:p>
        </w:tc>
      </w:tr>
      <w:tr>
        <w:trPr>
          <w:trHeight w:val="165"/>
        </w:trPr>
        <w:tc>
          <w:tcPr>
            <w:tcW w:w="7000" w:type="dxa"/>
            <w:vAlign w:val="bottom"/>
          </w:tcPr>
          <w:p>
            <w:pPr>
              <w:ind w:left="20"/>
              <w:spacing w:after="0"/>
              <w:rPr>
                <w:sz w:val="20"/>
                <w:szCs w:val="20"/>
                <w:color w:val="auto"/>
              </w:rPr>
            </w:pPr>
            <w:r>
              <w:rPr>
                <w:rFonts w:ascii="Arial" w:cs="Arial" w:eastAsia="Arial" w:hAnsi="Arial"/>
                <w:sz w:val="12"/>
                <w:szCs w:val="12"/>
                <w:b w:val="1"/>
                <w:bCs w:val="1"/>
                <w:color w:val="auto"/>
              </w:rPr>
              <w:t>Retained earnings</w:t>
            </w: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8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 balance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33,978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27,481</w:t>
            </w:r>
          </w:p>
        </w:tc>
      </w:tr>
      <w:tr>
        <w:trPr>
          <w:trHeight w:val="176"/>
        </w:trPr>
        <w:tc>
          <w:tcPr>
            <w:tcW w:w="7000" w:type="dxa"/>
            <w:vAlign w:val="bottom"/>
          </w:tcPr>
          <w:p>
            <w:pPr>
              <w:ind w:left="200"/>
              <w:spacing w:after="0"/>
              <w:rPr>
                <w:sz w:val="20"/>
                <w:szCs w:val="20"/>
                <w:color w:val="auto"/>
              </w:rPr>
            </w:pPr>
            <w:r>
              <w:rPr>
                <w:rFonts w:ascii="Arial" w:cs="Arial" w:eastAsia="Arial" w:hAnsi="Arial"/>
                <w:sz w:val="12"/>
                <w:szCs w:val="12"/>
                <w:color w:val="auto"/>
              </w:rPr>
              <w:t>Adoption of new accounting standards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264</w:t>
            </w:r>
          </w:p>
        </w:tc>
      </w:tr>
      <w:tr>
        <w:trPr>
          <w:trHeight w:val="185"/>
        </w:trPr>
        <w:tc>
          <w:tcPr>
            <w:tcW w:w="7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income attributable to Honeywell</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1,416</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1,439</w:t>
            </w:r>
          </w:p>
        </w:tc>
      </w:tr>
      <w:tr>
        <w:trPr>
          <w:trHeight w:val="176"/>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Dividends on common stock</w:t>
            </w: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(600)</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(561)</w:t>
            </w:r>
          </w:p>
        </w:tc>
      </w:tr>
      <w:tr>
        <w:trPr>
          <w:trHeight w:val="16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34,794</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28,623</w:t>
            </w:r>
          </w:p>
        </w:tc>
      </w:tr>
      <w:tr>
        <w:trPr>
          <w:trHeight w:val="165"/>
        </w:trPr>
        <w:tc>
          <w:tcPr>
            <w:tcW w:w="7000" w:type="dxa"/>
            <w:vAlign w:val="bottom"/>
          </w:tcPr>
          <w:p>
            <w:pPr>
              <w:ind w:left="20"/>
              <w:spacing w:after="0"/>
              <w:rPr>
                <w:sz w:val="20"/>
                <w:szCs w:val="20"/>
                <w:color w:val="auto"/>
              </w:rPr>
            </w:pPr>
            <w:r>
              <w:rPr>
                <w:rFonts w:ascii="Arial" w:cs="Arial" w:eastAsia="Arial" w:hAnsi="Arial"/>
                <w:sz w:val="12"/>
                <w:szCs w:val="12"/>
                <w:b w:val="1"/>
                <w:bCs w:val="1"/>
                <w:color w:val="auto"/>
              </w:rPr>
              <w:t>Accumulated other comprehensive income (loss)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 balance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(3,437)</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(2,235)</w:t>
            </w:r>
          </w:p>
        </w:tc>
      </w:tr>
      <w:tr>
        <w:trPr>
          <w:trHeight w:val="176"/>
        </w:trPr>
        <w:tc>
          <w:tcPr>
            <w:tcW w:w="7000" w:type="dxa"/>
            <w:vAlign w:val="bottom"/>
          </w:tcPr>
          <w:p>
            <w:pPr>
              <w:ind w:left="200"/>
              <w:spacing w:after="0"/>
              <w:rPr>
                <w:sz w:val="20"/>
                <w:szCs w:val="20"/>
                <w:color w:val="auto"/>
              </w:rPr>
            </w:pPr>
            <w:r>
              <w:rPr>
                <w:rFonts w:ascii="Arial" w:cs="Arial" w:eastAsia="Arial" w:hAnsi="Arial"/>
                <w:sz w:val="12"/>
                <w:szCs w:val="12"/>
                <w:color w:val="auto"/>
              </w:rPr>
              <w:t>Foreign exchange translation adjustment</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205</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91</w:t>
            </w:r>
          </w:p>
        </w:tc>
      </w:tr>
      <w:tr>
        <w:trPr>
          <w:trHeight w:val="185"/>
        </w:trPr>
        <w:tc>
          <w:tcPr>
            <w:tcW w:w="7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Pensions and other postretirement benefit adjustments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w:t>
            </w:r>
          </w:p>
        </w:tc>
      </w:tr>
      <w:tr>
        <w:trPr>
          <w:trHeight w:val="176"/>
        </w:trPr>
        <w:tc>
          <w:tcPr>
            <w:tcW w:w="700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Changes in fair value of cash flow hedges</w:t>
            </w: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w:t>
            </w:r>
          </w:p>
        </w:tc>
      </w:tr>
      <w:tr>
        <w:trPr>
          <w:trHeight w:val="16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(3,245)</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(2,174)</w:t>
            </w:r>
          </w:p>
        </w:tc>
      </w:tr>
      <w:tr>
        <w:trPr>
          <w:trHeight w:val="165"/>
        </w:trPr>
        <w:tc>
          <w:tcPr>
            <w:tcW w:w="7000" w:type="dxa"/>
            <w:vAlign w:val="bottom"/>
          </w:tcPr>
          <w:p>
            <w:pPr>
              <w:ind w:left="20"/>
              <w:spacing w:after="0"/>
              <w:rPr>
                <w:sz w:val="20"/>
                <w:szCs w:val="20"/>
                <w:color w:val="auto"/>
              </w:rPr>
            </w:pPr>
            <w:r>
              <w:rPr>
                <w:rFonts w:ascii="Arial" w:cs="Arial" w:eastAsia="Arial" w:hAnsi="Arial"/>
                <w:sz w:val="12"/>
                <w:szCs w:val="12"/>
                <w:b w:val="1"/>
                <w:bCs w:val="1"/>
                <w:color w:val="auto"/>
              </w:rPr>
              <w:t>Noncontrolling interest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5"/>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 balance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163</w:t>
            </w:r>
          </w:p>
        </w:tc>
      </w:tr>
      <w:tr>
        <w:trPr>
          <w:trHeight w:val="176"/>
        </w:trPr>
        <w:tc>
          <w:tcPr>
            <w:tcW w:w="7000" w:type="dxa"/>
            <w:vAlign w:val="bottom"/>
          </w:tcPr>
          <w:p>
            <w:pPr>
              <w:ind w:left="200"/>
              <w:spacing w:after="0"/>
              <w:rPr>
                <w:sz w:val="20"/>
                <w:szCs w:val="20"/>
                <w:color w:val="auto"/>
              </w:rPr>
            </w:pPr>
            <w:r>
              <w:rPr>
                <w:rFonts w:ascii="Arial" w:cs="Arial" w:eastAsia="Arial" w:hAnsi="Arial"/>
                <w:sz w:val="12"/>
                <w:szCs w:val="12"/>
                <w:color w:val="auto"/>
              </w:rPr>
              <w:t>Acquisitions, divestitures, and other</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1</w:t>
            </w:r>
          </w:p>
        </w:tc>
      </w:tr>
      <w:tr>
        <w:trPr>
          <w:trHeight w:val="185"/>
        </w:trPr>
        <w:tc>
          <w:tcPr>
            <w:tcW w:w="7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income attributable to noncontrolling interest</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r>
      <w:tr>
        <w:trPr>
          <w:trHeight w:val="176"/>
        </w:trPr>
        <w:tc>
          <w:tcPr>
            <w:tcW w:w="7000" w:type="dxa"/>
            <w:vAlign w:val="bottom"/>
          </w:tcPr>
          <w:p>
            <w:pPr>
              <w:ind w:left="200"/>
              <w:spacing w:after="0"/>
              <w:rPr>
                <w:sz w:val="20"/>
                <w:szCs w:val="20"/>
                <w:color w:val="auto"/>
              </w:rPr>
            </w:pPr>
            <w:r>
              <w:rPr>
                <w:rFonts w:ascii="Arial" w:cs="Arial" w:eastAsia="Arial" w:hAnsi="Arial"/>
                <w:sz w:val="12"/>
                <w:szCs w:val="12"/>
                <w:color w:val="auto"/>
              </w:rPr>
              <w:t>Foreign exchange translation adjustment</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60"/>
              <w:spacing w:after="0"/>
              <w:rPr>
                <w:sz w:val="20"/>
                <w:szCs w:val="20"/>
                <w:color w:val="auto"/>
              </w:rPr>
            </w:pPr>
            <w:r>
              <w:rPr>
                <w:rFonts w:ascii="Arial" w:cs="Arial" w:eastAsia="Arial" w:hAnsi="Arial"/>
                <w:sz w:val="12"/>
                <w:szCs w:val="12"/>
                <w:color w:val="auto"/>
              </w:rPr>
              <w:t>4</w:t>
            </w:r>
          </w:p>
        </w:tc>
      </w:tr>
      <w:tr>
        <w:trPr>
          <w:trHeight w:val="180"/>
        </w:trPr>
        <w:tc>
          <w:tcPr>
            <w:tcW w:w="7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Dividends paid</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w:t>
            </w:r>
          </w:p>
        </w:tc>
      </w:tr>
      <w:tr>
        <w:trPr>
          <w:trHeight w:val="16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Ending balance</w:t>
            </w: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189</w:t>
            </w:r>
          </w:p>
        </w:tc>
        <w:tc>
          <w:tcPr>
            <w:tcW w:w="1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179</w:t>
            </w:r>
          </w:p>
        </w:tc>
      </w:tr>
      <w:tr>
        <w:trPr>
          <w:trHeight w:val="17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shareowners' equity</w:t>
            </w: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727.7</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18,956</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746.9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17,002</w:t>
            </w:r>
          </w:p>
        </w:tc>
      </w:tr>
      <w:tr>
        <w:trPr>
          <w:trHeight w:val="178"/>
        </w:trPr>
        <w:tc>
          <w:tcPr>
            <w:tcW w:w="7000" w:type="dxa"/>
            <w:vAlign w:val="bottom"/>
          </w:tcPr>
          <w:p>
            <w:pPr>
              <w:ind w:left="20"/>
              <w:spacing w:after="0"/>
              <w:rPr>
                <w:sz w:val="20"/>
                <w:szCs w:val="20"/>
                <w:color w:val="auto"/>
              </w:rPr>
            </w:pPr>
            <w:r>
              <w:rPr>
                <w:rFonts w:ascii="Arial" w:cs="Arial" w:eastAsia="Arial" w:hAnsi="Arial"/>
                <w:sz w:val="12"/>
                <w:szCs w:val="12"/>
                <w:color w:val="auto"/>
              </w:rPr>
              <w:t>Cash dividends per share of common stock</w:t>
            </w:r>
          </w:p>
        </w:tc>
        <w:tc>
          <w:tcPr>
            <w:tcW w:w="1160" w:type="dxa"/>
            <w:vAlign w:val="bottom"/>
            <w:gridSpan w:val="2"/>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0.820</w:t>
            </w:r>
          </w:p>
        </w:tc>
        <w:tc>
          <w:tcPr>
            <w:tcW w:w="1260" w:type="dxa"/>
            <w:vAlign w:val="bottom"/>
            <w:gridSpan w:val="3"/>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0.745</w:t>
            </w:r>
          </w:p>
        </w:tc>
      </w:tr>
    </w:tbl>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Notes to Consolidated Financial Statements are an integral part of this statement.</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577" w:right="19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Basis of Presentation</w:t>
      </w:r>
    </w:p>
    <w:p>
      <w:pPr>
        <w:spacing w:after="0" w:line="16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March 31, 2019 and December 31, 2018, the cash flows for the three months ended March 31, 2019 and 2018 and the results of operations for the three months ended March 31, 2019 and 2018. The results of operations for the three months ended March 31, 2019 and cash flows for the three months ended March 31, 2019 should not necessarily be taken as indicative of the entire year.</w:t>
      </w:r>
    </w:p>
    <w:p>
      <w:pPr>
        <w:spacing w:after="0" w:line="13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months ended March 31, 2019 and 2018 were March 30, 2019 and March 31, 2018.</w:t>
      </w:r>
    </w:p>
    <w:p>
      <w:pPr>
        <w:spacing w:after="0" w:line="13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On October 1, 2018, the Company completed the tax-free spin-off to Honeywell shareowners of its Transportation Systems business, previously part of Aerospace, into a standalone publicly-traded company, Garrett Motion Inc. (“Garrett”). The assets and liabilities associated with Garrett have been removed from the Company’s Consolidated Balance Sheet as of the effective date of the spin-off. The results of operations for Garrett are included in the Consolidated Statement of Operations through the effective date of the spin-off.</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On October 29, 2018, the Company completed the tax-free spin-off to Honeywell shareowners of its Homes and Global Distribution business, previously part of Home and Building Technologies (renamed Honeywell Building Technologies following the spin-off), into a standalone publicly-traded company, Resideo Technologies, Inc. (“Resideo”). The assets and liabilities associated with Resideo have been removed from the Company’s Consolidated Balance Sheet as of the effective date of the spin-off. The results of operations for Resideo are included in the Consolidated Statement of Operations through the effective date of the spin-off.</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Summary of Significant Accounting Policies</w:t>
      </w:r>
    </w:p>
    <w:p>
      <w:pPr>
        <w:spacing w:after="0" w:line="164"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2"/>
          <w:szCs w:val="12"/>
          <w:color w:val="auto"/>
        </w:rPr>
        <w:t>The accounting policies of the Company are set forth in Note 1 to Consolidated Financial Statements contained in the Company’s 2018 Annual Report on Form 10-K. We include herein certain updates to those policies.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Reclassifications</w:t>
      </w:r>
      <w:r>
        <w:rPr>
          <w:rFonts w:ascii="Arial" w:cs="Arial" w:eastAsia="Arial" w:hAnsi="Arial"/>
          <w:sz w:val="12"/>
          <w:szCs w:val="12"/>
          <w:color w:val="auto"/>
        </w:rPr>
        <w:t>—Certain prior year amounts have been reclassified to conform to the current year presentation.</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2"/>
          <w:szCs w:val="12"/>
          <w:b w:val="1"/>
          <w:bCs w:val="1"/>
          <w:i w:val="1"/>
          <w:iCs w:val="1"/>
          <w:color w:val="auto"/>
        </w:rPr>
        <w:t>Leases</w:t>
      </w:r>
      <w:r>
        <w:rPr>
          <w:rFonts w:ascii="Arial" w:cs="Arial" w:eastAsia="Arial" w:hAnsi="Arial"/>
          <w:sz w:val="12"/>
          <w:szCs w:val="12"/>
          <w:color w:val="auto"/>
        </w:rPr>
        <w:t>—All significant lease arrangements are generally recognized at lease commencement. Operating lease right-of-use (“ROU”) assets and lease liabilities are recognized at commencement. An ROU</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 and corresponding lease liability are not recorded for leases with an initial term of 12 months or less (short term leases) and we recognize lease expense for these leases as incurred over the lease term.</w:t>
      </w:r>
    </w:p>
    <w:p>
      <w:pPr>
        <w:spacing w:after="0" w:line="11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 Operating lease ROU assets and liabilities are recognized at commencement date based on the present value of lease payments over the lease term. We primarily use our incremental borrowing rate, which is updated quarterly, based on the information available at commencement date, in determining the present value of lease payments. The operating lease ROU asset also includes any lease payments related to initial direct cost and prepayments and excludes lease incentives. Lease expense is recognized on a straight-line basis over the lease term. We have lease agreements with lease and non-lease components, which are generally accounted for separately.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125" w:right="199" w:bottom="1440" w:gutter="0" w:footer="0" w:header="0"/>
        </w:sectPr>
      </w:pPr>
    </w:p>
    <w:bookmarkStart w:id="8" w:name="page9"/>
    <w:bookmarkEnd w:id="8"/>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9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2"/>
          <w:szCs w:val="12"/>
          <w:b w:val="1"/>
          <w:bCs w:val="1"/>
          <w:i w:val="1"/>
          <w:iCs w:val="1"/>
          <w:color w:val="auto"/>
        </w:rPr>
        <w:t>Recent Accounting Pronouncements</w:t>
      </w:r>
      <w:r>
        <w:rPr>
          <w:rFonts w:ascii="Arial" w:cs="Arial" w:eastAsia="Arial" w:hAnsi="Arial"/>
          <w:sz w:val="12"/>
          <w:szCs w:val="12"/>
          <w:color w:val="auto"/>
        </w:rPr>
        <w:t>—We consider the applicability and impact of all Accounting Standards Updates (ASUs) issued by the Financial Accounting Standards Board (FASB). ASUs not yet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adopted that are not listed below were assessed and determined to be either not applicable or are expected to have minimal impact on our consolidated result of operations, financial position and cash flows.</w:t>
      </w:r>
    </w:p>
    <w:p>
      <w:pPr>
        <w:spacing w:after="0" w:line="11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February 2018, the FASB issued guidance that allows for an entity to elect to reclassify from accumulated other comprehensive income to retained earnings the income tax effects on items resulting from what is commonly referred to as the U.S. Tax Cuts and Jobs Act (“U.S. Tax Reform”). The guidance is effective for fiscal years beginning after December 15, 2018 with early adoption permitted, including interim periods within those years. The Company has elected to not reclassify the stranded income tax effects of U.S. Tax Reform from accumulated other comprehensive income to retained earnings.</w:t>
      </w: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Repositioning and Other Charges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summary of repositioning and other charges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20" w:type="dxa"/>
            <w:vAlign w:val="bottom"/>
          </w:tcPr>
          <w:p>
            <w:pPr>
              <w:spacing w:after="0"/>
              <w:rPr>
                <w:sz w:val="11"/>
                <w:szCs w:val="11"/>
                <w:color w:val="auto"/>
              </w:rPr>
            </w:pPr>
          </w:p>
        </w:tc>
        <w:tc>
          <w:tcPr>
            <w:tcW w:w="242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0"/>
                <w:szCs w:val="10"/>
                <w:b w:val="1"/>
                <w:bCs w:val="1"/>
                <w:color w:val="auto"/>
              </w:rPr>
              <w:t>Three Months Ended March 31,</w:t>
            </w:r>
          </w:p>
        </w:tc>
        <w:tc>
          <w:tcPr>
            <w:tcW w:w="440" w:type="dxa"/>
            <w:vAlign w:val="bottom"/>
            <w:tcBorders>
              <w:bottom w:val="single" w:sz="8" w:color="auto"/>
            </w:tcBorders>
          </w:tcPr>
          <w:p>
            <w:pPr>
              <w:spacing w:after="0"/>
              <w:rPr>
                <w:sz w:val="11"/>
                <w:szCs w:val="11"/>
                <w:color w:val="auto"/>
              </w:rPr>
            </w:pPr>
          </w:p>
        </w:tc>
      </w:tr>
      <w:tr>
        <w:trPr>
          <w:trHeight w:val="169"/>
        </w:trPr>
        <w:tc>
          <w:tcPr>
            <w:tcW w:w="86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2019</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2018</w:t>
            </w:r>
          </w:p>
        </w:tc>
        <w:tc>
          <w:tcPr>
            <w:tcW w:w="440" w:type="dxa"/>
            <w:vAlign w:val="bottom"/>
            <w:tcBorders>
              <w:bottom w:val="single" w:sz="8" w:color="auto"/>
            </w:tcBorders>
          </w:tcPr>
          <w:p>
            <w:pPr>
              <w:spacing w:after="0"/>
              <w:rPr>
                <w:sz w:val="14"/>
                <w:szCs w:val="14"/>
                <w:color w:val="auto"/>
              </w:rPr>
            </w:pPr>
          </w:p>
        </w:tc>
      </w:tr>
      <w:tr>
        <w:trPr>
          <w:trHeight w:val="16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Severance</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Asset impairments</w:t>
            </w:r>
          </w:p>
        </w:tc>
        <w:tc>
          <w:tcPr>
            <w:tcW w:w="960" w:type="dxa"/>
            <w:vAlign w:val="bottom"/>
          </w:tcPr>
          <w:p>
            <w:pPr>
              <w:spacing w:after="0"/>
              <w:rPr>
                <w:sz w:val="15"/>
                <w:szCs w:val="15"/>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47</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Exit costs</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w:t>
            </w:r>
          </w:p>
        </w:tc>
      </w:tr>
      <w:tr>
        <w:trPr>
          <w:trHeight w:val="176"/>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Reserve adjustments</w:t>
            </w: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w:t>
            </w:r>
          </w:p>
        </w:tc>
      </w:tr>
      <w:tr>
        <w:trPr>
          <w:trHeight w:val="160"/>
        </w:trPr>
        <w:tc>
          <w:tcPr>
            <w:tcW w:w="8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net repositioning charge</w:t>
            </w: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58</w:t>
            </w:r>
          </w:p>
        </w:tc>
        <w:tc>
          <w:tcPr>
            <w:tcW w:w="12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85</w:t>
            </w:r>
          </w:p>
        </w:tc>
      </w:tr>
      <w:tr>
        <w:trPr>
          <w:trHeight w:val="160"/>
        </w:trPr>
        <w:tc>
          <w:tcPr>
            <w:tcW w:w="8620" w:type="dxa"/>
            <w:vAlign w:val="bottom"/>
          </w:tcPr>
          <w:p>
            <w:pPr>
              <w:ind w:left="20"/>
              <w:spacing w:after="0"/>
              <w:rPr>
                <w:sz w:val="20"/>
                <w:szCs w:val="20"/>
                <w:color w:val="auto"/>
              </w:rPr>
            </w:pPr>
            <w:r>
              <w:rPr>
                <w:rFonts w:ascii="Arial" w:cs="Arial" w:eastAsia="Arial" w:hAnsi="Arial"/>
                <w:sz w:val="12"/>
                <w:szCs w:val="12"/>
                <w:color w:val="auto"/>
              </w:rPr>
              <w:t>Asbestos related litigation charges, net of insurance and indemnities</w:t>
            </w:r>
          </w:p>
        </w:tc>
        <w:tc>
          <w:tcPr>
            <w:tcW w:w="960" w:type="dxa"/>
            <w:vAlign w:val="bottom"/>
          </w:tcPr>
          <w:p>
            <w:pPr>
              <w:spacing w:after="0"/>
              <w:rPr>
                <w:sz w:val="13"/>
                <w:szCs w:val="13"/>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49</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Probable and reasonably estimable environmental liabilities, net of indemnities</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w:t>
            </w:r>
          </w:p>
        </w:tc>
      </w:tr>
      <w:tr>
        <w:trPr>
          <w:trHeight w:val="176"/>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8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net repositioning and other charges</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84</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191</w:t>
            </w:r>
          </w:p>
        </w:tc>
      </w:tr>
      <w:tr>
        <w:trPr>
          <w:trHeight w:val="275"/>
        </w:trPr>
        <w:tc>
          <w:tcPr>
            <w:tcW w:w="8620" w:type="dxa"/>
            <w:vAlign w:val="bottom"/>
          </w:tcPr>
          <w:p>
            <w:pPr>
              <w:ind w:left="420"/>
              <w:spacing w:after="0"/>
              <w:rPr>
                <w:sz w:val="20"/>
                <w:szCs w:val="20"/>
                <w:color w:val="auto"/>
              </w:rPr>
            </w:pPr>
            <w:r>
              <w:rPr>
                <w:rFonts w:ascii="Arial" w:cs="Arial" w:eastAsia="Arial" w:hAnsi="Arial"/>
                <w:sz w:val="12"/>
                <w:szCs w:val="12"/>
                <w:color w:val="auto"/>
              </w:rPr>
              <w:t>The following table summarizes the pretax distribution of total net repositioning and other charges by classification:</w:t>
            </w: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30"/>
        </w:trPr>
        <w:tc>
          <w:tcPr>
            <w:tcW w:w="8620" w:type="dxa"/>
            <w:vAlign w:val="bottom"/>
          </w:tcPr>
          <w:p>
            <w:pPr>
              <w:spacing w:after="0"/>
              <w:rPr>
                <w:sz w:val="20"/>
                <w:szCs w:val="20"/>
                <w:color w:val="auto"/>
              </w:rPr>
            </w:pPr>
          </w:p>
        </w:tc>
        <w:tc>
          <w:tcPr>
            <w:tcW w:w="242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0"/>
                <w:szCs w:val="10"/>
                <w:b w:val="1"/>
                <w:bCs w:val="1"/>
                <w:color w:val="auto"/>
              </w:rPr>
              <w:t>Three Months Ended March 31,</w:t>
            </w:r>
          </w:p>
        </w:tc>
        <w:tc>
          <w:tcPr>
            <w:tcW w:w="440" w:type="dxa"/>
            <w:vAlign w:val="bottom"/>
            <w:tcBorders>
              <w:bottom w:val="single" w:sz="8" w:color="auto"/>
            </w:tcBorders>
          </w:tcPr>
          <w:p>
            <w:pPr>
              <w:spacing w:after="0"/>
              <w:rPr>
                <w:sz w:val="20"/>
                <w:szCs w:val="20"/>
                <w:color w:val="auto"/>
              </w:rPr>
            </w:pPr>
          </w:p>
        </w:tc>
      </w:tr>
      <w:tr>
        <w:trPr>
          <w:trHeight w:val="169"/>
        </w:trPr>
        <w:tc>
          <w:tcPr>
            <w:tcW w:w="86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2019</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2018</w:t>
            </w:r>
          </w:p>
        </w:tc>
        <w:tc>
          <w:tcPr>
            <w:tcW w:w="440" w:type="dxa"/>
            <w:vAlign w:val="bottom"/>
            <w:tcBorders>
              <w:bottom w:val="single" w:sz="8" w:color="auto"/>
            </w:tcBorders>
          </w:tcPr>
          <w:p>
            <w:pPr>
              <w:spacing w:after="0"/>
              <w:rPr>
                <w:sz w:val="14"/>
                <w:szCs w:val="14"/>
                <w:color w:val="auto"/>
              </w:rPr>
            </w:pPr>
          </w:p>
        </w:tc>
      </w:tr>
      <w:tr>
        <w:trPr>
          <w:trHeight w:val="16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products and services sold</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128</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960" w:type="dxa"/>
            <w:vAlign w:val="bottom"/>
          </w:tcPr>
          <w:p>
            <w:pPr>
              <w:spacing w:after="0"/>
              <w:rPr>
                <w:sz w:val="15"/>
                <w:szCs w:val="15"/>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22</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expense</w:t>
            </w:r>
          </w:p>
        </w:tc>
        <w:tc>
          <w:tcPr>
            <w:tcW w:w="9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w:t>
            </w:r>
          </w:p>
        </w:tc>
      </w:tr>
      <w:tr>
        <w:trPr>
          <w:trHeight w:val="172"/>
        </w:trPr>
        <w:tc>
          <w:tcPr>
            <w:tcW w:w="86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191</w:t>
            </w:r>
          </w:p>
        </w:tc>
      </w:tr>
      <w:tr>
        <w:trPr>
          <w:trHeight w:val="288"/>
        </w:trPr>
        <w:tc>
          <w:tcPr>
            <w:tcW w:w="8620" w:type="dxa"/>
            <w:vAlign w:val="bottom"/>
          </w:tcPr>
          <w:p>
            <w:pPr>
              <w:ind w:left="420"/>
              <w:spacing w:after="0"/>
              <w:rPr>
                <w:sz w:val="20"/>
                <w:szCs w:val="20"/>
                <w:color w:val="auto"/>
              </w:rPr>
            </w:pPr>
            <w:r>
              <w:rPr>
                <w:rFonts w:ascii="Arial" w:cs="Arial" w:eastAsia="Arial" w:hAnsi="Arial"/>
                <w:sz w:val="12"/>
                <w:szCs w:val="12"/>
                <w:color w:val="auto"/>
              </w:rPr>
              <w:t>The following table summarizes the pretax impact of total net repositioning and other charges by segment:</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6"/>
        </w:trPr>
        <w:tc>
          <w:tcPr>
            <w:tcW w:w="8620" w:type="dxa"/>
            <w:vAlign w:val="bottom"/>
          </w:tcPr>
          <w:p>
            <w:pPr>
              <w:spacing w:after="0"/>
              <w:rPr>
                <w:sz w:val="23"/>
                <w:szCs w:val="23"/>
                <w:color w:val="auto"/>
              </w:rPr>
            </w:pPr>
          </w:p>
        </w:tc>
        <w:tc>
          <w:tcPr>
            <w:tcW w:w="242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0"/>
                <w:szCs w:val="10"/>
                <w:b w:val="1"/>
                <w:bCs w:val="1"/>
                <w:color w:val="auto"/>
              </w:rPr>
              <w:t>Three Months Ended March 31,</w:t>
            </w:r>
          </w:p>
        </w:tc>
        <w:tc>
          <w:tcPr>
            <w:tcW w:w="440" w:type="dxa"/>
            <w:vAlign w:val="bottom"/>
            <w:tcBorders>
              <w:bottom w:val="single" w:sz="8" w:color="auto"/>
            </w:tcBorders>
          </w:tcPr>
          <w:p>
            <w:pPr>
              <w:spacing w:after="0"/>
              <w:rPr>
                <w:sz w:val="23"/>
                <w:szCs w:val="23"/>
                <w:color w:val="auto"/>
              </w:rPr>
            </w:pPr>
          </w:p>
        </w:tc>
      </w:tr>
      <w:tr>
        <w:trPr>
          <w:trHeight w:val="169"/>
        </w:trPr>
        <w:tc>
          <w:tcPr>
            <w:tcW w:w="86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2019</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2018</w:t>
            </w:r>
          </w:p>
        </w:tc>
        <w:tc>
          <w:tcPr>
            <w:tcW w:w="440" w:type="dxa"/>
            <w:vAlign w:val="bottom"/>
            <w:tcBorders>
              <w:bottom w:val="single" w:sz="8" w:color="auto"/>
            </w:tcBorders>
          </w:tcPr>
          <w:p>
            <w:pPr>
              <w:spacing w:after="0"/>
              <w:rPr>
                <w:sz w:val="14"/>
                <w:szCs w:val="14"/>
                <w:color w:val="auto"/>
              </w:rPr>
            </w:pPr>
          </w:p>
        </w:tc>
      </w:tr>
      <w:tr>
        <w:trPr>
          <w:trHeight w:val="16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Aerospace</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Honeywell Building Technologies</w:t>
            </w:r>
          </w:p>
        </w:tc>
        <w:tc>
          <w:tcPr>
            <w:tcW w:w="960" w:type="dxa"/>
            <w:vAlign w:val="bottom"/>
          </w:tcPr>
          <w:p>
            <w:pPr>
              <w:spacing w:after="0"/>
              <w:rPr>
                <w:sz w:val="15"/>
                <w:szCs w:val="15"/>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4</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Performance Materials and Technologies</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Safety and Productivity Solutions</w:t>
            </w:r>
          </w:p>
        </w:tc>
        <w:tc>
          <w:tcPr>
            <w:tcW w:w="960" w:type="dxa"/>
            <w:vAlign w:val="bottom"/>
          </w:tcPr>
          <w:p>
            <w:pPr>
              <w:spacing w:after="0"/>
              <w:rPr>
                <w:sz w:val="15"/>
                <w:szCs w:val="15"/>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7</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Corporate</w:t>
            </w:r>
          </w:p>
        </w:tc>
        <w:tc>
          <w:tcPr>
            <w:tcW w:w="9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56</w:t>
            </w: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108</w:t>
            </w:r>
          </w:p>
        </w:tc>
      </w:tr>
      <w:tr>
        <w:trPr>
          <w:trHeight w:val="172"/>
        </w:trPr>
        <w:tc>
          <w:tcPr>
            <w:tcW w:w="8620" w:type="dxa"/>
            <w:vAlign w:val="bottom"/>
          </w:tcPr>
          <w:p>
            <w:pPr>
              <w:spacing w:after="0"/>
              <w:rPr>
                <w:sz w:val="14"/>
                <w:szCs w:val="14"/>
                <w:color w:val="auto"/>
              </w:rPr>
            </w:pPr>
          </w:p>
        </w:tc>
        <w:tc>
          <w:tcPr>
            <w:tcW w:w="960" w:type="dxa"/>
            <w:vAlign w:val="bottom"/>
            <w:tcBorders>
              <w:bottom w:val="single" w:sz="8" w:color="auto"/>
            </w:tcBorders>
          </w:tcPr>
          <w:p>
            <w:pPr>
              <w:jc w:val="right"/>
              <w:ind w:right="826"/>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84</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78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191</w:t>
            </w:r>
          </w:p>
        </w:tc>
      </w:tr>
      <w:tr>
        <w:trPr>
          <w:trHeight w:val="450"/>
        </w:trPr>
        <w:tc>
          <w:tcPr>
            <w:tcW w:w="8620" w:type="dxa"/>
            <w:vAlign w:val="bottom"/>
          </w:tcPr>
          <w:p>
            <w:pPr>
              <w:ind w:left="5700"/>
              <w:spacing w:after="0"/>
              <w:rPr>
                <w:sz w:val="20"/>
                <w:szCs w:val="20"/>
                <w:color w:val="auto"/>
              </w:rPr>
            </w:pPr>
            <w:r>
              <w:rPr>
                <w:rFonts w:ascii="Arial" w:cs="Arial" w:eastAsia="Arial" w:hAnsi="Arial"/>
                <w:sz w:val="12"/>
                <w:szCs w:val="12"/>
                <w:color w:val="auto"/>
              </w:rPr>
              <w:t>9</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80"/>
          </w:cols>
          <w:pgMar w:left="220" w:top="126" w:right="19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312"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2"/>
          <w:szCs w:val="12"/>
          <w:color w:val="auto"/>
        </w:rPr>
        <w:t>In the quarter ended March 31, 2019, we recognized gross repositioning charges totaling $60 million including severance costs of $31 million related to workforce reductions of 1,047 manufacturing and administrative positions mainly in Corporate, Aerospace and Honeywell Building Technologies. The workforce reductions were primarily related to our productivity and ongoing functional initiatives and to site transitions in Aerospace to more cost-effective locations.</w:t>
      </w:r>
    </w:p>
    <w:p>
      <w:pPr>
        <w:spacing w:after="0" w:line="1" w:lineRule="exact"/>
        <w:rPr>
          <w:sz w:val="20"/>
          <w:szCs w:val="20"/>
          <w:color w:val="auto"/>
        </w:rPr>
      </w:pPr>
    </w:p>
    <w:p>
      <w:pPr>
        <w:jc w:val="both"/>
        <w:ind w:right="420" w:firstLine="432"/>
        <w:spacing w:after="0" w:line="256" w:lineRule="auto"/>
        <w:rPr>
          <w:sz w:val="20"/>
          <w:szCs w:val="20"/>
          <w:color w:val="auto"/>
        </w:rPr>
      </w:pPr>
      <w:r>
        <w:rPr>
          <w:rFonts w:ascii="Arial" w:cs="Arial" w:eastAsia="Arial" w:hAnsi="Arial"/>
          <w:sz w:val="12"/>
          <w:szCs w:val="12"/>
          <w:color w:val="auto"/>
        </w:rPr>
        <w:t>In the quarter ended March 31, 2018, we recognized gross repositioning charges totaling $ 86 million including severance costs of $31 million related to workforce reductions of 1,153 manufacturing and administrative positions mainly in Aerospace and Safety and Productivity Solutions. The workforce reductions were primarily related to site transitions to more cost-effective locations. The repositioning charges included asset impairments of $47 million primarily in our Corporate segment related to the write-down of a legacy property in connection with its planned disposition.</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status of our total repositioning reserves: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1000" w:type="dxa"/>
            <w:vAlign w:val="bottom"/>
          </w:tcPr>
          <w:p>
            <w:pPr>
              <w:jc w:val="right"/>
              <w:ind w:right="26"/>
              <w:spacing w:after="0"/>
              <w:rPr>
                <w:sz w:val="20"/>
                <w:szCs w:val="20"/>
                <w:color w:val="auto"/>
              </w:rPr>
            </w:pPr>
            <w:r>
              <w:rPr>
                <w:rFonts w:ascii="Arial" w:cs="Arial" w:eastAsia="Arial" w:hAnsi="Arial"/>
                <w:sz w:val="10"/>
                <w:szCs w:val="10"/>
                <w:b w:val="1"/>
                <w:bCs w:val="1"/>
                <w:color w:val="auto"/>
              </w:rPr>
              <w:t>Severance</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166"/>
              <w:spacing w:after="0"/>
              <w:rPr>
                <w:sz w:val="20"/>
                <w:szCs w:val="20"/>
                <w:color w:val="auto"/>
              </w:rPr>
            </w:pPr>
            <w:r>
              <w:rPr>
                <w:rFonts w:ascii="Arial" w:cs="Arial" w:eastAsia="Arial" w:hAnsi="Arial"/>
                <w:sz w:val="10"/>
                <w:szCs w:val="10"/>
                <w:b w:val="1"/>
                <w:bCs w:val="1"/>
                <w:color w:val="auto"/>
              </w:rPr>
              <w:t>Asset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146"/>
              <w:spacing w:after="0"/>
              <w:rPr>
                <w:sz w:val="20"/>
                <w:szCs w:val="20"/>
                <w:color w:val="auto"/>
              </w:rPr>
            </w:pPr>
            <w:r>
              <w:rPr>
                <w:rFonts w:ascii="Arial" w:cs="Arial" w:eastAsia="Arial" w:hAnsi="Arial"/>
                <w:sz w:val="10"/>
                <w:szCs w:val="10"/>
                <w:b w:val="1"/>
                <w:bCs w:val="1"/>
                <w:color w:val="auto"/>
              </w:rPr>
              <w:t>Exit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31"/>
        </w:trPr>
        <w:tc>
          <w:tcPr>
            <w:tcW w:w="562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Costs</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Impairments</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Costs</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Total</w:t>
            </w:r>
          </w:p>
        </w:tc>
      </w:tr>
      <w:tr>
        <w:trPr>
          <w:trHeight w:val="16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December 31, 2018</w:t>
            </w:r>
          </w:p>
        </w:tc>
        <w:tc>
          <w:tcPr>
            <w:tcW w:w="1000" w:type="dxa"/>
            <w:vAlign w:val="bottom"/>
            <w:shd w:val="clear" w:color="auto" w:fill="CCEEFF"/>
          </w:tcPr>
          <w:p>
            <w:pPr>
              <w:jc w:val="right"/>
              <w:ind w:right="866"/>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489</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06"/>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566</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Charges</w:t>
            </w:r>
          </w:p>
        </w:tc>
        <w:tc>
          <w:tcPr>
            <w:tcW w:w="1000" w:type="dxa"/>
            <w:vAlign w:val="bottom"/>
          </w:tcPr>
          <w:p>
            <w:pPr>
              <w:spacing w:after="0"/>
              <w:rPr>
                <w:sz w:val="15"/>
                <w:szCs w:val="15"/>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jc w:val="right"/>
              <w:ind w:right="6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41"/>
              <w:spacing w:after="0"/>
              <w:rPr>
                <w:sz w:val="20"/>
                <w:szCs w:val="20"/>
                <w:color w:val="auto"/>
              </w:rPr>
            </w:pPr>
            <w:r>
              <w:rPr>
                <w:rFonts w:ascii="Arial" w:cs="Arial" w:eastAsia="Arial" w:hAnsi="Arial"/>
                <w:sz w:val="12"/>
                <w:szCs w:val="12"/>
                <w:color w:val="auto"/>
              </w:rPr>
              <w:t>60</w:t>
            </w:r>
          </w:p>
        </w:tc>
      </w:tr>
      <w:tr>
        <w:trPr>
          <w:trHeight w:val="185"/>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Usage - cash</w:t>
            </w: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w:t>
            </w:r>
          </w:p>
        </w:tc>
      </w:tr>
      <w:tr>
        <w:trPr>
          <w:trHeight w:val="176"/>
        </w:trPr>
        <w:tc>
          <w:tcPr>
            <w:tcW w:w="5620" w:type="dxa"/>
            <w:vAlign w:val="bottom"/>
          </w:tcPr>
          <w:p>
            <w:pPr>
              <w:ind w:left="100"/>
              <w:spacing w:after="0"/>
              <w:rPr>
                <w:sz w:val="20"/>
                <w:szCs w:val="20"/>
                <w:color w:val="auto"/>
              </w:rPr>
            </w:pPr>
            <w:r>
              <w:rPr>
                <w:rFonts w:ascii="Arial" w:cs="Arial" w:eastAsia="Arial" w:hAnsi="Arial"/>
                <w:sz w:val="12"/>
                <w:szCs w:val="12"/>
                <w:color w:val="auto"/>
              </w:rPr>
              <w:t>Usage - noncash</w:t>
            </w:r>
          </w:p>
        </w:tc>
        <w:tc>
          <w:tcPr>
            <w:tcW w:w="1000" w:type="dxa"/>
            <w:vAlign w:val="bottom"/>
          </w:tcPr>
          <w:p>
            <w:pPr>
              <w:spacing w:after="0"/>
              <w:rPr>
                <w:sz w:val="15"/>
                <w:szCs w:val="15"/>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5"/>
                <w:szCs w:val="15"/>
                <w:color w:val="auto"/>
              </w:rPr>
            </w:pP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(11)</w:t>
            </w:r>
          </w:p>
        </w:tc>
      </w:tr>
      <w:tr>
        <w:trPr>
          <w:trHeight w:val="185"/>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currency translation</w:t>
            </w:r>
          </w:p>
        </w:tc>
        <w:tc>
          <w:tcPr>
            <w:tcW w:w="10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r>
      <w:tr>
        <w:trPr>
          <w:trHeight w:val="176"/>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Adjustments</w:t>
            </w: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w:t>
            </w:r>
          </w:p>
        </w:tc>
      </w:tr>
      <w:tr>
        <w:trPr>
          <w:trHeight w:val="172"/>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March 31, 2019</w:t>
            </w:r>
          </w:p>
        </w:tc>
        <w:tc>
          <w:tcPr>
            <w:tcW w:w="100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485</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06"/>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570</w:t>
            </w:r>
          </w:p>
        </w:tc>
      </w:tr>
    </w:tbl>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Certain repositioning projects will recognize exit costs in future periods when the actual liability is incurred. Such exit costs incurred in the quarters ended March 31, 2019 and 2018 were not significant.</w:t>
      </w:r>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Other (Income) Expense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20" w:type="dxa"/>
            <w:vAlign w:val="bottom"/>
          </w:tcPr>
          <w:p>
            <w:pPr>
              <w:spacing w:after="0"/>
              <w:rPr>
                <w:sz w:val="11"/>
                <w:szCs w:val="11"/>
                <w:color w:val="auto"/>
              </w:rPr>
            </w:pPr>
          </w:p>
        </w:tc>
        <w:tc>
          <w:tcPr>
            <w:tcW w:w="286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0"/>
                <w:szCs w:val="10"/>
                <w:b w:val="1"/>
                <w:bCs w:val="1"/>
                <w:color w:val="auto"/>
              </w:rPr>
              <w:t>Three Months Ended March 31,</w:t>
            </w:r>
          </w:p>
        </w:tc>
      </w:tr>
      <w:tr>
        <w:trPr>
          <w:trHeight w:val="169"/>
        </w:trPr>
        <w:tc>
          <w:tcPr>
            <w:tcW w:w="86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2018</w:t>
            </w:r>
          </w:p>
        </w:tc>
      </w:tr>
      <w:tr>
        <w:trPr>
          <w:trHeight w:val="16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income</w:t>
            </w:r>
          </w:p>
        </w:tc>
        <w:tc>
          <w:tcPr>
            <w:tcW w:w="13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(67)</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(50)</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Pension ongoing income – non-service</w:t>
            </w:r>
          </w:p>
        </w:tc>
        <w:tc>
          <w:tcPr>
            <w:tcW w:w="1380" w:type="dxa"/>
            <w:vAlign w:val="bottom"/>
          </w:tcPr>
          <w:p>
            <w:pPr>
              <w:jc w:val="right"/>
              <w:ind w:right="22"/>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Arial" w:cs="Arial" w:eastAsia="Arial" w:hAnsi="Arial"/>
                <w:sz w:val="12"/>
                <w:szCs w:val="12"/>
                <w:color w:val="auto"/>
              </w:rPr>
              <w:t>(304)</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postretirement income – non-service</w:t>
            </w:r>
          </w:p>
        </w:tc>
        <w:tc>
          <w:tcPr>
            <w:tcW w:w="13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Equity income of affiliated companies</w:t>
            </w:r>
          </w:p>
        </w:tc>
        <w:tc>
          <w:tcPr>
            <w:tcW w:w="1380" w:type="dxa"/>
            <w:vAlign w:val="bottom"/>
          </w:tcPr>
          <w:p>
            <w:pPr>
              <w:jc w:val="right"/>
              <w:ind w:right="22"/>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5"/>
                <w:szCs w:val="15"/>
                <w:color w:val="auto"/>
              </w:rPr>
            </w:pPr>
          </w:p>
        </w:tc>
        <w:tc>
          <w:tcPr>
            <w:tcW w:w="1380" w:type="dxa"/>
            <w:vAlign w:val="bottom"/>
          </w:tcPr>
          <w:p>
            <w:pPr>
              <w:jc w:val="right"/>
              <w:ind w:right="21"/>
              <w:spacing w:after="0"/>
              <w:rPr>
                <w:sz w:val="20"/>
                <w:szCs w:val="20"/>
                <w:color w:val="auto"/>
              </w:rPr>
            </w:pPr>
            <w:r>
              <w:rPr>
                <w:rFonts w:ascii="Arial" w:cs="Arial" w:eastAsia="Arial" w:hAnsi="Arial"/>
                <w:sz w:val="12"/>
                <w:szCs w:val="12"/>
                <w:color w:val="auto"/>
              </w:rPr>
              <w:t>(11)</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exchange</w:t>
            </w:r>
          </w:p>
        </w:tc>
        <w:tc>
          <w:tcPr>
            <w:tcW w:w="138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Separation costs</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61"/>
              <w:spacing w:after="0"/>
              <w:rPr>
                <w:sz w:val="20"/>
                <w:szCs w:val="20"/>
                <w:color w:val="auto"/>
              </w:rPr>
            </w:pPr>
            <w:r>
              <w:rPr>
                <w:rFonts w:ascii="Arial" w:cs="Arial" w:eastAsia="Arial" w:hAnsi="Arial"/>
                <w:sz w:val="12"/>
                <w:szCs w:val="12"/>
                <w:color w:val="auto"/>
              </w:rPr>
              <w:t>55</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(net)</w:t>
            </w:r>
          </w:p>
        </w:tc>
        <w:tc>
          <w:tcPr>
            <w:tcW w:w="13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49</w:t>
            </w:r>
          </w:p>
        </w:tc>
      </w:tr>
      <w:tr>
        <w:trPr>
          <w:trHeight w:val="172"/>
        </w:trPr>
        <w:tc>
          <w:tcPr>
            <w:tcW w:w="8620" w:type="dxa"/>
            <w:vAlign w:val="bottom"/>
          </w:tcPr>
          <w:p>
            <w:pPr>
              <w:spacing w:after="0"/>
              <w:rPr>
                <w:sz w:val="14"/>
                <w:szCs w:val="14"/>
                <w:color w:val="auto"/>
              </w:rPr>
            </w:pPr>
          </w:p>
        </w:tc>
        <w:tc>
          <w:tcPr>
            <w:tcW w:w="13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(285)</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(268)</w:t>
            </w:r>
          </w:p>
        </w:tc>
      </w:tr>
    </w:tbl>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Separation costs are associated with the spin-offs of our Homes and Global Distribution business and Transportation Systems business, and are primarily associated with third party services.</w:t>
      </w:r>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Income Taxes</w:t>
      </w:r>
    </w:p>
    <w:p>
      <w:pPr>
        <w:spacing w:after="0" w:line="164"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2"/>
          <w:szCs w:val="12"/>
          <w:color w:val="auto"/>
        </w:rPr>
        <w:t>The effective tax rate decreased for the quarter ended March 31, 2019 compared to the quarter ended March 31, 2018 primarily from increased tax benefits for employee share-based compensation, fewer tax reserves and lower tax costs related to the 2018 spin-offs.</w:t>
      </w:r>
    </w:p>
    <w:p>
      <w:pPr>
        <w:spacing w:after="0" w:line="13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The effective tax rate for the quarter ended March 31, 2019 was higher than the U.S. federal statutory rate of 21% primarily from incremental tax reserves and state taxes, partially offset by foreign earnings taxed at lower foreign tax rates.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Earnings Per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March 31,</w:t>
            </w:r>
          </w:p>
        </w:tc>
        <w:tc>
          <w:tcPr>
            <w:tcW w:w="920" w:type="dxa"/>
            <w:vAlign w:val="bottom"/>
            <w:tcBorders>
              <w:bottom w:val="single" w:sz="8" w:color="auto"/>
            </w:tcBorders>
          </w:tcPr>
          <w:p>
            <w:pPr>
              <w:spacing w:after="0"/>
              <w:rPr>
                <w:sz w:val="11"/>
                <w:szCs w:val="11"/>
                <w:color w:val="auto"/>
              </w:rPr>
            </w:pPr>
          </w:p>
        </w:tc>
      </w:tr>
      <w:tr>
        <w:trPr>
          <w:trHeight w:val="146"/>
        </w:trPr>
        <w:tc>
          <w:tcPr>
            <w:tcW w:w="3840" w:type="dxa"/>
            <w:vAlign w:val="bottom"/>
            <w:gridSpan w:val="3"/>
          </w:tcPr>
          <w:p>
            <w:pPr>
              <w:ind w:left="20"/>
              <w:spacing w:after="0"/>
              <w:rPr>
                <w:sz w:val="20"/>
                <w:szCs w:val="20"/>
                <w:color w:val="auto"/>
              </w:rPr>
            </w:pPr>
            <w:r>
              <w:rPr>
                <w:rFonts w:ascii="Arial" w:cs="Arial" w:eastAsia="Arial" w:hAnsi="Arial"/>
                <w:sz w:val="10"/>
                <w:szCs w:val="10"/>
                <w:b w:val="1"/>
                <w:bCs w:val="1"/>
                <w:color w:val="auto"/>
              </w:rPr>
              <w:t>Basic</w:t>
            </w:r>
          </w:p>
        </w:tc>
        <w:tc>
          <w:tcPr>
            <w:tcW w:w="4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645"/>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ind w:right="623"/>
              <w:spacing w:after="0"/>
              <w:rPr>
                <w:sz w:val="20"/>
                <w:szCs w:val="20"/>
                <w:color w:val="auto"/>
              </w:rPr>
            </w:pPr>
            <w:r>
              <w:rPr>
                <w:rFonts w:ascii="Arial" w:cs="Arial" w:eastAsia="Arial" w:hAnsi="Arial"/>
                <w:sz w:val="10"/>
                <w:szCs w:val="10"/>
                <w:b w:val="1"/>
                <w:bCs w:val="1"/>
                <w:color w:val="auto"/>
                <w:w w:val="98"/>
              </w:rPr>
              <w:t>2018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7"/>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income attributable to Honeywell</w:t>
            </w:r>
          </w:p>
        </w:tc>
        <w:tc>
          <w:tcPr>
            <w:tcW w:w="4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1,416</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1,439</w:t>
            </w:r>
          </w:p>
        </w:tc>
      </w:tr>
      <w:tr>
        <w:trPr>
          <w:trHeight w:val="176"/>
        </w:trPr>
        <w:tc>
          <w:tcPr>
            <w:tcW w:w="3840" w:type="dxa"/>
            <w:vAlign w:val="bottom"/>
            <w:gridSpan w:val="3"/>
          </w:tcPr>
          <w:p>
            <w:pPr>
              <w:ind w:left="20"/>
              <w:spacing w:after="0"/>
              <w:rPr>
                <w:sz w:val="20"/>
                <w:szCs w:val="20"/>
                <w:color w:val="auto"/>
              </w:rPr>
            </w:pPr>
            <w:r>
              <w:rPr>
                <w:rFonts w:ascii="Arial" w:cs="Arial" w:eastAsia="Arial" w:hAnsi="Arial"/>
                <w:sz w:val="12"/>
                <w:szCs w:val="12"/>
                <w:color w:val="auto"/>
              </w:rPr>
              <w:t>Weighted average shares outstanding</w:t>
            </w:r>
          </w:p>
        </w:tc>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Arial" w:cs="Arial" w:eastAsia="Arial" w:hAnsi="Arial"/>
                <w:sz w:val="12"/>
                <w:szCs w:val="12"/>
                <w:color w:val="auto"/>
              </w:rPr>
              <w:t>729.7</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jc w:val="right"/>
              <w:ind w:right="43"/>
              <w:spacing w:after="0"/>
              <w:rPr>
                <w:sz w:val="20"/>
                <w:szCs w:val="20"/>
                <w:color w:val="auto"/>
              </w:rPr>
            </w:pPr>
            <w:r>
              <w:rPr>
                <w:rFonts w:ascii="Arial" w:cs="Arial" w:eastAsia="Arial" w:hAnsi="Arial"/>
                <w:sz w:val="12"/>
                <w:szCs w:val="12"/>
                <w:color w:val="auto"/>
              </w:rPr>
              <w:t>750.6</w:t>
            </w:r>
          </w:p>
        </w:tc>
      </w:tr>
      <w:tr>
        <w:trPr>
          <w:trHeight w:val="185"/>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Earnings per share of common stock</w:t>
            </w:r>
          </w:p>
        </w:tc>
        <w:tc>
          <w:tcPr>
            <w:tcW w:w="46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65"/>
              <w:spacing w:after="0"/>
              <w:rPr>
                <w:sz w:val="20"/>
                <w:szCs w:val="20"/>
                <w:color w:val="auto"/>
              </w:rPr>
            </w:pPr>
            <w:r>
              <w:rPr>
                <w:rFonts w:ascii="Arial" w:cs="Arial" w:eastAsia="Arial" w:hAnsi="Arial"/>
                <w:sz w:val="12"/>
                <w:szCs w:val="12"/>
                <w:color w:val="auto"/>
              </w:rPr>
              <w:t>1.94</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1.92</w:t>
            </w:r>
          </w:p>
        </w:tc>
      </w:tr>
      <w:tr>
        <w:trPr>
          <w:trHeight w:val="30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300" w:type="dxa"/>
            <w:vAlign w:val="bottom"/>
          </w:tcPr>
          <w:p>
            <w:pPr>
              <w:jc w:val="right"/>
              <w:ind w:right="2280"/>
              <w:spacing w:after="0"/>
              <w:rPr>
                <w:sz w:val="20"/>
                <w:szCs w:val="20"/>
                <w:color w:val="auto"/>
              </w:rPr>
            </w:pPr>
            <w:r>
              <w:rPr>
                <w:rFonts w:ascii="Arial" w:cs="Arial" w:eastAsia="Arial" w:hAnsi="Arial"/>
                <w:sz w:val="12"/>
                <w:szCs w:val="12"/>
                <w:color w:val="auto"/>
              </w:rPr>
              <w:t>10</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80"/>
          </w:cols>
          <w:pgMar w:left="220" w:top="125" w:right="19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 March 31,</w:t>
            </w:r>
          </w:p>
        </w:tc>
        <w:tc>
          <w:tcPr>
            <w:tcW w:w="920" w:type="dxa"/>
            <w:vAlign w:val="bottom"/>
            <w:tcBorders>
              <w:bottom w:val="single" w:sz="8" w:color="auto"/>
            </w:tcBorders>
          </w:tcPr>
          <w:p>
            <w:pPr>
              <w:spacing w:after="0"/>
              <w:rPr>
                <w:sz w:val="11"/>
                <w:szCs w:val="11"/>
                <w:color w:val="auto"/>
              </w:rPr>
            </w:pPr>
          </w:p>
        </w:tc>
      </w:tr>
      <w:tr>
        <w:trPr>
          <w:trHeight w:val="146"/>
        </w:trPr>
        <w:tc>
          <w:tcPr>
            <w:tcW w:w="8140" w:type="dxa"/>
            <w:vAlign w:val="bottom"/>
            <w:gridSpan w:val="3"/>
          </w:tcPr>
          <w:p>
            <w:pPr>
              <w:spacing w:after="0"/>
              <w:rPr>
                <w:sz w:val="20"/>
                <w:szCs w:val="20"/>
                <w:color w:val="auto"/>
              </w:rPr>
            </w:pPr>
            <w:r>
              <w:rPr>
                <w:rFonts w:ascii="Arial" w:cs="Arial" w:eastAsia="Arial" w:hAnsi="Arial"/>
                <w:sz w:val="10"/>
                <w:szCs w:val="10"/>
                <w:b w:val="1"/>
                <w:bCs w:val="1"/>
                <w:color w:val="auto"/>
              </w:rPr>
              <w:t>Assuming Dilution</w:t>
            </w:r>
          </w:p>
        </w:tc>
        <w:tc>
          <w:tcPr>
            <w:tcW w:w="380" w:type="dxa"/>
            <w:vAlign w:val="bottom"/>
          </w:tcPr>
          <w:p>
            <w:pPr>
              <w:spacing w:after="0"/>
              <w:rPr>
                <w:sz w:val="12"/>
                <w:szCs w:val="12"/>
                <w:color w:val="auto"/>
              </w:rPr>
            </w:pPr>
          </w:p>
        </w:tc>
        <w:tc>
          <w:tcPr>
            <w:tcW w:w="1220" w:type="dxa"/>
            <w:vAlign w:val="bottom"/>
          </w:tcPr>
          <w:p>
            <w:pPr>
              <w:jc w:val="right"/>
              <w:ind w:right="643"/>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right"/>
              <w:ind w:right="622"/>
              <w:spacing w:after="0"/>
              <w:rPr>
                <w:sz w:val="20"/>
                <w:szCs w:val="20"/>
                <w:color w:val="auto"/>
              </w:rPr>
            </w:pPr>
            <w:r>
              <w:rPr>
                <w:rFonts w:ascii="Arial" w:cs="Arial" w:eastAsia="Arial" w:hAnsi="Arial"/>
                <w:sz w:val="10"/>
                <w:szCs w:val="10"/>
                <w:b w:val="1"/>
                <w:bCs w:val="1"/>
                <w:color w:val="auto"/>
                <w:w w:val="98"/>
              </w:rPr>
              <w:t>2018</w:t>
            </w:r>
          </w:p>
        </w:tc>
      </w:tr>
      <w:tr>
        <w:trPr>
          <w:trHeight w:val="20"/>
        </w:trPr>
        <w:tc>
          <w:tcPr>
            <w:tcW w:w="72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7"/>
        </w:trPr>
        <w:tc>
          <w:tcPr>
            <w:tcW w:w="81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Net income attributable to Honeywell</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1,416</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1,439</w:t>
            </w:r>
          </w:p>
        </w:tc>
      </w:tr>
      <w:tr>
        <w:trPr>
          <w:trHeight w:val="153"/>
        </w:trPr>
        <w:tc>
          <w:tcPr>
            <w:tcW w:w="8140" w:type="dxa"/>
            <w:vAlign w:val="bottom"/>
            <w:gridSpan w:val="3"/>
          </w:tcPr>
          <w:p>
            <w:pPr>
              <w:spacing w:after="0"/>
              <w:rPr>
                <w:sz w:val="20"/>
                <w:szCs w:val="20"/>
                <w:color w:val="auto"/>
              </w:rPr>
            </w:pPr>
            <w:r>
              <w:rPr>
                <w:rFonts w:ascii="Arial" w:cs="Arial" w:eastAsia="Arial" w:hAnsi="Arial"/>
                <w:sz w:val="10"/>
                <w:szCs w:val="10"/>
                <w:b w:val="1"/>
                <w:bCs w:val="1"/>
                <w:color w:val="auto"/>
              </w:rPr>
              <w:t>Average Shares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7"/>
        </w:trPr>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0"/>
        </w:trPr>
        <w:tc>
          <w:tcPr>
            <w:tcW w:w="81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Weighted average shares outstanding</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729.7</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750.6</w:t>
            </w:r>
          </w:p>
        </w:tc>
      </w:tr>
      <w:tr>
        <w:trPr>
          <w:trHeight w:val="176"/>
        </w:trPr>
        <w:tc>
          <w:tcPr>
            <w:tcW w:w="814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Dilutive securities issuable - stock plans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9.1</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10.4</w:t>
            </w:r>
          </w:p>
        </w:tc>
      </w:tr>
      <w:tr>
        <w:trPr>
          <w:trHeight w:val="172"/>
        </w:trPr>
        <w:tc>
          <w:tcPr>
            <w:tcW w:w="8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weighted average shares outstanding</w:t>
            </w: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738.8</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761.0</w:t>
            </w:r>
          </w:p>
        </w:tc>
      </w:tr>
      <w:tr>
        <w:trPr>
          <w:trHeight w:val="162"/>
        </w:trPr>
        <w:tc>
          <w:tcPr>
            <w:tcW w:w="8140" w:type="dxa"/>
            <w:vAlign w:val="bottom"/>
            <w:gridSpan w:val="3"/>
          </w:tcPr>
          <w:p>
            <w:pPr>
              <w:spacing w:after="0"/>
              <w:rPr>
                <w:sz w:val="20"/>
                <w:szCs w:val="20"/>
                <w:color w:val="auto"/>
              </w:rPr>
            </w:pPr>
            <w:r>
              <w:rPr>
                <w:rFonts w:ascii="Arial" w:cs="Arial" w:eastAsia="Arial" w:hAnsi="Arial"/>
                <w:sz w:val="12"/>
                <w:szCs w:val="12"/>
                <w:color w:val="auto"/>
              </w:rPr>
              <w:t>Earnings per share of common stock</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3"/>
              <w:spacing w:after="0"/>
              <w:rPr>
                <w:sz w:val="20"/>
                <w:szCs w:val="20"/>
                <w:color w:val="auto"/>
              </w:rPr>
            </w:pPr>
            <w:r>
              <w:rPr>
                <w:rFonts w:ascii="Arial" w:cs="Arial" w:eastAsia="Arial" w:hAnsi="Arial"/>
                <w:sz w:val="12"/>
                <w:szCs w:val="12"/>
                <w:color w:val="auto"/>
              </w:rPr>
              <w:t>1.92</w:t>
            </w:r>
          </w:p>
        </w:tc>
        <w:tc>
          <w:tcPr>
            <w:tcW w:w="120" w:type="dxa"/>
            <w:vAlign w:val="bottom"/>
          </w:tcPr>
          <w:p>
            <w:pPr>
              <w:spacing w:after="0"/>
              <w:rPr>
                <w:sz w:val="14"/>
                <w:szCs w:val="14"/>
                <w:color w:val="auto"/>
              </w:rPr>
            </w:pPr>
          </w:p>
        </w:tc>
        <w:tc>
          <w:tcPr>
            <w:tcW w:w="660" w:type="dxa"/>
            <w:vAlign w:val="bottom"/>
          </w:tcPr>
          <w:p>
            <w:pPr>
              <w:jc w:val="right"/>
              <w:ind w:right="52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1.89</w:t>
            </w:r>
          </w:p>
        </w:tc>
      </w:tr>
    </w:tbl>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diluted earnings per share calculations exclude the effect of stock options when the options’ assumed proceeds exceed the average market price of the common shares during the period. For the three months ended March 31, 2019 and 2018, the weighted average number of stock options excluded from the computations were 3.7 million and 1.1 million. These stock options were outstanding at the end of each of the respective periods.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March 31, 2019 and 2018, total shares outstanding were 727.7 million and 746.9 million and as of March 31, 2019 and 2018, total shares issued were 957.6 million.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126" w:right="19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Revenue Recognition and Contracts with Customers</w:t>
      </w:r>
    </w:p>
    <w:p>
      <w:pPr>
        <w:spacing w:after="0" w:line="16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Honeywell has a comprehensive offering of products and services, including software and technologies, that are sold to a variety of customers in multiple end markets. See the following table and related discussions by operating segment for details.</w:t>
      </w:r>
    </w:p>
    <w:p>
      <w:pPr>
        <w:spacing w:after="0" w:line="231" w:lineRule="exact"/>
        <w:rPr>
          <w:sz w:val="20"/>
          <w:szCs w:val="20"/>
          <w:color w:val="auto"/>
        </w:rPr>
      </w:pPr>
    </w:p>
    <w:p>
      <w:pPr>
        <w:jc w:val="center"/>
        <w:ind w:left="9340"/>
        <w:spacing w:after="0"/>
        <w:rPr>
          <w:sz w:val="20"/>
          <w:szCs w:val="20"/>
          <w:color w:val="auto"/>
        </w:rPr>
      </w:pPr>
      <w:r>
        <w:rPr>
          <w:rFonts w:ascii="Arial" w:cs="Arial" w:eastAsia="Arial" w:hAnsi="Arial"/>
          <w:sz w:val="10"/>
          <w:szCs w:val="10"/>
          <w:b w:val="1"/>
          <w:bCs w:val="1"/>
          <w:color w:val="auto"/>
        </w:rPr>
        <w:t>Three Months Ended</w:t>
      </w:r>
    </w:p>
    <w:p>
      <w:pPr>
        <w:spacing w:after="0" w:line="5" w:lineRule="exact"/>
        <w:rPr>
          <w:sz w:val="20"/>
          <w:szCs w:val="20"/>
          <w:color w:val="auto"/>
        </w:rPr>
      </w:pPr>
    </w:p>
    <w:p>
      <w:pPr>
        <w:jc w:val="center"/>
        <w:ind w:left="9340"/>
        <w:spacing w:after="0"/>
        <w:rPr>
          <w:sz w:val="20"/>
          <w:szCs w:val="20"/>
          <w:color w:val="auto"/>
        </w:rPr>
      </w:pPr>
      <w:r>
        <w:rPr>
          <w:rFonts w:ascii="Arial" w:cs="Arial" w:eastAsia="Arial" w:hAnsi="Arial"/>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5080</wp:posOffset>
            </wp:positionV>
            <wp:extent cx="13843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4300" cy="5715"/>
                    </a:xfrm>
                    <a:prstGeom prst="rect">
                      <a:avLst/>
                    </a:prstGeom>
                    <a:noFill/>
                  </pic:spPr>
                </pic:pic>
              </a:graphicData>
            </a:graphic>
          </wp:anchor>
        </w:drawing>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580" w:type="dxa"/>
            <w:vAlign w:val="bottom"/>
            <w:tcBorders>
              <w:bottom w:val="single" w:sz="8" w:color="CCEEFF"/>
            </w:tcBorders>
          </w:tcPr>
          <w:p>
            <w:pPr>
              <w:spacing w:after="0"/>
              <w:rPr>
                <w:sz w:val="11"/>
                <w:szCs w:val="11"/>
                <w:color w:val="auto"/>
              </w:rPr>
            </w:pPr>
          </w:p>
        </w:tc>
        <w:tc>
          <w:tcPr>
            <w:tcW w:w="118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7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2018</w:t>
            </w:r>
          </w:p>
        </w:tc>
      </w:tr>
      <w:tr>
        <w:trPr>
          <w:trHeight w:val="137"/>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Aerospace</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36"/>
        </w:trPr>
        <w:tc>
          <w:tcPr>
            <w:tcW w:w="580" w:type="dxa"/>
            <w:vAlign w:val="bottom"/>
            <w:tcBorders>
              <w:left w:val="single" w:sz="8" w:color="CCEEFF"/>
            </w:tcBorders>
            <w:shd w:val="clear" w:color="auto" w:fill="000000"/>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r>
        <w:trPr>
          <w:trHeight w:val="176"/>
        </w:trPr>
        <w:tc>
          <w:tcPr>
            <w:tcW w:w="9300" w:type="dxa"/>
            <w:vAlign w:val="bottom"/>
            <w:gridSpan w:val="4"/>
          </w:tcPr>
          <w:p>
            <w:pPr>
              <w:ind w:left="20"/>
              <w:spacing w:after="0"/>
              <w:rPr>
                <w:sz w:val="20"/>
                <w:szCs w:val="20"/>
                <w:color w:val="auto"/>
              </w:rPr>
            </w:pPr>
            <w:r>
              <w:rPr>
                <w:rFonts w:ascii="Arial" w:cs="Arial" w:eastAsia="Arial" w:hAnsi="Arial"/>
                <w:sz w:val="12"/>
                <w:szCs w:val="12"/>
                <w:color w:val="auto"/>
              </w:rPr>
              <w:t>Commercial Aviation Original Equipment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759</w:t>
            </w:r>
          </w:p>
        </w:tc>
        <w:tc>
          <w:tcPr>
            <w:tcW w:w="12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695</w:t>
            </w:r>
          </w:p>
        </w:tc>
      </w:tr>
      <w:tr>
        <w:trPr>
          <w:trHeight w:val="185"/>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Commercial Aviation Aftermarket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1,361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1,268</w:t>
            </w:r>
          </w:p>
        </w:tc>
      </w:tr>
      <w:tr>
        <w:trPr>
          <w:trHeight w:val="176"/>
        </w:trPr>
        <w:tc>
          <w:tcPr>
            <w:tcW w:w="9300" w:type="dxa"/>
            <w:vAlign w:val="bottom"/>
            <w:gridSpan w:val="4"/>
          </w:tcPr>
          <w:p>
            <w:pPr>
              <w:ind w:left="20"/>
              <w:spacing w:after="0"/>
              <w:rPr>
                <w:sz w:val="20"/>
                <w:szCs w:val="20"/>
                <w:color w:val="auto"/>
              </w:rPr>
            </w:pPr>
            <w:r>
              <w:rPr>
                <w:rFonts w:ascii="Arial" w:cs="Arial" w:eastAsia="Arial" w:hAnsi="Arial"/>
                <w:sz w:val="12"/>
                <w:szCs w:val="12"/>
                <w:color w:val="auto"/>
              </w:rPr>
              <w:t>Defense and Space</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1,221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1,086</w:t>
            </w:r>
          </w:p>
        </w:tc>
      </w:tr>
      <w:tr>
        <w:trPr>
          <w:trHeight w:val="180"/>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Transportation Systems</w:t>
            </w: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928</w:t>
            </w:r>
          </w:p>
        </w:tc>
      </w:tr>
      <w:tr>
        <w:trPr>
          <w:trHeight w:val="169"/>
        </w:trPr>
        <w:tc>
          <w:tcPr>
            <w:tcW w:w="5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3,341</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3,977</w:t>
            </w:r>
          </w:p>
        </w:tc>
      </w:tr>
      <w:tr>
        <w:trPr>
          <w:trHeight w:val="138"/>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Honeywell Building Technologies</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36"/>
        </w:trPr>
        <w:tc>
          <w:tcPr>
            <w:tcW w:w="580" w:type="dxa"/>
            <w:vAlign w:val="bottom"/>
            <w:tcBorders>
              <w:left w:val="single" w:sz="8" w:color="CCEEFF"/>
            </w:tcBorders>
            <w:shd w:val="clear" w:color="auto" w:fill="000000"/>
          </w:tcPr>
          <w:p>
            <w:pPr>
              <w:spacing w:after="0"/>
              <w:rPr>
                <w:sz w:val="3"/>
                <w:szCs w:val="3"/>
                <w:color w:val="auto"/>
              </w:rPr>
            </w:pPr>
          </w:p>
        </w:tc>
        <w:tc>
          <w:tcPr>
            <w:tcW w:w="1180" w:type="dxa"/>
            <w:vAlign w:val="bottom"/>
            <w:shd w:val="clear" w:color="auto" w:fill="000000"/>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r>
        <w:trPr>
          <w:trHeight w:val="176"/>
        </w:trPr>
        <w:tc>
          <w:tcPr>
            <w:tcW w:w="9300" w:type="dxa"/>
            <w:vAlign w:val="bottom"/>
            <w:gridSpan w:val="4"/>
          </w:tcPr>
          <w:p>
            <w:pPr>
              <w:ind w:left="20"/>
              <w:spacing w:after="0"/>
              <w:rPr>
                <w:sz w:val="20"/>
                <w:szCs w:val="20"/>
                <w:color w:val="auto"/>
              </w:rPr>
            </w:pPr>
            <w:r>
              <w:rPr>
                <w:rFonts w:ascii="Arial" w:cs="Arial" w:eastAsia="Arial" w:hAnsi="Arial"/>
                <w:sz w:val="12"/>
                <w:szCs w:val="12"/>
                <w:color w:val="auto"/>
              </w:rPr>
              <w:t>Homes Products and Software</w:t>
            </w:r>
          </w:p>
        </w:tc>
        <w:tc>
          <w:tcPr>
            <w:tcW w:w="2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519</w:t>
            </w:r>
          </w:p>
        </w:tc>
      </w:tr>
      <w:tr>
        <w:trPr>
          <w:trHeight w:val="185"/>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Distribution (ADI)</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638</w:t>
            </w:r>
          </w:p>
        </w:tc>
      </w:tr>
      <w:tr>
        <w:trPr>
          <w:trHeight w:val="176"/>
        </w:trPr>
        <w:tc>
          <w:tcPr>
            <w:tcW w:w="9300" w:type="dxa"/>
            <w:vAlign w:val="bottom"/>
            <w:gridSpan w:val="4"/>
          </w:tcPr>
          <w:p>
            <w:pPr>
              <w:ind w:left="20"/>
              <w:spacing w:after="0"/>
              <w:rPr>
                <w:sz w:val="20"/>
                <w:szCs w:val="20"/>
                <w:color w:val="auto"/>
              </w:rPr>
            </w:pPr>
            <w:r>
              <w:rPr>
                <w:rFonts w:ascii="Arial" w:cs="Arial" w:eastAsia="Arial" w:hAnsi="Arial"/>
                <w:sz w:val="12"/>
                <w:szCs w:val="12"/>
                <w:color w:val="auto"/>
              </w:rPr>
              <w:t>Products</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810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714</w:t>
            </w:r>
          </w:p>
        </w:tc>
      </w:tr>
      <w:tr>
        <w:trPr>
          <w:trHeight w:val="180"/>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Building Solutions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579</w:t>
            </w:r>
          </w:p>
        </w:tc>
        <w:tc>
          <w:tcPr>
            <w:tcW w:w="1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562</w:t>
            </w:r>
          </w:p>
        </w:tc>
      </w:tr>
      <w:tr>
        <w:trPr>
          <w:trHeight w:val="169"/>
        </w:trPr>
        <w:tc>
          <w:tcPr>
            <w:tcW w:w="5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1,389</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2,433</w:t>
            </w:r>
          </w:p>
        </w:tc>
      </w:tr>
      <w:tr>
        <w:trPr>
          <w:trHeight w:val="138"/>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Performance Materials and Technologies</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36"/>
        </w:trPr>
        <w:tc>
          <w:tcPr>
            <w:tcW w:w="580" w:type="dxa"/>
            <w:vAlign w:val="bottom"/>
            <w:tcBorders>
              <w:left w:val="single" w:sz="8" w:color="CCEEFF"/>
            </w:tcBorders>
            <w:shd w:val="clear" w:color="auto" w:fill="000000"/>
          </w:tcPr>
          <w:p>
            <w:pPr>
              <w:spacing w:after="0"/>
              <w:rPr>
                <w:sz w:val="3"/>
                <w:szCs w:val="3"/>
                <w:color w:val="auto"/>
              </w:rPr>
            </w:pPr>
          </w:p>
        </w:tc>
        <w:tc>
          <w:tcPr>
            <w:tcW w:w="11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7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r>
        <w:trPr>
          <w:trHeight w:val="176"/>
        </w:trPr>
        <w:tc>
          <w:tcPr>
            <w:tcW w:w="9300" w:type="dxa"/>
            <w:vAlign w:val="bottom"/>
            <w:gridSpan w:val="4"/>
          </w:tcPr>
          <w:p>
            <w:pPr>
              <w:ind w:left="20"/>
              <w:spacing w:after="0"/>
              <w:rPr>
                <w:sz w:val="20"/>
                <w:szCs w:val="20"/>
                <w:color w:val="auto"/>
              </w:rPr>
            </w:pPr>
            <w:r>
              <w:rPr>
                <w:rFonts w:ascii="Arial" w:cs="Arial" w:eastAsia="Arial" w:hAnsi="Arial"/>
                <w:sz w:val="12"/>
                <w:szCs w:val="12"/>
                <w:color w:val="auto"/>
              </w:rPr>
              <w:t>UOP</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610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612</w:t>
            </w:r>
          </w:p>
        </w:tc>
      </w:tr>
      <w:tr>
        <w:trPr>
          <w:trHeight w:val="185"/>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Process Solutions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1,214</w:t>
            </w:r>
          </w:p>
        </w:tc>
      </w:tr>
      <w:tr>
        <w:trPr>
          <w:trHeight w:val="176"/>
        </w:trPr>
        <w:tc>
          <w:tcPr>
            <w:tcW w:w="9300" w:type="dxa"/>
            <w:vAlign w:val="bottom"/>
            <w:gridSpan w:val="4"/>
          </w:tcPr>
          <w:p>
            <w:pPr>
              <w:ind w:left="20"/>
              <w:spacing w:after="0"/>
              <w:rPr>
                <w:sz w:val="20"/>
                <w:szCs w:val="20"/>
                <w:color w:val="auto"/>
              </w:rPr>
            </w:pPr>
            <w:r>
              <w:rPr>
                <w:rFonts w:ascii="Arial" w:cs="Arial" w:eastAsia="Arial" w:hAnsi="Arial"/>
                <w:sz w:val="12"/>
                <w:szCs w:val="12"/>
                <w:color w:val="auto"/>
              </w:rPr>
              <w:t>Specialty Products</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269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277</w:t>
            </w:r>
          </w:p>
        </w:tc>
      </w:tr>
      <w:tr>
        <w:trPr>
          <w:trHeight w:val="180"/>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Fluorine Products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447</w:t>
            </w:r>
          </w:p>
        </w:tc>
        <w:tc>
          <w:tcPr>
            <w:tcW w:w="1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431</w:t>
            </w:r>
          </w:p>
        </w:tc>
      </w:tr>
      <w:tr>
        <w:trPr>
          <w:trHeight w:val="169"/>
        </w:trPr>
        <w:tc>
          <w:tcPr>
            <w:tcW w:w="5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2,572</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2,534</w:t>
            </w:r>
          </w:p>
        </w:tc>
      </w:tr>
      <w:tr>
        <w:trPr>
          <w:trHeight w:val="138"/>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Safety and Productivity Solutions</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36"/>
        </w:trPr>
        <w:tc>
          <w:tcPr>
            <w:tcW w:w="580" w:type="dxa"/>
            <w:vAlign w:val="bottom"/>
            <w:tcBorders>
              <w:left w:val="single" w:sz="8" w:color="CCEEFF"/>
            </w:tcBorders>
            <w:shd w:val="clear" w:color="auto" w:fill="000000"/>
          </w:tcPr>
          <w:p>
            <w:pPr>
              <w:spacing w:after="0"/>
              <w:rPr>
                <w:sz w:val="3"/>
                <w:szCs w:val="3"/>
                <w:color w:val="auto"/>
              </w:rPr>
            </w:pPr>
          </w:p>
        </w:tc>
        <w:tc>
          <w:tcPr>
            <w:tcW w:w="1180" w:type="dxa"/>
            <w:vAlign w:val="bottom"/>
            <w:shd w:val="clear" w:color="auto" w:fill="000000"/>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r>
        <w:trPr>
          <w:trHeight w:val="176"/>
        </w:trPr>
        <w:tc>
          <w:tcPr>
            <w:tcW w:w="9300" w:type="dxa"/>
            <w:vAlign w:val="bottom"/>
            <w:gridSpan w:val="4"/>
          </w:tcPr>
          <w:p>
            <w:pPr>
              <w:ind w:left="20"/>
              <w:spacing w:after="0"/>
              <w:rPr>
                <w:sz w:val="20"/>
                <w:szCs w:val="20"/>
                <w:color w:val="auto"/>
              </w:rPr>
            </w:pPr>
            <w:r>
              <w:rPr>
                <w:rFonts w:ascii="Arial" w:cs="Arial" w:eastAsia="Arial" w:hAnsi="Arial"/>
                <w:sz w:val="12"/>
                <w:szCs w:val="12"/>
                <w:color w:val="auto"/>
              </w:rPr>
              <w:t>Safety and Retail</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538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551</w:t>
            </w:r>
          </w:p>
        </w:tc>
      </w:tr>
      <w:tr>
        <w:trPr>
          <w:trHeight w:val="185"/>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Productivity Products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329</w:t>
            </w:r>
          </w:p>
        </w:tc>
      </w:tr>
      <w:tr>
        <w:trPr>
          <w:trHeight w:val="176"/>
        </w:trPr>
        <w:tc>
          <w:tcPr>
            <w:tcW w:w="9300" w:type="dxa"/>
            <w:vAlign w:val="bottom"/>
            <w:gridSpan w:val="4"/>
          </w:tcPr>
          <w:p>
            <w:pPr>
              <w:ind w:left="20"/>
              <w:spacing w:after="0"/>
              <w:rPr>
                <w:sz w:val="20"/>
                <w:szCs w:val="20"/>
                <w:color w:val="auto"/>
              </w:rPr>
            </w:pPr>
            <w:r>
              <w:rPr>
                <w:rFonts w:ascii="Arial" w:cs="Arial" w:eastAsia="Arial" w:hAnsi="Arial"/>
                <w:sz w:val="12"/>
                <w:szCs w:val="12"/>
                <w:color w:val="auto"/>
              </w:rPr>
              <w:t>Warehouse and Workflow Solutions</w:t>
            </w:r>
          </w:p>
        </w:tc>
        <w:tc>
          <w:tcPr>
            <w:tcW w:w="24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558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2"/>
                <w:szCs w:val="12"/>
                <w:color w:val="auto"/>
              </w:rPr>
              <w:t>367</w:t>
            </w:r>
          </w:p>
        </w:tc>
      </w:tr>
      <w:tr>
        <w:trPr>
          <w:trHeight w:val="180"/>
        </w:trPr>
        <w:tc>
          <w:tcPr>
            <w:tcW w:w="9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Sensing &amp; Internet-of-Things (IoT)</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215</w:t>
            </w:r>
          </w:p>
        </w:tc>
        <w:tc>
          <w:tcPr>
            <w:tcW w:w="1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201</w:t>
            </w:r>
          </w:p>
        </w:tc>
      </w:tr>
      <w:tr>
        <w:trPr>
          <w:trHeight w:val="169"/>
        </w:trPr>
        <w:tc>
          <w:tcPr>
            <w:tcW w:w="5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1,582</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1,448</w:t>
            </w:r>
          </w:p>
        </w:tc>
      </w:tr>
      <w:tr>
        <w:trPr>
          <w:trHeight w:val="181"/>
        </w:trPr>
        <w:tc>
          <w:tcPr>
            <w:tcW w:w="9300" w:type="dxa"/>
            <w:vAlign w:val="bottom"/>
            <w:tcBorders>
              <w:left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8,884</w:t>
            </w:r>
          </w:p>
        </w:tc>
        <w:tc>
          <w:tcPr>
            <w:tcW w:w="1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10,392</w:t>
            </w:r>
          </w:p>
        </w:tc>
      </w:tr>
    </w:tbl>
    <w:p>
      <w:pPr>
        <w:spacing w:after="0" w:line="13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b w:val="1"/>
          <w:bCs w:val="1"/>
          <w:color w:val="auto"/>
        </w:rPr>
        <w:t xml:space="preserve">Aerospace </w:t>
      </w:r>
      <w:r>
        <w:rPr>
          <w:rFonts w:ascii="Arial" w:cs="Arial" w:eastAsia="Arial" w:hAnsi="Arial"/>
          <w:sz w:val="12"/>
          <w:szCs w:val="12"/>
          <w:color w:val="auto"/>
        </w:rPr>
        <w:t>– A global supplier of products, software and services for aircraft. Products include aircraft propulsion engines, auxiliary power units, environmental control systems, integrated avionics, electric</w:t>
      </w:r>
      <w:r>
        <w:rPr>
          <w:rFonts w:ascii="Arial" w:cs="Arial" w:eastAsia="Arial" w:hAnsi="Arial"/>
          <w:sz w:val="12"/>
          <w:szCs w:val="12"/>
          <w:b w:val="1"/>
          <w:bCs w:val="1"/>
          <w:color w:val="auto"/>
        </w:rPr>
        <w:t xml:space="preserve"> </w:t>
      </w:r>
      <w:r>
        <w:rPr>
          <w:rFonts w:ascii="Arial" w:cs="Arial" w:eastAsia="Arial" w:hAnsi="Arial"/>
          <w:sz w:val="12"/>
          <w:szCs w:val="12"/>
          <w:color w:val="auto"/>
        </w:rPr>
        <w:t>power systems, hardware for engine controls, flight safety, communications, and navigation, satellite and space components, aircraft wheels and brakes, and thermal systems. Software includes engine controls, flight safety, communications, navigation, radar and surveillance systems, internet connectivity and aircraft instrumentation. Services are provided to customers for the repair, overhaul, retrofit and modification of propulsion engines, auxiliary power units, avionics and mechanical systems and aircraft wheels and brakes.</w:t>
      </w:r>
    </w:p>
    <w:p>
      <w:pPr>
        <w:spacing w:after="0" w:line="118"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b w:val="1"/>
          <w:bCs w:val="1"/>
          <w:color w:val="auto"/>
        </w:rPr>
        <w:t xml:space="preserve">Honeywell Building Technologies </w:t>
      </w:r>
      <w:r>
        <w:rPr>
          <w:rFonts w:ascii="Arial" w:cs="Arial" w:eastAsia="Arial" w:hAnsi="Arial"/>
          <w:sz w:val="12"/>
          <w:szCs w:val="12"/>
          <w:color w:val="auto"/>
        </w:rPr>
        <w:t>– A global provider of products, software, solutions and technologies for buildings. Products include controls and displays for heating, cooling, indoor air quality, ventilation,</w:t>
      </w:r>
      <w:r>
        <w:rPr>
          <w:rFonts w:ascii="Arial" w:cs="Arial" w:eastAsia="Arial" w:hAnsi="Arial"/>
          <w:sz w:val="12"/>
          <w:szCs w:val="12"/>
          <w:b w:val="1"/>
          <w:bCs w:val="1"/>
          <w:color w:val="auto"/>
        </w:rPr>
        <w:t xml:space="preserve"> </w:t>
      </w:r>
      <w:r>
        <w:rPr>
          <w:rFonts w:ascii="Arial" w:cs="Arial" w:eastAsia="Arial" w:hAnsi="Arial"/>
          <w:sz w:val="12"/>
          <w:szCs w:val="12"/>
          <w:color w:val="auto"/>
        </w:rPr>
        <w:t>humidification, combustion, and lighting; sensors, switches, control systems and instruments for measuring pressure, air flow, temperature and electrical current; access control; video surveillance; fire detection; and installation, maintenance and upgrades of systems that keep buildings safe, comfortable and productive. Software includes monitoring and managing heating, cooling, indoor air quality, ventilation, humidification, combustion, and lighting; advanced applications for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126" w:right="199" w:bottom="1440" w:gutter="0" w:footer="0" w:header="0"/>
        </w:sectPr>
      </w:pPr>
    </w:p>
    <w:bookmarkStart w:id="12" w:name="page13"/>
    <w:bookmarkEnd w:id="12"/>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building control and optimization; video surveillance; and remote patient monitoring systems. Installation, maintenance and upgrade services of products used in commercial building applications for heating, cooling, maintaining indoor air quality, ventilation, humidification, combustion, lighting, video surveillance and fire safety.</w:t>
      </w:r>
    </w:p>
    <w:p>
      <w:pPr>
        <w:spacing w:after="0" w:line="11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b w:val="1"/>
          <w:bCs w:val="1"/>
          <w:color w:val="auto"/>
        </w:rPr>
        <w:t xml:space="preserve">Performance Materials and Technologies </w:t>
      </w:r>
      <w:r>
        <w:rPr>
          <w:rFonts w:ascii="Arial" w:cs="Arial" w:eastAsia="Arial" w:hAnsi="Arial"/>
          <w:sz w:val="12"/>
          <w:szCs w:val="12"/>
          <w:color w:val="auto"/>
        </w:rPr>
        <w:t>– A global provider of products, software, solutions and technologies. Products include catalysts, absorbents, equipment and high-performance materials, devices</w:t>
      </w:r>
      <w:r>
        <w:rPr>
          <w:rFonts w:ascii="Arial" w:cs="Arial" w:eastAsia="Arial" w:hAnsi="Arial"/>
          <w:sz w:val="12"/>
          <w:szCs w:val="12"/>
          <w:b w:val="1"/>
          <w:bCs w:val="1"/>
          <w:color w:val="auto"/>
        </w:rPr>
        <w:t xml:space="preserve"> </w:t>
      </w:r>
      <w:r>
        <w:rPr>
          <w:rFonts w:ascii="Arial" w:cs="Arial" w:eastAsia="Arial" w:hAnsi="Arial"/>
          <w:sz w:val="12"/>
          <w:szCs w:val="12"/>
          <w:color w:val="auto"/>
        </w:rPr>
        <w:t>for measurement, regulation, control and metering of gases and electricity, and metering and communications systems for water utilities and industries. Software is provided to support process technologies supporting automation and to monitor a variety of industrial processes used in industries such as oil and gas, chemicals, petrochemicals, metals, minerals and mining industries. Services are provided for installation and maintenance of products.</w:t>
      </w:r>
    </w:p>
    <w:p>
      <w:pPr>
        <w:spacing w:after="0" w:line="118"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2"/>
          <w:szCs w:val="12"/>
          <w:b w:val="1"/>
          <w:bCs w:val="1"/>
          <w:color w:val="auto"/>
        </w:rPr>
        <w:t xml:space="preserve">Safety and Productivity Solutions </w:t>
      </w:r>
      <w:r>
        <w:rPr>
          <w:rFonts w:ascii="Arial" w:cs="Arial" w:eastAsia="Arial" w:hAnsi="Arial"/>
          <w:sz w:val="12"/>
          <w:szCs w:val="12"/>
          <w:color w:val="auto"/>
        </w:rPr>
        <w:t>– A global provider of products, software and solutions. Products include personal protection equipment and footwear, gas detection devices, mobile computing, data</w:t>
      </w:r>
      <w:r>
        <w:rPr>
          <w:rFonts w:ascii="Arial" w:cs="Arial" w:eastAsia="Arial" w:hAnsi="Arial"/>
          <w:sz w:val="12"/>
          <w:szCs w:val="12"/>
          <w:b w:val="1"/>
          <w:bCs w:val="1"/>
          <w:color w:val="auto"/>
        </w:rPr>
        <w:t xml:space="preserve"> </w:t>
      </w:r>
      <w:r>
        <w:rPr>
          <w:rFonts w:ascii="Arial" w:cs="Arial" w:eastAsia="Arial" w:hAnsi="Arial"/>
          <w:sz w:val="12"/>
          <w:szCs w:val="12"/>
          <w:color w:val="auto"/>
        </w:rPr>
        <w:t>collection and thermal printing devices, automation equipment for supply chain and warehouse automation and custom-engineered sensors, switches and controls. Software and solutions are provided to customers for supply chain and warehouse automation, to manage data and assets to drive productivity and for computing, data collection and thermal printing.</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For a summary by disaggregated product and services sales for each segment, refer to Note 14 </w:t>
      </w:r>
      <w:r>
        <w:rPr>
          <w:rFonts w:ascii="Arial" w:cs="Arial" w:eastAsia="Arial" w:hAnsi="Arial"/>
          <w:sz w:val="12"/>
          <w:szCs w:val="12"/>
          <w:i w:val="1"/>
          <w:iCs w:val="1"/>
          <w:color w:val="auto"/>
        </w:rPr>
        <w:t>Segment Financial Data</w:t>
      </w:r>
      <w:r>
        <w:rPr>
          <w:rFonts w:ascii="Arial" w:cs="Arial" w:eastAsia="Arial" w:hAnsi="Arial"/>
          <w:sz w:val="12"/>
          <w:szCs w:val="12"/>
          <w:color w:val="auto"/>
        </w:rPr>
        <w:t>.</w:t>
      </w:r>
    </w:p>
    <w:p>
      <w:pPr>
        <w:spacing w:after="0" w:line="162"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2"/>
          <w:szCs w:val="12"/>
          <w:color w:val="auto"/>
        </w:rPr>
        <w:t>We recognize revenue arising from performance obligations outlined in contracts with our customers that are satisfied at a point in time and over time. The disaggregation of our revenue based off timing of recognition is as follows:</w:t>
      </w:r>
    </w:p>
    <w:p>
      <w:pPr>
        <w:spacing w:after="0" w:line="267" w:lineRule="exact"/>
        <w:rPr>
          <w:sz w:val="20"/>
          <w:szCs w:val="20"/>
          <w:color w:val="auto"/>
        </w:rPr>
      </w:pPr>
    </w:p>
    <w:p>
      <w:pPr>
        <w:ind w:left="910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5170805</wp:posOffset>
            </wp:positionH>
            <wp:positionV relativeFrom="paragraph">
              <wp:posOffset>12700</wp:posOffset>
            </wp:positionV>
            <wp:extent cx="21164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6455" cy="571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14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jc w:val="right"/>
              <w:ind w:right="641"/>
              <w:spacing w:after="0"/>
              <w:rPr>
                <w:sz w:val="20"/>
                <w:szCs w:val="20"/>
                <w:color w:val="auto"/>
              </w:rPr>
            </w:pPr>
            <w:r>
              <w:rPr>
                <w:rFonts w:ascii="Arial" w:cs="Arial" w:eastAsia="Arial" w:hAnsi="Arial"/>
                <w:sz w:val="10"/>
                <w:szCs w:val="10"/>
                <w:b w:val="1"/>
                <w:bCs w:val="1"/>
                <w:color w:val="auto"/>
              </w:rPr>
              <w:t>2018</w:t>
            </w:r>
          </w:p>
        </w:tc>
      </w:tr>
      <w:tr>
        <w:trPr>
          <w:trHeight w:val="164"/>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Products, transferred point in time</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r>
      <w:tr>
        <w:trPr>
          <w:trHeight w:val="17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Products, transferred over time</w:t>
            </w:r>
          </w:p>
        </w:tc>
        <w:tc>
          <w:tcPr>
            <w:tcW w:w="1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w:t>
            </w:r>
          </w:p>
        </w:tc>
      </w:tr>
      <w:tr>
        <w:trPr>
          <w:trHeight w:val="165"/>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product sales</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76</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79</w:t>
            </w:r>
          </w:p>
        </w:tc>
      </w:tr>
      <w:tr>
        <w:trPr>
          <w:trHeight w:val="176"/>
        </w:trPr>
        <w:tc>
          <w:tcPr>
            <w:tcW w:w="9240" w:type="dxa"/>
            <w:vAlign w:val="bottom"/>
            <w:gridSpan w:val="2"/>
          </w:tcPr>
          <w:p>
            <w:pPr>
              <w:ind w:left="20"/>
              <w:spacing w:after="0"/>
              <w:rPr>
                <w:sz w:val="20"/>
                <w:szCs w:val="20"/>
                <w:color w:val="auto"/>
              </w:rPr>
            </w:pPr>
            <w:r>
              <w:rPr>
                <w:rFonts w:ascii="Arial" w:cs="Arial" w:eastAsia="Arial" w:hAnsi="Arial"/>
                <w:sz w:val="12"/>
                <w:szCs w:val="12"/>
                <w:color w:val="auto"/>
              </w:rPr>
              <w:t>Services, transferred point in time</w:t>
            </w: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5"/>
                <w:szCs w:val="15"/>
                <w:color w:val="auto"/>
              </w:rPr>
            </w:pPr>
          </w:p>
        </w:tc>
        <w:tc>
          <w:tcPr>
            <w:tcW w:w="1620" w:type="dxa"/>
            <w:vAlign w:val="bottom"/>
          </w:tcPr>
          <w:p>
            <w:pPr>
              <w:jc w:val="right"/>
              <w:ind w:right="81"/>
              <w:spacing w:after="0"/>
              <w:rPr>
                <w:sz w:val="20"/>
                <w:szCs w:val="20"/>
                <w:color w:val="auto"/>
              </w:rPr>
            </w:pPr>
            <w:r>
              <w:rPr>
                <w:rFonts w:ascii="Arial" w:cs="Arial" w:eastAsia="Arial" w:hAnsi="Arial"/>
                <w:sz w:val="12"/>
                <w:szCs w:val="12"/>
                <w:color w:val="auto"/>
              </w:rPr>
              <w:t>7</w:t>
            </w: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Services, transferred over time</w:t>
            </w:r>
          </w:p>
        </w:tc>
        <w:tc>
          <w:tcPr>
            <w:tcW w:w="1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w:t>
            </w:r>
          </w:p>
        </w:tc>
      </w:tr>
      <w:tr>
        <w:trPr>
          <w:trHeight w:val="16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service sales</w:t>
            </w:r>
          </w:p>
        </w:tc>
        <w:tc>
          <w:tcPr>
            <w:tcW w:w="1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21</w:t>
            </w:r>
          </w:p>
        </w:tc>
      </w:tr>
      <w:tr>
        <w:trPr>
          <w:trHeight w:val="172"/>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1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 Balances</w:t>
      </w:r>
    </w:p>
    <w:p>
      <w:pPr>
        <w:spacing w:after="0" w:line="16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2"/>
          <w:szCs w:val="12"/>
          <w:color w:val="auto"/>
        </w:rPr>
        <w:t>Progress on satisfying performance obligations under contracts with customers and the related billings and cash collections are recorded on the Consolidated Balance Sheet in Accounts receivable - net and Other assets (the current and noncurrent portions, respectively, of unbilled receivables (contract assets) and billed receivables) and Accrued liabilities and Other liabilities (the current and noncurrent portions, respectively, of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Contract balances are classified as assets or liabilities on a contract-by-contract basis at the end of each reporting period.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contract assets and liabilities balances: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126" w:right="199" w:bottom="1440" w:gutter="0" w:footer="0" w:header="0"/>
        </w:sectPr>
      </w:pPr>
    </w:p>
    <w:bookmarkStart w:id="13" w:name="page14"/>
    <w:bookmarkEnd w:id="13"/>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8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2018</w:t>
            </w: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Contract assets - Beginning period</w:t>
            </w:r>
          </w:p>
        </w:tc>
        <w:tc>
          <w:tcPr>
            <w:tcW w:w="780" w:type="dxa"/>
            <w:vAlign w:val="bottom"/>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1,548</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1,721</w:t>
            </w:r>
          </w:p>
        </w:tc>
      </w:tr>
      <w:tr>
        <w:trPr>
          <w:trHeight w:val="17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Contract assets - March 31</w:t>
            </w: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1,700</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1,672</w:t>
            </w:r>
          </w:p>
        </w:tc>
      </w:tr>
      <w:tr>
        <w:trPr>
          <w:trHeight w:val="181"/>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Change in contract assets - increase (decrease)</w:t>
            </w:r>
          </w:p>
        </w:tc>
        <w:tc>
          <w:tcPr>
            <w:tcW w:w="78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152</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(49)</w:t>
            </w:r>
          </w:p>
        </w:tc>
      </w:tr>
      <w:tr>
        <w:trPr>
          <w:trHeight w:val="180"/>
        </w:trPr>
        <w:tc>
          <w:tcPr>
            <w:tcW w:w="8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Contract liabilities - Beginning period</w:t>
            </w:r>
          </w:p>
        </w:tc>
        <w:tc>
          <w:tcPr>
            <w:tcW w:w="780" w:type="dxa"/>
            <w:vAlign w:val="bottom"/>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9"/>
              </w:rPr>
              <w:t>(3,378)</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(2,973)</w:t>
            </w:r>
          </w:p>
        </w:tc>
      </w:tr>
      <w:tr>
        <w:trPr>
          <w:trHeight w:val="17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Contract liabilities - March 31</w:t>
            </w: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9"/>
              </w:rPr>
              <w:t>(3,426)</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(3,081)</w:t>
            </w:r>
          </w:p>
        </w:tc>
      </w:tr>
      <w:tr>
        <w:trPr>
          <w:trHeight w:val="181"/>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Change in contract liabilities - (increase) decrease</w:t>
            </w:r>
          </w:p>
        </w:tc>
        <w:tc>
          <w:tcPr>
            <w:tcW w:w="78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(108)</w:t>
            </w:r>
          </w:p>
        </w:tc>
      </w:tr>
      <w:tr>
        <w:trPr>
          <w:trHeight w:val="180"/>
        </w:trPr>
        <w:tc>
          <w:tcPr>
            <w:tcW w:w="8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7"/>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change</w:t>
            </w:r>
          </w:p>
        </w:tc>
        <w:tc>
          <w:tcPr>
            <w:tcW w:w="78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104</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(157)</w:t>
            </w:r>
          </w:p>
        </w:tc>
      </w:tr>
    </w:tbl>
    <w:p>
      <w:pPr>
        <w:spacing w:after="0" w:line="14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The net change for the quarter ended March 31, 2019 was primarily driven by the recognition of revenue as performance obligations were satisfied prior to billing exceeding receipt of advance payments from customers.</w:t>
      </w:r>
    </w:p>
    <w:p>
      <w:pPr>
        <w:spacing w:after="0" w:line="13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The net change for the quarter ended March 31, 2018 was primarily driven by the receipt of advance payments from customers exceeding reductions from recognition of revenue as performance obligations were satisfied and related billings.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three months ended March 31, 2019 and 2018, we recognized revenue of $720 million and $581 million that was previously included in the beginning balance of contract liabilities.</w:t>
      </w:r>
    </w:p>
    <w:p>
      <w:pPr>
        <w:spacing w:after="0" w:line="15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When contracts are modified to account for changes in contract specifications and requirements, we consider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Obligations</w:t>
      </w:r>
    </w:p>
    <w:p>
      <w:pPr>
        <w:spacing w:after="0" w:line="16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2"/>
          <w:szCs w:val="12"/>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13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following table outlines our performance obligations disaggregated by segment.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126" w:right="1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4"/>
        </w:trPr>
        <w:tc>
          <w:tcPr>
            <w:tcW w:w="3300" w:type="dxa"/>
            <w:vAlign w:val="bottom"/>
          </w:tcPr>
          <w:p>
            <w:pPr>
              <w:spacing w:after="0"/>
              <w:rPr>
                <w:sz w:val="12"/>
                <w:szCs w:val="12"/>
                <w:color w:val="auto"/>
              </w:rPr>
            </w:pPr>
          </w:p>
        </w:tc>
        <w:tc>
          <w:tcPr>
            <w:tcW w:w="7080" w:type="dxa"/>
            <w:vAlign w:val="bottom"/>
            <w:gridSpan w:val="2"/>
          </w:tcPr>
          <w:p>
            <w:pPr>
              <w:jc w:val="center"/>
              <w:ind w:right="2160"/>
              <w:spacing w:after="0"/>
              <w:rPr>
                <w:sz w:val="20"/>
                <w:szCs w:val="20"/>
                <w:color w:val="auto"/>
              </w:rPr>
            </w:pPr>
            <w:r>
              <w:rPr>
                <w:rFonts w:ascii="Arial" w:cs="Arial" w:eastAsia="Arial" w:hAnsi="Arial"/>
                <w:sz w:val="12"/>
                <w:szCs w:val="12"/>
                <w:b w:val="1"/>
                <w:bCs w:val="1"/>
                <w:color w:val="auto"/>
                <w:w w:val="99"/>
              </w:rPr>
              <w:t>Honeywell International Inc.</w:t>
            </w:r>
          </w:p>
        </w:tc>
        <w:tc>
          <w:tcPr>
            <w:tcW w:w="1060" w:type="dxa"/>
            <w:vAlign w:val="bottom"/>
          </w:tcPr>
          <w:p>
            <w:pPr>
              <w:spacing w:after="0"/>
              <w:rPr>
                <w:sz w:val="12"/>
                <w:szCs w:val="12"/>
                <w:color w:val="auto"/>
              </w:rPr>
            </w:pPr>
          </w:p>
        </w:tc>
      </w:tr>
      <w:tr>
        <w:trPr>
          <w:trHeight w:val="144"/>
        </w:trPr>
        <w:tc>
          <w:tcPr>
            <w:tcW w:w="3300" w:type="dxa"/>
            <w:vAlign w:val="bottom"/>
          </w:tcPr>
          <w:p>
            <w:pPr>
              <w:spacing w:after="0"/>
              <w:rPr>
                <w:sz w:val="12"/>
                <w:szCs w:val="12"/>
                <w:color w:val="auto"/>
              </w:rPr>
            </w:pPr>
          </w:p>
        </w:tc>
        <w:tc>
          <w:tcPr>
            <w:tcW w:w="7080" w:type="dxa"/>
            <w:vAlign w:val="bottom"/>
            <w:gridSpan w:val="2"/>
          </w:tcPr>
          <w:p>
            <w:pPr>
              <w:jc w:val="center"/>
              <w:ind w:right="2160"/>
              <w:spacing w:after="0"/>
              <w:rPr>
                <w:sz w:val="20"/>
                <w:szCs w:val="20"/>
                <w:color w:val="auto"/>
              </w:rPr>
            </w:pPr>
            <w:r>
              <w:rPr>
                <w:rFonts w:ascii="Arial" w:cs="Arial" w:eastAsia="Arial" w:hAnsi="Arial"/>
                <w:sz w:val="12"/>
                <w:szCs w:val="12"/>
                <w:b w:val="1"/>
                <w:bCs w:val="1"/>
                <w:color w:val="auto"/>
                <w:w w:val="99"/>
              </w:rPr>
              <w:t>Notes to Consolidated Financial Statements</w:t>
            </w:r>
          </w:p>
        </w:tc>
        <w:tc>
          <w:tcPr>
            <w:tcW w:w="1060" w:type="dxa"/>
            <w:vAlign w:val="bottom"/>
          </w:tcPr>
          <w:p>
            <w:pPr>
              <w:spacing w:after="0"/>
              <w:rPr>
                <w:sz w:val="12"/>
                <w:szCs w:val="12"/>
                <w:color w:val="auto"/>
              </w:rPr>
            </w:pPr>
          </w:p>
        </w:tc>
      </w:tr>
      <w:tr>
        <w:trPr>
          <w:trHeight w:val="144"/>
        </w:trPr>
        <w:tc>
          <w:tcPr>
            <w:tcW w:w="3300" w:type="dxa"/>
            <w:vAlign w:val="bottom"/>
          </w:tcPr>
          <w:p>
            <w:pPr>
              <w:spacing w:after="0"/>
              <w:rPr>
                <w:sz w:val="12"/>
                <w:szCs w:val="12"/>
                <w:color w:val="auto"/>
              </w:rPr>
            </w:pPr>
          </w:p>
        </w:tc>
        <w:tc>
          <w:tcPr>
            <w:tcW w:w="7080" w:type="dxa"/>
            <w:vAlign w:val="bottom"/>
            <w:gridSpan w:val="2"/>
          </w:tcPr>
          <w:p>
            <w:pPr>
              <w:jc w:val="center"/>
              <w:ind w:right="2160"/>
              <w:spacing w:after="0"/>
              <w:rPr>
                <w:sz w:val="20"/>
                <w:szCs w:val="20"/>
                <w:color w:val="auto"/>
              </w:rPr>
            </w:pPr>
            <w:r>
              <w:rPr>
                <w:rFonts w:ascii="Arial" w:cs="Arial" w:eastAsia="Arial" w:hAnsi="Arial"/>
                <w:sz w:val="12"/>
                <w:szCs w:val="12"/>
                <w:b w:val="1"/>
                <w:bCs w:val="1"/>
                <w:color w:val="auto"/>
                <w:w w:val="98"/>
              </w:rPr>
              <w:t>(Unaudited)</w:t>
            </w:r>
          </w:p>
        </w:tc>
        <w:tc>
          <w:tcPr>
            <w:tcW w:w="1060" w:type="dxa"/>
            <w:vAlign w:val="bottom"/>
          </w:tcPr>
          <w:p>
            <w:pPr>
              <w:spacing w:after="0"/>
              <w:rPr>
                <w:sz w:val="12"/>
                <w:szCs w:val="12"/>
                <w:color w:val="auto"/>
              </w:rPr>
            </w:pPr>
          </w:p>
        </w:tc>
      </w:tr>
      <w:tr>
        <w:trPr>
          <w:trHeight w:val="159"/>
        </w:trPr>
        <w:tc>
          <w:tcPr>
            <w:tcW w:w="3300" w:type="dxa"/>
            <w:vAlign w:val="bottom"/>
          </w:tcPr>
          <w:p>
            <w:pPr>
              <w:spacing w:after="0"/>
              <w:rPr>
                <w:sz w:val="13"/>
                <w:szCs w:val="13"/>
                <w:color w:val="auto"/>
              </w:rPr>
            </w:pPr>
          </w:p>
        </w:tc>
        <w:tc>
          <w:tcPr>
            <w:tcW w:w="7080" w:type="dxa"/>
            <w:vAlign w:val="bottom"/>
            <w:gridSpan w:val="2"/>
          </w:tcPr>
          <w:p>
            <w:pPr>
              <w:jc w:val="center"/>
              <w:ind w:right="2160"/>
              <w:spacing w:after="0"/>
              <w:rPr>
                <w:sz w:val="20"/>
                <w:szCs w:val="20"/>
                <w:color w:val="auto"/>
              </w:rPr>
            </w:pPr>
            <w:r>
              <w:rPr>
                <w:rFonts w:ascii="Arial" w:cs="Arial" w:eastAsia="Arial" w:hAnsi="Arial"/>
                <w:sz w:val="12"/>
                <w:szCs w:val="12"/>
                <w:b w:val="1"/>
                <w:bCs w:val="1"/>
                <w:color w:val="auto"/>
                <w:w w:val="99"/>
              </w:rPr>
              <w:t>(Dollars in millions, except per share amounts)</w:t>
            </w:r>
          </w:p>
        </w:tc>
        <w:tc>
          <w:tcPr>
            <w:tcW w:w="1060" w:type="dxa"/>
            <w:vAlign w:val="bottom"/>
          </w:tcPr>
          <w:p>
            <w:pPr>
              <w:spacing w:after="0"/>
              <w:rPr>
                <w:sz w:val="13"/>
                <w:szCs w:val="13"/>
                <w:color w:val="auto"/>
              </w:rPr>
            </w:pPr>
          </w:p>
        </w:tc>
      </w:tr>
      <w:tr>
        <w:trPr>
          <w:trHeight w:val="563"/>
        </w:trPr>
        <w:tc>
          <w:tcPr>
            <w:tcW w:w="3300" w:type="dxa"/>
            <w:vAlign w:val="bottom"/>
            <w:tcBorders>
              <w:bottom w:val="single" w:sz="8" w:color="CCEEFF"/>
            </w:tcBorders>
          </w:tcPr>
          <w:p>
            <w:pPr>
              <w:spacing w:after="0"/>
              <w:rPr>
                <w:sz w:val="24"/>
                <w:szCs w:val="24"/>
                <w:color w:val="auto"/>
              </w:rPr>
            </w:pPr>
          </w:p>
        </w:tc>
        <w:tc>
          <w:tcPr>
            <w:tcW w:w="69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March 31, 2019</w:t>
            </w:r>
          </w:p>
        </w:tc>
      </w:tr>
      <w:tr>
        <w:trPr>
          <w:trHeight w:val="164"/>
        </w:trPr>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Aerospace</w:t>
            </w:r>
          </w:p>
        </w:tc>
        <w:tc>
          <w:tcPr>
            <w:tcW w:w="7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10,890</w:t>
            </w:r>
          </w:p>
        </w:tc>
      </w:tr>
      <w:tr>
        <w:trPr>
          <w:trHeight w:val="167"/>
        </w:trPr>
        <w:tc>
          <w:tcPr>
            <w:tcW w:w="3300" w:type="dxa"/>
            <w:vAlign w:val="bottom"/>
          </w:tcPr>
          <w:p>
            <w:pPr>
              <w:ind w:left="20"/>
              <w:spacing w:after="0"/>
              <w:rPr>
                <w:sz w:val="20"/>
                <w:szCs w:val="20"/>
                <w:color w:val="auto"/>
              </w:rPr>
            </w:pPr>
            <w:r>
              <w:rPr>
                <w:rFonts w:ascii="Arial" w:cs="Arial" w:eastAsia="Arial" w:hAnsi="Arial"/>
                <w:sz w:val="12"/>
                <w:szCs w:val="12"/>
                <w:color w:val="auto"/>
              </w:rPr>
              <w:t>Honeywell Building Technologies</w:t>
            </w:r>
          </w:p>
        </w:tc>
        <w:tc>
          <w:tcPr>
            <w:tcW w:w="6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5,657</w:t>
            </w:r>
          </w:p>
        </w:tc>
      </w:tr>
      <w:tr>
        <w:trPr>
          <w:trHeight w:val="176"/>
        </w:trPr>
        <w:tc>
          <w:tcPr>
            <w:tcW w:w="3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Performance Materials and Technologies</w:t>
            </w:r>
          </w:p>
        </w:tc>
        <w:tc>
          <w:tcPr>
            <w:tcW w:w="6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6,347</w:t>
            </w:r>
          </w:p>
        </w:tc>
      </w:tr>
      <w:tr>
        <w:trPr>
          <w:trHeight w:val="167"/>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Safety and Productivity Solutions</w:t>
            </w:r>
          </w:p>
        </w:tc>
        <w:tc>
          <w:tcPr>
            <w:tcW w:w="69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1,850</w:t>
            </w:r>
          </w:p>
        </w:tc>
      </w:tr>
      <w:tr>
        <w:trPr>
          <w:trHeight w:val="172"/>
        </w:trPr>
        <w:tc>
          <w:tcPr>
            <w:tcW w:w="3300" w:type="dxa"/>
            <w:vAlign w:val="bottom"/>
            <w:tcBorders>
              <w:bottom w:val="single" w:sz="8" w:color="CCEEFF"/>
            </w:tcBorders>
            <w:shd w:val="clear" w:color="auto" w:fill="CCEEFF"/>
          </w:tcPr>
          <w:p>
            <w:pPr>
              <w:spacing w:after="0"/>
              <w:rPr>
                <w:sz w:val="14"/>
                <w:szCs w:val="14"/>
                <w:color w:val="auto"/>
              </w:rPr>
            </w:pPr>
          </w:p>
        </w:tc>
        <w:tc>
          <w:tcPr>
            <w:tcW w:w="69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24,744</w:t>
            </w:r>
          </w:p>
        </w:tc>
      </w:tr>
    </w:tbl>
    <w:p>
      <w:pPr>
        <w:spacing w:after="0" w:line="1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Performance obligations recognized as of March 31, 2019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56% and 44%, respectively.</w:t>
      </w:r>
    </w:p>
    <w:p>
      <w:pPr>
        <w:spacing w:after="0" w:line="135"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The timing of satisfaction of our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13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We have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Accounts Receivable - Net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2019</w:t>
            </w:r>
          </w:p>
        </w:tc>
        <w:tc>
          <w:tcPr>
            <w:tcW w:w="160" w:type="dxa"/>
            <w:vAlign w:val="bottom"/>
          </w:tcPr>
          <w:p>
            <w:pPr>
              <w:spacing w:after="0"/>
              <w:rPr>
                <w:sz w:val="11"/>
                <w:szCs w:val="11"/>
                <w:color w:val="auto"/>
              </w:rPr>
            </w:pPr>
          </w:p>
        </w:tc>
        <w:tc>
          <w:tcPr>
            <w:tcW w:w="1200" w:type="dxa"/>
            <w:vAlign w:val="bottom"/>
          </w:tcPr>
          <w:p>
            <w:pPr>
              <w:jc w:val="right"/>
              <w:ind w:right="203"/>
              <w:spacing w:after="0"/>
              <w:rPr>
                <w:sz w:val="20"/>
                <w:szCs w:val="20"/>
                <w:color w:val="auto"/>
              </w:rPr>
            </w:pPr>
            <w:r>
              <w:rPr>
                <w:rFonts w:ascii="Arial" w:cs="Arial" w:eastAsia="Arial" w:hAnsi="Arial"/>
                <w:sz w:val="10"/>
                <w:szCs w:val="10"/>
                <w:b w:val="1"/>
                <w:bCs w:val="1"/>
                <w:color w:val="auto"/>
              </w:rPr>
              <w:t>December 31, 2018</w:t>
            </w:r>
          </w:p>
        </w:tc>
      </w:tr>
      <w:tr>
        <w:trPr>
          <w:trHeight w:val="164"/>
        </w:trPr>
        <w:tc>
          <w:tcPr>
            <w:tcW w:w="8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Trade</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7,499</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7,705</w:t>
            </w:r>
          </w:p>
        </w:tc>
      </w:tr>
      <w:tr>
        <w:trPr>
          <w:trHeight w:val="167"/>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Less - Allowance for doubtful accounts</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(192)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(197)</w:t>
            </w:r>
          </w:p>
        </w:tc>
      </w:tr>
      <w:tr>
        <w:trPr>
          <w:trHeight w:val="172"/>
        </w:trPr>
        <w:tc>
          <w:tcPr>
            <w:tcW w:w="86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7,307</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7,508</w:t>
            </w:r>
          </w:p>
        </w:tc>
      </w:tr>
    </w:tbl>
    <w:p>
      <w:pPr>
        <w:spacing w:after="0" w:line="144"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2"/>
          <w:szCs w:val="12"/>
          <w:color w:val="auto"/>
        </w:rPr>
        <w:t>Trade receivables include $1,696 million and $1,543 million of unbilled balances under long-term contracts as of March 31, 2019 and December 31, 2018. These amounts are billed in accordance with the terms of the customer contracts to which they relate.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Inventories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600" w:type="dxa"/>
            <w:vAlign w:val="bottom"/>
            <w:tcBorders>
              <w:bottom w:val="single" w:sz="8" w:color="CCEEFF"/>
            </w:tcBorders>
          </w:tcPr>
          <w:p>
            <w:pPr>
              <w:spacing w:after="0"/>
              <w:rPr>
                <w:sz w:val="11"/>
                <w:szCs w:val="11"/>
                <w:color w:val="auto"/>
              </w:rPr>
            </w:pPr>
          </w:p>
        </w:tc>
        <w:tc>
          <w:tcPr>
            <w:tcW w:w="47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March 31, 2019</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December 31, 2018</w:t>
            </w:r>
          </w:p>
        </w:tc>
      </w:tr>
      <w:tr>
        <w:trPr>
          <w:trHeight w:val="164"/>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Raw materials</w:t>
            </w:r>
          </w:p>
        </w:tc>
        <w:tc>
          <w:tcPr>
            <w:tcW w:w="5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1,170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1,109</w:t>
            </w:r>
          </w:p>
        </w:tc>
      </w:tr>
      <w:tr>
        <w:trPr>
          <w:trHeight w:val="167"/>
        </w:trPr>
        <w:tc>
          <w:tcPr>
            <w:tcW w:w="3600" w:type="dxa"/>
            <w:vAlign w:val="bottom"/>
          </w:tcPr>
          <w:p>
            <w:pPr>
              <w:ind w:left="20"/>
              <w:spacing w:after="0"/>
              <w:rPr>
                <w:sz w:val="20"/>
                <w:szCs w:val="20"/>
                <w:color w:val="auto"/>
              </w:rPr>
            </w:pPr>
            <w:r>
              <w:rPr>
                <w:rFonts w:ascii="Arial" w:cs="Arial" w:eastAsia="Arial" w:hAnsi="Arial"/>
                <w:sz w:val="12"/>
                <w:szCs w:val="12"/>
                <w:color w:val="auto"/>
              </w:rPr>
              <w:t>Work in process</w:t>
            </w:r>
          </w:p>
        </w:tc>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847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811</w:t>
            </w: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Finished products</w:t>
            </w:r>
          </w:p>
        </w:tc>
        <w:tc>
          <w:tcPr>
            <w:tcW w:w="47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2,577</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2,445</w:t>
            </w:r>
          </w:p>
        </w:tc>
      </w:tr>
      <w:tr>
        <w:trPr>
          <w:trHeight w:val="160"/>
        </w:trPr>
        <w:tc>
          <w:tcPr>
            <w:tcW w:w="360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4,594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4,365</w:t>
            </w:r>
          </w:p>
        </w:tc>
      </w:tr>
      <w:tr>
        <w:trPr>
          <w:trHeight w:val="171"/>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Reduction to LIFO cost basis</w:t>
            </w:r>
          </w:p>
        </w:tc>
        <w:tc>
          <w:tcPr>
            <w:tcW w:w="47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(46)</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(39)</w:t>
            </w:r>
          </w:p>
        </w:tc>
      </w:tr>
      <w:tr>
        <w:trPr>
          <w:trHeight w:val="172"/>
        </w:trPr>
        <w:tc>
          <w:tcPr>
            <w:tcW w:w="3600" w:type="dxa"/>
            <w:vAlign w:val="bottom"/>
          </w:tcPr>
          <w:p>
            <w:pPr>
              <w:spacing w:after="0"/>
              <w:rPr>
                <w:sz w:val="14"/>
                <w:szCs w:val="14"/>
                <w:color w:val="auto"/>
              </w:rPr>
            </w:pPr>
          </w:p>
        </w:tc>
        <w:tc>
          <w:tcPr>
            <w:tcW w:w="5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4,548</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2"/>
              <w:spacing w:after="0"/>
              <w:rPr>
                <w:sz w:val="20"/>
                <w:szCs w:val="20"/>
                <w:color w:val="auto"/>
              </w:rPr>
            </w:pPr>
            <w:r>
              <w:rPr>
                <w:rFonts w:ascii="Arial" w:cs="Arial" w:eastAsia="Arial" w:hAnsi="Arial"/>
                <w:sz w:val="12"/>
                <w:szCs w:val="12"/>
                <w:color w:val="auto"/>
              </w:rPr>
              <w:t>4,326</w:t>
            </w:r>
          </w:p>
        </w:tc>
      </w:tr>
      <w:tr>
        <w:trPr>
          <w:trHeight w:val="450"/>
        </w:trPr>
        <w:tc>
          <w:tcPr>
            <w:tcW w:w="3600" w:type="dxa"/>
            <w:vAlign w:val="bottom"/>
          </w:tcPr>
          <w:p>
            <w:pPr>
              <w:spacing w:after="0"/>
              <w:rPr>
                <w:sz w:val="24"/>
                <w:szCs w:val="24"/>
                <w:color w:val="auto"/>
              </w:rPr>
            </w:pPr>
          </w:p>
        </w:tc>
        <w:tc>
          <w:tcPr>
            <w:tcW w:w="4780" w:type="dxa"/>
            <w:vAlign w:val="bottom"/>
          </w:tcPr>
          <w:p>
            <w:pPr>
              <w:jc w:val="right"/>
              <w:ind w:right="2520"/>
              <w:spacing w:after="0"/>
              <w:rPr>
                <w:sz w:val="20"/>
                <w:szCs w:val="20"/>
                <w:color w:val="auto"/>
              </w:rPr>
            </w:pPr>
            <w:r>
              <w:rPr>
                <w:rFonts w:ascii="Arial" w:cs="Arial" w:eastAsia="Arial" w:hAnsi="Arial"/>
                <w:sz w:val="12"/>
                <w:szCs w:val="12"/>
                <w:color w:val="auto"/>
              </w:rPr>
              <w:t>15</w:t>
            </w: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25"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Leases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Adoption</w:t>
      </w:r>
    </w:p>
    <w:p>
      <w:pPr>
        <w:spacing w:after="0" w:line="16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Effective January 1, 2019, the Company adopted the new lease accounting standard using the modified retrospective method of applying the new standard at the adoption date. In addition, we elected the package of practical expedients permitted under the transition guidance within the new standard. This allowed us to carry forward the historical lease classification. Adoption of this standard resulted in the recording of net operating lease right-of-use (ROU) assets and corresponding operating lease liabilities of $0.7 billion. Financial position for reporting periods beginning on or after January 1, 2019 are presented under the new guidance, while prior periods amounts are not adjusted and continue to be reported in accordance with previous guidance.</w:t>
      </w:r>
    </w:p>
    <w:p>
      <w:pPr>
        <w:spacing w:after="0" w:line="10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A significant portion of our operating and finance lease portfolio includes corporate offices, research and development facilities, manufacturing sites, information technology (IT) equipment, and automobiles. The majority of our leases have remaining lease terms of 1 year to 20 years, some of which include options to extend the leases for 5 years or more. Operating lease ROU assets are presented within Other assets. The current portion of operating lease liabilities are presented within Accrued liabilities, and the non-current portion of operating lease liabilities are presented within Other liabilities on the Consolidated Balance Sheet. Finance lease assets are included in Property, plant and equipment - net, and the finance lease obligations are included in Current maturities of long-term debt, and in Long-term debt on the Consolidated Balance Sheet.</w:t>
      </w:r>
    </w:p>
    <w:p>
      <w:pPr>
        <w:spacing w:after="0" w:line="137" w:lineRule="exact"/>
        <w:rPr>
          <w:sz w:val="20"/>
          <w:szCs w:val="20"/>
          <w:color w:val="auto"/>
        </w:rPr>
      </w:pPr>
    </w:p>
    <w:p>
      <w:pPr>
        <w:ind w:right="220" w:firstLine="432"/>
        <w:spacing w:after="0" w:line="256" w:lineRule="auto"/>
        <w:rPr>
          <w:sz w:val="20"/>
          <w:szCs w:val="20"/>
          <w:color w:val="auto"/>
        </w:rPr>
      </w:pPr>
      <w:r>
        <w:rPr>
          <w:rFonts w:ascii="Arial" w:cs="Arial" w:eastAsia="Arial" w:hAnsi="Arial"/>
          <w:sz w:val="12"/>
          <w:szCs w:val="12"/>
          <w:color w:val="auto"/>
        </w:rPr>
        <w:t>A portion of our real estate leases is generally subject to annual changes in the Consumer Price Index (CPI). The changes to the CPI are treated as variable lease payments and recognized in the period in which the obligation for those payments was incurred. In addition, a subset of our automobile leases is considered variable. The variable lease payments for such automobiles leases are based on actual mileage incurred at the stated contractual rate.</w:t>
      </w: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jc w:val="right"/>
              <w:ind w:right="263"/>
              <w:spacing w:after="0"/>
              <w:rPr>
                <w:sz w:val="20"/>
                <w:szCs w:val="20"/>
                <w:color w:val="auto"/>
              </w:rPr>
            </w:pPr>
            <w:r>
              <w:rPr>
                <w:rFonts w:ascii="Arial" w:cs="Arial" w:eastAsia="Arial" w:hAnsi="Arial"/>
                <w:sz w:val="10"/>
                <w:szCs w:val="10"/>
                <w:b w:val="1"/>
                <w:bCs w:val="1"/>
                <w:color w:val="auto"/>
              </w:rPr>
              <w:t>Three Months Ended</w:t>
            </w:r>
          </w:p>
        </w:tc>
      </w:tr>
      <w:tr>
        <w:trPr>
          <w:trHeight w:val="131"/>
        </w:trPr>
        <w:tc>
          <w:tcPr>
            <w:tcW w:w="3880" w:type="dxa"/>
            <w:vAlign w:val="bottom"/>
            <w:tcBorders>
              <w:bottom w:val="single" w:sz="8" w:color="CCEEFF"/>
            </w:tcBorders>
          </w:tcPr>
          <w:p>
            <w:pPr>
              <w:spacing w:after="0"/>
              <w:rPr>
                <w:sz w:val="11"/>
                <w:szCs w:val="11"/>
                <w:color w:val="auto"/>
              </w:rPr>
            </w:pPr>
          </w:p>
        </w:tc>
        <w:tc>
          <w:tcPr>
            <w:tcW w:w="59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March 31, 2019</w:t>
            </w:r>
          </w:p>
        </w:tc>
      </w:tr>
      <w:tr>
        <w:trPr>
          <w:trHeight w:val="164"/>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cost</w:t>
            </w:r>
          </w:p>
        </w:tc>
        <w:tc>
          <w:tcPr>
            <w:tcW w:w="6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54</w:t>
            </w:r>
          </w:p>
        </w:tc>
      </w:tr>
      <w:tr>
        <w:trPr>
          <w:trHeight w:val="167"/>
        </w:trPr>
        <w:tc>
          <w:tcPr>
            <w:tcW w:w="3880" w:type="dxa"/>
            <w:vAlign w:val="bottom"/>
          </w:tcPr>
          <w:p>
            <w:pPr>
              <w:spacing w:after="0"/>
              <w:rPr>
                <w:sz w:val="20"/>
                <w:szCs w:val="20"/>
                <w:color w:val="auto"/>
              </w:rPr>
            </w:pPr>
            <w:r>
              <w:rPr>
                <w:rFonts w:ascii="Arial" w:cs="Arial" w:eastAsia="Arial" w:hAnsi="Arial"/>
                <w:sz w:val="12"/>
                <w:szCs w:val="12"/>
                <w:color w:val="auto"/>
              </w:rPr>
              <w:t>Variable lease cost</w:t>
            </w:r>
          </w:p>
        </w:tc>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43"/>
              <w:spacing w:after="0"/>
              <w:rPr>
                <w:sz w:val="20"/>
                <w:szCs w:val="20"/>
                <w:color w:val="auto"/>
              </w:rPr>
            </w:pPr>
            <w:r>
              <w:rPr>
                <w:rFonts w:ascii="Arial" w:cs="Arial" w:eastAsia="Arial" w:hAnsi="Arial"/>
                <w:sz w:val="12"/>
                <w:szCs w:val="12"/>
                <w:color w:val="auto"/>
              </w:rPr>
              <w:t>8</w:t>
            </w:r>
          </w:p>
        </w:tc>
      </w:tr>
      <w:tr>
        <w:trPr>
          <w:trHeight w:val="176"/>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Short-term lease cost</w:t>
            </w:r>
          </w:p>
        </w:tc>
        <w:tc>
          <w:tcPr>
            <w:tcW w:w="5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w:t>
            </w:r>
          </w:p>
        </w:tc>
      </w:tr>
      <w:tr>
        <w:trPr>
          <w:trHeight w:val="167"/>
        </w:trPr>
        <w:tc>
          <w:tcPr>
            <w:tcW w:w="3880" w:type="dxa"/>
            <w:vAlign w:val="bottom"/>
          </w:tcPr>
          <w:p>
            <w:pPr>
              <w:ind w:left="160"/>
              <w:spacing w:after="0"/>
              <w:rPr>
                <w:sz w:val="20"/>
                <w:szCs w:val="20"/>
                <w:color w:val="auto"/>
              </w:rPr>
            </w:pPr>
            <w:r>
              <w:rPr>
                <w:rFonts w:ascii="Arial" w:cs="Arial" w:eastAsia="Arial" w:hAnsi="Arial"/>
                <w:sz w:val="12"/>
                <w:szCs w:val="12"/>
                <w:color w:val="auto"/>
              </w:rPr>
              <w:t>Financing lease cost:</w:t>
            </w:r>
          </w:p>
        </w:tc>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6"/>
        </w:trPr>
        <w:tc>
          <w:tcPr>
            <w:tcW w:w="388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Amortization of right-of-use assets</w:t>
            </w:r>
          </w:p>
        </w:tc>
        <w:tc>
          <w:tcPr>
            <w:tcW w:w="5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14</w:t>
            </w:r>
          </w:p>
        </w:tc>
      </w:tr>
      <w:tr>
        <w:trPr>
          <w:trHeight w:val="167"/>
        </w:trPr>
        <w:tc>
          <w:tcPr>
            <w:tcW w:w="388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Interest on lease liability</w:t>
            </w:r>
          </w:p>
        </w:tc>
        <w:tc>
          <w:tcPr>
            <w:tcW w:w="59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8</w:t>
            </w:r>
          </w:p>
        </w:tc>
      </w:tr>
      <w:tr>
        <w:trPr>
          <w:trHeight w:val="160"/>
        </w:trPr>
        <w:tc>
          <w:tcPr>
            <w:tcW w:w="38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financing lease cost</w:t>
            </w:r>
          </w:p>
        </w:tc>
        <w:tc>
          <w:tcPr>
            <w:tcW w:w="59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22</w:t>
            </w:r>
          </w:p>
        </w:tc>
      </w:tr>
      <w:tr>
        <w:trPr>
          <w:trHeight w:val="172"/>
        </w:trPr>
        <w:tc>
          <w:tcPr>
            <w:tcW w:w="3880" w:type="dxa"/>
            <w:vAlign w:val="bottom"/>
          </w:tcPr>
          <w:p>
            <w:pPr>
              <w:spacing w:after="0"/>
              <w:rPr>
                <w:sz w:val="20"/>
                <w:szCs w:val="20"/>
                <w:color w:val="auto"/>
              </w:rPr>
            </w:pPr>
            <w:r>
              <w:rPr>
                <w:rFonts w:ascii="Arial" w:cs="Arial" w:eastAsia="Arial" w:hAnsi="Arial"/>
                <w:sz w:val="12"/>
                <w:szCs w:val="12"/>
                <w:color w:val="auto"/>
              </w:rPr>
              <w:t>Total lease cost</w:t>
            </w:r>
          </w:p>
        </w:tc>
        <w:tc>
          <w:tcPr>
            <w:tcW w:w="6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3"/>
              <w:spacing w:after="0"/>
              <w:rPr>
                <w:sz w:val="20"/>
                <w:szCs w:val="20"/>
                <w:color w:val="auto"/>
              </w:rPr>
            </w:pPr>
            <w:r>
              <w:rPr>
                <w:rFonts w:ascii="Arial" w:cs="Arial" w:eastAsia="Arial" w:hAnsi="Arial"/>
                <w:sz w:val="12"/>
                <w:szCs w:val="12"/>
                <w:color w:val="auto"/>
              </w:rPr>
              <w:t>87</w:t>
            </w:r>
          </w:p>
        </w:tc>
      </w:tr>
      <w:tr>
        <w:trPr>
          <w:trHeight w:val="450"/>
        </w:trPr>
        <w:tc>
          <w:tcPr>
            <w:tcW w:w="3880" w:type="dxa"/>
            <w:vAlign w:val="bottom"/>
          </w:tcPr>
          <w:p>
            <w:pPr>
              <w:spacing w:after="0"/>
              <w:rPr>
                <w:sz w:val="24"/>
                <w:szCs w:val="24"/>
                <w:color w:val="auto"/>
              </w:rPr>
            </w:pPr>
          </w:p>
        </w:tc>
        <w:tc>
          <w:tcPr>
            <w:tcW w:w="5960" w:type="dxa"/>
            <w:vAlign w:val="bottom"/>
          </w:tcPr>
          <w:p>
            <w:pPr>
              <w:jc w:val="right"/>
              <w:ind w:right="4000"/>
              <w:spacing w:after="0"/>
              <w:rPr>
                <w:sz w:val="20"/>
                <w:szCs w:val="20"/>
                <w:color w:val="auto"/>
              </w:rPr>
            </w:pPr>
            <w:r>
              <w:rPr>
                <w:rFonts w:ascii="Arial" w:cs="Arial" w:eastAsia="Arial" w:hAnsi="Arial"/>
                <w:sz w:val="12"/>
                <w:szCs w:val="12"/>
                <w:color w:val="auto"/>
              </w:rPr>
              <w:t>16</w:t>
            </w: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26" w:right="1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5820" w:type="dxa"/>
            <w:vAlign w:val="bottom"/>
            <w:gridSpan w:val="2"/>
          </w:tcPr>
          <w:p>
            <w:pPr>
              <w:jc w:val="center"/>
              <w:ind w:right="2840"/>
              <w:spacing w:after="0"/>
              <w:rPr>
                <w:sz w:val="20"/>
                <w:szCs w:val="20"/>
                <w:color w:val="auto"/>
              </w:rPr>
            </w:pPr>
            <w:r>
              <w:rPr>
                <w:rFonts w:ascii="Arial" w:cs="Arial" w:eastAsia="Arial" w:hAnsi="Arial"/>
                <w:sz w:val="12"/>
                <w:szCs w:val="12"/>
                <w:b w:val="1"/>
                <w:bCs w:val="1"/>
                <w:color w:val="auto"/>
                <w:w w:val="99"/>
              </w:rPr>
              <w:t>Honeywell International Inc.</w:t>
            </w:r>
          </w:p>
        </w:tc>
        <w:tc>
          <w:tcPr>
            <w:tcW w:w="1400" w:type="dxa"/>
            <w:vAlign w:val="bottom"/>
          </w:tcPr>
          <w:p>
            <w:pPr>
              <w:spacing w:after="0"/>
              <w:rPr>
                <w:sz w:val="12"/>
                <w:szCs w:val="12"/>
                <w:color w:val="auto"/>
              </w:rPr>
            </w:pPr>
          </w:p>
        </w:tc>
      </w:tr>
      <w:tr>
        <w:trPr>
          <w:trHeight w:val="144"/>
        </w:trPr>
        <w:tc>
          <w:tcPr>
            <w:tcW w:w="4220" w:type="dxa"/>
            <w:vAlign w:val="bottom"/>
          </w:tcPr>
          <w:p>
            <w:pPr>
              <w:spacing w:after="0"/>
              <w:rPr>
                <w:sz w:val="12"/>
                <w:szCs w:val="12"/>
                <w:color w:val="auto"/>
              </w:rPr>
            </w:pPr>
          </w:p>
        </w:tc>
        <w:tc>
          <w:tcPr>
            <w:tcW w:w="5820" w:type="dxa"/>
            <w:vAlign w:val="bottom"/>
            <w:gridSpan w:val="2"/>
          </w:tcPr>
          <w:p>
            <w:pPr>
              <w:jc w:val="center"/>
              <w:ind w:right="2840"/>
              <w:spacing w:after="0"/>
              <w:rPr>
                <w:sz w:val="20"/>
                <w:szCs w:val="20"/>
                <w:color w:val="auto"/>
              </w:rPr>
            </w:pPr>
            <w:r>
              <w:rPr>
                <w:rFonts w:ascii="Arial" w:cs="Arial" w:eastAsia="Arial" w:hAnsi="Arial"/>
                <w:sz w:val="12"/>
                <w:szCs w:val="12"/>
                <w:b w:val="1"/>
                <w:bCs w:val="1"/>
                <w:color w:val="auto"/>
                <w:w w:val="99"/>
              </w:rPr>
              <w:t>Notes to Consolidated Financial Statements</w:t>
            </w:r>
          </w:p>
        </w:tc>
        <w:tc>
          <w:tcPr>
            <w:tcW w:w="1400" w:type="dxa"/>
            <w:vAlign w:val="bottom"/>
          </w:tcPr>
          <w:p>
            <w:pPr>
              <w:spacing w:after="0"/>
              <w:rPr>
                <w:sz w:val="12"/>
                <w:szCs w:val="12"/>
                <w:color w:val="auto"/>
              </w:rPr>
            </w:pPr>
          </w:p>
        </w:tc>
      </w:tr>
      <w:tr>
        <w:trPr>
          <w:trHeight w:val="144"/>
        </w:trPr>
        <w:tc>
          <w:tcPr>
            <w:tcW w:w="4220" w:type="dxa"/>
            <w:vAlign w:val="bottom"/>
          </w:tcPr>
          <w:p>
            <w:pPr>
              <w:spacing w:after="0"/>
              <w:rPr>
                <w:sz w:val="12"/>
                <w:szCs w:val="12"/>
                <w:color w:val="auto"/>
              </w:rPr>
            </w:pPr>
          </w:p>
        </w:tc>
        <w:tc>
          <w:tcPr>
            <w:tcW w:w="5820" w:type="dxa"/>
            <w:vAlign w:val="bottom"/>
            <w:gridSpan w:val="2"/>
          </w:tcPr>
          <w:p>
            <w:pPr>
              <w:jc w:val="center"/>
              <w:ind w:right="2840"/>
              <w:spacing w:after="0"/>
              <w:rPr>
                <w:sz w:val="20"/>
                <w:szCs w:val="20"/>
                <w:color w:val="auto"/>
              </w:rPr>
            </w:pPr>
            <w:r>
              <w:rPr>
                <w:rFonts w:ascii="Arial" w:cs="Arial" w:eastAsia="Arial" w:hAnsi="Arial"/>
                <w:sz w:val="12"/>
                <w:szCs w:val="12"/>
                <w:b w:val="1"/>
                <w:bCs w:val="1"/>
                <w:color w:val="auto"/>
                <w:w w:val="98"/>
              </w:rPr>
              <w:t>(Unaudited)</w:t>
            </w:r>
          </w:p>
        </w:tc>
        <w:tc>
          <w:tcPr>
            <w:tcW w:w="1400" w:type="dxa"/>
            <w:vAlign w:val="bottom"/>
          </w:tcPr>
          <w:p>
            <w:pPr>
              <w:spacing w:after="0"/>
              <w:rPr>
                <w:sz w:val="12"/>
                <w:szCs w:val="12"/>
                <w:color w:val="auto"/>
              </w:rPr>
            </w:pPr>
          </w:p>
        </w:tc>
      </w:tr>
      <w:tr>
        <w:trPr>
          <w:trHeight w:val="159"/>
        </w:trPr>
        <w:tc>
          <w:tcPr>
            <w:tcW w:w="4220" w:type="dxa"/>
            <w:vAlign w:val="bottom"/>
          </w:tcPr>
          <w:p>
            <w:pPr>
              <w:spacing w:after="0"/>
              <w:rPr>
                <w:sz w:val="13"/>
                <w:szCs w:val="13"/>
                <w:color w:val="auto"/>
              </w:rPr>
            </w:pPr>
          </w:p>
        </w:tc>
        <w:tc>
          <w:tcPr>
            <w:tcW w:w="5820" w:type="dxa"/>
            <w:vAlign w:val="bottom"/>
            <w:gridSpan w:val="2"/>
          </w:tcPr>
          <w:p>
            <w:pPr>
              <w:jc w:val="center"/>
              <w:ind w:right="2840"/>
              <w:spacing w:after="0"/>
              <w:rPr>
                <w:sz w:val="20"/>
                <w:szCs w:val="20"/>
                <w:color w:val="auto"/>
              </w:rPr>
            </w:pPr>
            <w:r>
              <w:rPr>
                <w:rFonts w:ascii="Arial" w:cs="Arial" w:eastAsia="Arial" w:hAnsi="Arial"/>
                <w:sz w:val="12"/>
                <w:szCs w:val="12"/>
                <w:b w:val="1"/>
                <w:bCs w:val="1"/>
                <w:color w:val="auto"/>
                <w:w w:val="99"/>
              </w:rPr>
              <w:t>(Dollars in millions, except per share amounts)</w:t>
            </w:r>
          </w:p>
        </w:tc>
        <w:tc>
          <w:tcPr>
            <w:tcW w:w="1400" w:type="dxa"/>
            <w:vAlign w:val="bottom"/>
          </w:tcPr>
          <w:p>
            <w:pPr>
              <w:spacing w:after="0"/>
              <w:rPr>
                <w:sz w:val="13"/>
                <w:szCs w:val="13"/>
                <w:color w:val="auto"/>
              </w:rPr>
            </w:pPr>
          </w:p>
        </w:tc>
      </w:tr>
      <w:tr>
        <w:trPr>
          <w:trHeight w:val="450"/>
        </w:trPr>
        <w:tc>
          <w:tcPr>
            <w:tcW w:w="4220" w:type="dxa"/>
            <w:vAlign w:val="bottom"/>
          </w:tcPr>
          <w:p>
            <w:pPr>
              <w:ind w:left="400"/>
              <w:spacing w:after="0"/>
              <w:rPr>
                <w:sz w:val="20"/>
                <w:szCs w:val="20"/>
                <w:color w:val="auto"/>
              </w:rPr>
            </w:pPr>
            <w:r>
              <w:rPr>
                <w:rFonts w:ascii="Arial" w:cs="Arial" w:eastAsia="Arial" w:hAnsi="Arial"/>
                <w:sz w:val="12"/>
                <w:szCs w:val="12"/>
                <w:color w:val="auto"/>
              </w:rPr>
              <w:t>Supplemental cash flow information related to leases was as follows:</w:t>
            </w:r>
          </w:p>
        </w:tc>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1"/>
        </w:trPr>
        <w:tc>
          <w:tcPr>
            <w:tcW w:w="42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263"/>
              <w:spacing w:after="0"/>
              <w:rPr>
                <w:sz w:val="20"/>
                <w:szCs w:val="20"/>
                <w:color w:val="auto"/>
              </w:rPr>
            </w:pPr>
            <w:r>
              <w:rPr>
                <w:rFonts w:ascii="Arial" w:cs="Arial" w:eastAsia="Arial" w:hAnsi="Arial"/>
                <w:sz w:val="10"/>
                <w:szCs w:val="10"/>
                <w:b w:val="1"/>
                <w:bCs w:val="1"/>
                <w:color w:val="auto"/>
              </w:rPr>
              <w:t>Three Months Ended</w:t>
            </w:r>
          </w:p>
        </w:tc>
      </w:tr>
      <w:tr>
        <w:trPr>
          <w:trHeight w:val="131"/>
        </w:trPr>
        <w:tc>
          <w:tcPr>
            <w:tcW w:w="4220" w:type="dxa"/>
            <w:vAlign w:val="bottom"/>
            <w:tcBorders>
              <w:bottom w:val="single" w:sz="8" w:color="CCEEFF"/>
            </w:tcBorders>
          </w:tcPr>
          <w:p>
            <w:pPr>
              <w:spacing w:after="0"/>
              <w:rPr>
                <w:sz w:val="11"/>
                <w:szCs w:val="11"/>
                <w:color w:val="auto"/>
              </w:rPr>
            </w:pPr>
          </w:p>
        </w:tc>
        <w:tc>
          <w:tcPr>
            <w:tcW w:w="56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March 31, 2019</w:t>
            </w:r>
          </w:p>
        </w:tc>
      </w:tr>
      <w:tr>
        <w:trPr>
          <w:trHeight w:val="164"/>
        </w:trPr>
        <w:tc>
          <w:tcPr>
            <w:tcW w:w="4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paid for amounts included in the measurement of lease liabilities:</w:t>
            </w:r>
          </w:p>
        </w:tc>
        <w:tc>
          <w:tcPr>
            <w:tcW w:w="5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7"/>
        </w:trPr>
        <w:tc>
          <w:tcPr>
            <w:tcW w:w="4220" w:type="dxa"/>
            <w:vAlign w:val="bottom"/>
          </w:tcPr>
          <w:p>
            <w:pPr>
              <w:ind w:left="160"/>
              <w:spacing w:after="0"/>
              <w:rPr>
                <w:sz w:val="20"/>
                <w:szCs w:val="20"/>
                <w:color w:val="auto"/>
              </w:rPr>
            </w:pPr>
            <w:r>
              <w:rPr>
                <w:rFonts w:ascii="Arial" w:cs="Arial" w:eastAsia="Arial" w:hAnsi="Arial"/>
                <w:sz w:val="12"/>
                <w:szCs w:val="12"/>
                <w:color w:val="auto"/>
              </w:rPr>
              <w:t>Operating cash flows from operating leases</w:t>
            </w:r>
          </w:p>
        </w:tc>
        <w:tc>
          <w:tcPr>
            <w:tcW w:w="5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3"/>
              <w:spacing w:after="0"/>
              <w:rPr>
                <w:sz w:val="20"/>
                <w:szCs w:val="20"/>
                <w:color w:val="auto"/>
              </w:rPr>
            </w:pPr>
            <w:r>
              <w:rPr>
                <w:rFonts w:ascii="Arial" w:cs="Arial" w:eastAsia="Arial" w:hAnsi="Arial"/>
                <w:sz w:val="12"/>
                <w:szCs w:val="12"/>
                <w:color w:val="auto"/>
              </w:rPr>
              <w:t>61</w:t>
            </w:r>
          </w:p>
        </w:tc>
      </w:tr>
      <w:tr>
        <w:trPr>
          <w:trHeight w:val="176"/>
        </w:trPr>
        <w:tc>
          <w:tcPr>
            <w:tcW w:w="4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cash flows from finance leases</w:t>
            </w:r>
          </w:p>
        </w:tc>
        <w:tc>
          <w:tcPr>
            <w:tcW w:w="5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w:t>
            </w:r>
          </w:p>
        </w:tc>
      </w:tr>
      <w:tr>
        <w:trPr>
          <w:trHeight w:val="167"/>
        </w:trPr>
        <w:tc>
          <w:tcPr>
            <w:tcW w:w="4220" w:type="dxa"/>
            <w:vAlign w:val="bottom"/>
          </w:tcPr>
          <w:p>
            <w:pPr>
              <w:ind w:left="160"/>
              <w:spacing w:after="0"/>
              <w:rPr>
                <w:sz w:val="20"/>
                <w:szCs w:val="20"/>
                <w:color w:val="auto"/>
              </w:rPr>
            </w:pPr>
            <w:r>
              <w:rPr>
                <w:rFonts w:ascii="Arial" w:cs="Arial" w:eastAsia="Arial" w:hAnsi="Arial"/>
                <w:sz w:val="12"/>
                <w:szCs w:val="12"/>
                <w:color w:val="auto"/>
              </w:rPr>
              <w:t>Financing cash flows from finance leases</w:t>
            </w:r>
          </w:p>
        </w:tc>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43"/>
              <w:spacing w:after="0"/>
              <w:rPr>
                <w:sz w:val="20"/>
                <w:szCs w:val="20"/>
                <w:color w:val="auto"/>
              </w:rPr>
            </w:pPr>
            <w:r>
              <w:rPr>
                <w:rFonts w:ascii="Arial" w:cs="Arial" w:eastAsia="Arial" w:hAnsi="Arial"/>
                <w:sz w:val="12"/>
                <w:szCs w:val="12"/>
                <w:color w:val="auto"/>
              </w:rPr>
              <w:t>10</w:t>
            </w:r>
          </w:p>
        </w:tc>
      </w:tr>
      <w:tr>
        <w:trPr>
          <w:trHeight w:val="176"/>
        </w:trPr>
        <w:tc>
          <w:tcPr>
            <w:tcW w:w="4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Right-of-use assets obtained in exchange for lease obligations:</w:t>
            </w:r>
          </w:p>
        </w:tc>
        <w:tc>
          <w:tcPr>
            <w:tcW w:w="5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7"/>
        </w:trPr>
        <w:tc>
          <w:tcPr>
            <w:tcW w:w="4220" w:type="dxa"/>
            <w:vAlign w:val="bottom"/>
          </w:tcPr>
          <w:p>
            <w:pPr>
              <w:ind w:left="160"/>
              <w:spacing w:after="0"/>
              <w:rPr>
                <w:sz w:val="20"/>
                <w:szCs w:val="20"/>
                <w:color w:val="auto"/>
              </w:rPr>
            </w:pPr>
            <w:r>
              <w:rPr>
                <w:rFonts w:ascii="Arial" w:cs="Arial" w:eastAsia="Arial" w:hAnsi="Arial"/>
                <w:sz w:val="12"/>
                <w:szCs w:val="12"/>
                <w:color w:val="auto"/>
              </w:rPr>
              <w:t>Operating leases</w:t>
            </w:r>
          </w:p>
        </w:tc>
        <w:tc>
          <w:tcPr>
            <w:tcW w:w="5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43"/>
              <w:spacing w:after="0"/>
              <w:rPr>
                <w:sz w:val="20"/>
                <w:szCs w:val="20"/>
                <w:color w:val="auto"/>
              </w:rPr>
            </w:pPr>
            <w:r>
              <w:rPr>
                <w:rFonts w:ascii="Arial" w:cs="Arial" w:eastAsia="Arial" w:hAnsi="Arial"/>
                <w:sz w:val="12"/>
                <w:szCs w:val="12"/>
                <w:color w:val="auto"/>
              </w:rPr>
              <w:t>10</w:t>
            </w:r>
          </w:p>
        </w:tc>
      </w:tr>
      <w:tr>
        <w:trPr>
          <w:trHeight w:val="176"/>
        </w:trPr>
        <w:tc>
          <w:tcPr>
            <w:tcW w:w="4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Finance leases</w:t>
            </w:r>
          </w:p>
        </w:tc>
        <w:tc>
          <w:tcPr>
            <w:tcW w:w="5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w:t>
            </w:r>
          </w:p>
        </w:tc>
      </w:tr>
    </w:tbl>
    <w:p>
      <w:pPr>
        <w:spacing w:after="0" w:line="10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Supplemental balance sheet information related to leases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800" w:type="dxa"/>
            <w:vAlign w:val="bottom"/>
            <w:tcBorders>
              <w:bottom w:val="single" w:sz="8" w:color="CCEEFF"/>
            </w:tcBorders>
          </w:tcPr>
          <w:p>
            <w:pPr>
              <w:spacing w:after="0"/>
              <w:rPr>
                <w:sz w:val="11"/>
                <w:szCs w:val="11"/>
                <w:color w:val="auto"/>
              </w:rPr>
            </w:pPr>
          </w:p>
        </w:tc>
        <w:tc>
          <w:tcPr>
            <w:tcW w:w="2540" w:type="dxa"/>
            <w:vAlign w:val="bottom"/>
            <w:tcBorders>
              <w:bottom w:val="single" w:sz="8" w:color="CCEEFF"/>
            </w:tcBorders>
          </w:tcPr>
          <w:p>
            <w:pPr>
              <w:spacing w:after="0"/>
              <w:rPr>
                <w:sz w:val="11"/>
                <w:szCs w:val="11"/>
                <w:color w:val="auto"/>
              </w:rPr>
            </w:pPr>
          </w:p>
        </w:tc>
        <w:tc>
          <w:tcPr>
            <w:tcW w:w="158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March 31, 2019</w:t>
            </w:r>
          </w:p>
        </w:tc>
      </w:tr>
      <w:tr>
        <w:trPr>
          <w:trHeight w:val="173"/>
        </w:trPr>
        <w:tc>
          <w:tcPr>
            <w:tcW w:w="4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leases</w:t>
            </w:r>
          </w:p>
        </w:tc>
        <w:tc>
          <w:tcPr>
            <w:tcW w:w="25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67"/>
        </w:trPr>
        <w:tc>
          <w:tcPr>
            <w:tcW w:w="4800" w:type="dxa"/>
            <w:vAlign w:val="bottom"/>
          </w:tcPr>
          <w:p>
            <w:pPr>
              <w:spacing w:after="0"/>
              <w:rPr>
                <w:sz w:val="20"/>
                <w:szCs w:val="20"/>
                <w:color w:val="auto"/>
              </w:rPr>
            </w:pPr>
            <w:r>
              <w:rPr>
                <w:rFonts w:ascii="Arial" w:cs="Arial" w:eastAsia="Arial" w:hAnsi="Arial"/>
                <w:sz w:val="12"/>
                <w:szCs w:val="12"/>
                <w:color w:val="auto"/>
              </w:rPr>
              <w:t>Other assets</w:t>
            </w: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669</w:t>
            </w:r>
          </w:p>
        </w:tc>
      </w:tr>
      <w:tr>
        <w:trPr>
          <w:trHeight w:val="165"/>
        </w:trPr>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Accrued liabilities</w:t>
            </w:r>
          </w:p>
        </w:tc>
        <w:tc>
          <w:tcPr>
            <w:tcW w:w="254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177</w:t>
            </w:r>
          </w:p>
        </w:tc>
      </w:tr>
      <w:tr>
        <w:trPr>
          <w:trHeight w:val="167"/>
        </w:trPr>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Other liabilities</w:t>
            </w:r>
          </w:p>
        </w:tc>
        <w:tc>
          <w:tcPr>
            <w:tcW w:w="254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527</w:t>
            </w:r>
          </w:p>
        </w:tc>
      </w:tr>
      <w:tr>
        <w:trPr>
          <w:trHeight w:val="16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lease liabilities</w:t>
            </w:r>
          </w:p>
        </w:tc>
        <w:tc>
          <w:tcPr>
            <w:tcW w:w="25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704</w:t>
            </w:r>
          </w:p>
        </w:tc>
      </w:tr>
      <w:tr>
        <w:trPr>
          <w:trHeight w:val="165"/>
        </w:trPr>
        <w:tc>
          <w:tcPr>
            <w:tcW w:w="4800" w:type="dxa"/>
            <w:vAlign w:val="bottom"/>
          </w:tcPr>
          <w:p>
            <w:pPr>
              <w:spacing w:after="0"/>
              <w:rPr>
                <w:sz w:val="20"/>
                <w:szCs w:val="20"/>
                <w:color w:val="auto"/>
              </w:rPr>
            </w:pPr>
            <w:r>
              <w:rPr>
                <w:rFonts w:ascii="Arial" w:cs="Arial" w:eastAsia="Arial" w:hAnsi="Arial"/>
                <w:sz w:val="12"/>
                <w:szCs w:val="12"/>
                <w:b w:val="1"/>
                <w:bCs w:val="1"/>
                <w:color w:val="auto"/>
              </w:rPr>
              <w:t>Financing leases</w:t>
            </w: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76"/>
        </w:trPr>
        <w:tc>
          <w:tcPr>
            <w:tcW w:w="4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Property, plant and equipment</w:t>
            </w:r>
          </w:p>
        </w:tc>
        <w:tc>
          <w:tcPr>
            <w:tcW w:w="25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313</w:t>
            </w:r>
          </w:p>
        </w:tc>
      </w:tr>
      <w:tr>
        <w:trPr>
          <w:trHeight w:val="167"/>
        </w:trPr>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Accumulated depreciation</w:t>
            </w:r>
          </w:p>
        </w:tc>
        <w:tc>
          <w:tcPr>
            <w:tcW w:w="254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(100)</w:t>
            </w:r>
          </w:p>
        </w:tc>
      </w:tr>
      <w:tr>
        <w:trPr>
          <w:trHeight w:val="160"/>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 net</w:t>
            </w:r>
          </w:p>
        </w:tc>
        <w:tc>
          <w:tcPr>
            <w:tcW w:w="25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213</w:t>
            </w:r>
          </w:p>
        </w:tc>
      </w:tr>
      <w:tr>
        <w:trPr>
          <w:trHeight w:val="160"/>
        </w:trPr>
        <w:tc>
          <w:tcPr>
            <w:tcW w:w="4800" w:type="dxa"/>
            <w:vAlign w:val="bottom"/>
          </w:tcPr>
          <w:p>
            <w:pPr>
              <w:ind w:left="160"/>
              <w:spacing w:after="0"/>
              <w:rPr>
                <w:sz w:val="20"/>
                <w:szCs w:val="20"/>
                <w:color w:val="auto"/>
              </w:rPr>
            </w:pPr>
            <w:r>
              <w:rPr>
                <w:rFonts w:ascii="Arial" w:cs="Arial" w:eastAsia="Arial" w:hAnsi="Arial"/>
                <w:sz w:val="12"/>
                <w:szCs w:val="12"/>
                <w:color w:val="auto"/>
              </w:rPr>
              <w:t>Current maturities of long-term debt</w:t>
            </w:r>
          </w:p>
        </w:tc>
        <w:tc>
          <w:tcPr>
            <w:tcW w:w="2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51</w:t>
            </w:r>
          </w:p>
        </w:tc>
      </w:tr>
      <w:tr>
        <w:trPr>
          <w:trHeight w:val="171"/>
        </w:trPr>
        <w:tc>
          <w:tcPr>
            <w:tcW w:w="4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Long-term debt</w:t>
            </w:r>
          </w:p>
        </w:tc>
        <w:tc>
          <w:tcPr>
            <w:tcW w:w="25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162</w:t>
            </w:r>
          </w:p>
        </w:tc>
      </w:tr>
      <w:tr>
        <w:trPr>
          <w:trHeight w:val="160"/>
        </w:trPr>
        <w:tc>
          <w:tcPr>
            <w:tcW w:w="4800" w:type="dxa"/>
            <w:vAlign w:val="bottom"/>
          </w:tcPr>
          <w:p>
            <w:pPr>
              <w:spacing w:after="0"/>
              <w:rPr>
                <w:sz w:val="20"/>
                <w:szCs w:val="20"/>
                <w:color w:val="auto"/>
              </w:rPr>
            </w:pPr>
            <w:r>
              <w:rPr>
                <w:rFonts w:ascii="Arial" w:cs="Arial" w:eastAsia="Arial" w:hAnsi="Arial"/>
                <w:sz w:val="12"/>
                <w:szCs w:val="12"/>
                <w:color w:val="auto"/>
              </w:rPr>
              <w:t>Total financing lease liabilities</w:t>
            </w:r>
          </w:p>
        </w:tc>
        <w:tc>
          <w:tcPr>
            <w:tcW w:w="2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213</w:t>
            </w:r>
          </w:p>
        </w:tc>
      </w:tr>
      <w:tr>
        <w:trPr>
          <w:trHeight w:val="174"/>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Weighted-average remaining lease term</w:t>
            </w:r>
          </w:p>
        </w:tc>
        <w:tc>
          <w:tcPr>
            <w:tcW w:w="254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r>
      <w:tr>
        <w:trPr>
          <w:trHeight w:val="167"/>
        </w:trPr>
        <w:tc>
          <w:tcPr>
            <w:tcW w:w="4800" w:type="dxa"/>
            <w:vAlign w:val="bottom"/>
          </w:tcPr>
          <w:p>
            <w:pPr>
              <w:ind w:left="160"/>
              <w:spacing w:after="0"/>
              <w:rPr>
                <w:sz w:val="20"/>
                <w:szCs w:val="20"/>
                <w:color w:val="auto"/>
              </w:rPr>
            </w:pPr>
            <w:r>
              <w:rPr>
                <w:rFonts w:ascii="Arial" w:cs="Arial" w:eastAsia="Arial" w:hAnsi="Arial"/>
                <w:sz w:val="12"/>
                <w:szCs w:val="12"/>
                <w:color w:val="auto"/>
              </w:rPr>
              <w:t>Operating leases</w:t>
            </w: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61"/>
              <w:spacing w:after="0"/>
              <w:rPr>
                <w:sz w:val="20"/>
                <w:szCs w:val="20"/>
                <w:color w:val="auto"/>
              </w:rPr>
            </w:pPr>
            <w:r>
              <w:rPr>
                <w:rFonts w:ascii="Arial" w:cs="Arial" w:eastAsia="Arial" w:hAnsi="Arial"/>
                <w:sz w:val="12"/>
                <w:szCs w:val="12"/>
                <w:color w:val="auto"/>
              </w:rPr>
              <w:t>6 years</w:t>
            </w:r>
          </w:p>
        </w:tc>
      </w:tr>
      <w:tr>
        <w:trPr>
          <w:trHeight w:val="176"/>
        </w:trPr>
        <w:tc>
          <w:tcPr>
            <w:tcW w:w="4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Financing leases</w:t>
            </w:r>
          </w:p>
        </w:tc>
        <w:tc>
          <w:tcPr>
            <w:tcW w:w="25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 years</w:t>
            </w:r>
          </w:p>
        </w:tc>
      </w:tr>
      <w:tr>
        <w:trPr>
          <w:trHeight w:val="176"/>
        </w:trPr>
        <w:tc>
          <w:tcPr>
            <w:tcW w:w="4800" w:type="dxa"/>
            <w:vAlign w:val="bottom"/>
          </w:tcPr>
          <w:p>
            <w:pPr>
              <w:spacing w:after="0"/>
              <w:rPr>
                <w:sz w:val="20"/>
                <w:szCs w:val="20"/>
                <w:color w:val="auto"/>
              </w:rPr>
            </w:pPr>
            <w:r>
              <w:rPr>
                <w:rFonts w:ascii="Arial" w:cs="Arial" w:eastAsia="Arial" w:hAnsi="Arial"/>
                <w:sz w:val="12"/>
                <w:szCs w:val="12"/>
                <w:color w:val="auto"/>
              </w:rPr>
              <w:t>Weighted-average discount rate</w:t>
            </w:r>
          </w:p>
        </w:tc>
        <w:tc>
          <w:tcPr>
            <w:tcW w:w="2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4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leases</w:t>
            </w:r>
          </w:p>
        </w:tc>
        <w:tc>
          <w:tcPr>
            <w:tcW w:w="25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r>
      <w:tr>
        <w:trPr>
          <w:trHeight w:val="162"/>
        </w:trPr>
        <w:tc>
          <w:tcPr>
            <w:tcW w:w="4800" w:type="dxa"/>
            <w:vAlign w:val="bottom"/>
          </w:tcPr>
          <w:p>
            <w:pPr>
              <w:ind w:left="160"/>
              <w:spacing w:after="0"/>
              <w:rPr>
                <w:sz w:val="20"/>
                <w:szCs w:val="20"/>
                <w:color w:val="auto"/>
              </w:rPr>
            </w:pPr>
            <w:r>
              <w:rPr>
                <w:rFonts w:ascii="Arial" w:cs="Arial" w:eastAsia="Arial" w:hAnsi="Arial"/>
                <w:sz w:val="12"/>
                <w:szCs w:val="12"/>
                <w:color w:val="auto"/>
              </w:rPr>
              <w:t>Financing leases</w:t>
            </w: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17.0%</w:t>
            </w:r>
          </w:p>
        </w:tc>
      </w:tr>
      <w:tr>
        <w:trPr>
          <w:trHeight w:val="261"/>
        </w:trPr>
        <w:tc>
          <w:tcPr>
            <w:tcW w:w="4800" w:type="dxa"/>
            <w:vAlign w:val="bottom"/>
          </w:tcPr>
          <w:p>
            <w:pPr>
              <w:ind w:left="400"/>
              <w:spacing w:after="0"/>
              <w:rPr>
                <w:sz w:val="20"/>
                <w:szCs w:val="20"/>
                <w:color w:val="auto"/>
              </w:rPr>
            </w:pPr>
            <w:r>
              <w:rPr>
                <w:rFonts w:ascii="Arial" w:cs="Arial" w:eastAsia="Arial" w:hAnsi="Arial"/>
                <w:sz w:val="12"/>
                <w:szCs w:val="12"/>
                <w:color w:val="auto"/>
              </w:rPr>
              <w:t>As of March 31, 2019, maturities of lease liabilities were as follows:</w:t>
            </w:r>
          </w:p>
        </w:tc>
        <w:tc>
          <w:tcPr>
            <w:tcW w:w="2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374"/>
        </w:trPr>
        <w:tc>
          <w:tcPr>
            <w:tcW w:w="4800" w:type="dxa"/>
            <w:vAlign w:val="bottom"/>
            <w:tcBorders>
              <w:bottom w:val="single" w:sz="8" w:color="CCEEFF"/>
            </w:tcBorders>
          </w:tcPr>
          <w:p>
            <w:pPr>
              <w:spacing w:after="0"/>
              <w:rPr>
                <w:sz w:val="24"/>
                <w:szCs w:val="24"/>
                <w:color w:val="auto"/>
              </w:rPr>
            </w:pPr>
          </w:p>
        </w:tc>
        <w:tc>
          <w:tcPr>
            <w:tcW w:w="254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Operating Leases</w:t>
            </w: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w w:val="97"/>
              </w:rPr>
              <w:t>Financing Leases</w:t>
            </w:r>
          </w:p>
        </w:tc>
      </w:tr>
      <w:tr>
        <w:trPr>
          <w:trHeight w:val="164"/>
        </w:trPr>
        <w:tc>
          <w:tcPr>
            <w:tcW w:w="4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2019</w:t>
            </w:r>
          </w:p>
        </w:tc>
        <w:tc>
          <w:tcPr>
            <w:tcW w:w="4120" w:type="dxa"/>
            <w:vAlign w:val="bottom"/>
            <w:gridSpan w:val="2"/>
            <w:shd w:val="clear" w:color="auto" w:fill="CCEEFF"/>
          </w:tcPr>
          <w:p>
            <w:pPr>
              <w:jc w:val="right"/>
              <w:ind w:right="145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161</w:t>
            </w: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61</w:t>
            </w:r>
          </w:p>
        </w:tc>
      </w:tr>
      <w:tr>
        <w:trPr>
          <w:trHeight w:val="167"/>
        </w:trPr>
        <w:tc>
          <w:tcPr>
            <w:tcW w:w="4800" w:type="dxa"/>
            <w:vAlign w:val="bottom"/>
          </w:tcPr>
          <w:p>
            <w:pPr>
              <w:ind w:left="160"/>
              <w:spacing w:after="0"/>
              <w:rPr>
                <w:sz w:val="20"/>
                <w:szCs w:val="20"/>
                <w:color w:val="auto"/>
              </w:rPr>
            </w:pPr>
            <w:r>
              <w:rPr>
                <w:rFonts w:ascii="Arial" w:cs="Arial" w:eastAsia="Arial" w:hAnsi="Arial"/>
                <w:sz w:val="12"/>
                <w:szCs w:val="12"/>
                <w:color w:val="auto"/>
              </w:rPr>
              <w:t>2020</w:t>
            </w: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168</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41"/>
              <w:spacing w:after="0"/>
              <w:rPr>
                <w:sz w:val="20"/>
                <w:szCs w:val="20"/>
                <w:color w:val="auto"/>
              </w:rPr>
            </w:pPr>
            <w:r>
              <w:rPr>
                <w:rFonts w:ascii="Arial" w:cs="Arial" w:eastAsia="Arial" w:hAnsi="Arial"/>
                <w:sz w:val="12"/>
                <w:szCs w:val="12"/>
                <w:color w:val="auto"/>
              </w:rPr>
              <w:t>71</w:t>
            </w:r>
          </w:p>
        </w:tc>
      </w:tr>
      <w:tr>
        <w:trPr>
          <w:trHeight w:val="176"/>
        </w:trPr>
        <w:tc>
          <w:tcPr>
            <w:tcW w:w="4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2021</w:t>
            </w:r>
          </w:p>
        </w:tc>
        <w:tc>
          <w:tcPr>
            <w:tcW w:w="25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137</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60</w:t>
            </w:r>
          </w:p>
        </w:tc>
      </w:tr>
      <w:tr>
        <w:trPr>
          <w:trHeight w:val="167"/>
        </w:trPr>
        <w:tc>
          <w:tcPr>
            <w:tcW w:w="4800" w:type="dxa"/>
            <w:vAlign w:val="bottom"/>
          </w:tcPr>
          <w:p>
            <w:pPr>
              <w:ind w:left="160"/>
              <w:spacing w:after="0"/>
              <w:rPr>
                <w:sz w:val="20"/>
                <w:szCs w:val="20"/>
                <w:color w:val="auto"/>
              </w:rPr>
            </w:pPr>
            <w:r>
              <w:rPr>
                <w:rFonts w:ascii="Arial" w:cs="Arial" w:eastAsia="Arial" w:hAnsi="Arial"/>
                <w:sz w:val="12"/>
                <w:szCs w:val="12"/>
                <w:color w:val="auto"/>
              </w:rPr>
              <w:t>2022</w:t>
            </w: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jc w:val="right"/>
              <w:ind w:right="20"/>
              <w:spacing w:after="0"/>
              <w:rPr>
                <w:sz w:val="20"/>
                <w:szCs w:val="20"/>
                <w:color w:val="auto"/>
              </w:rPr>
            </w:pPr>
            <w:r>
              <w:rPr>
                <w:rFonts w:ascii="Arial" w:cs="Arial" w:eastAsia="Arial" w:hAnsi="Arial"/>
                <w:sz w:val="12"/>
                <w:szCs w:val="12"/>
                <w:color w:val="auto"/>
              </w:rPr>
              <w:t>103</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41"/>
              <w:spacing w:after="0"/>
              <w:rPr>
                <w:sz w:val="20"/>
                <w:szCs w:val="20"/>
                <w:color w:val="auto"/>
              </w:rPr>
            </w:pPr>
            <w:r>
              <w:rPr>
                <w:rFonts w:ascii="Arial" w:cs="Arial" w:eastAsia="Arial" w:hAnsi="Arial"/>
                <w:sz w:val="12"/>
                <w:szCs w:val="12"/>
                <w:color w:val="auto"/>
              </w:rPr>
              <w:t>45</w:t>
            </w:r>
          </w:p>
        </w:tc>
      </w:tr>
      <w:tr>
        <w:trPr>
          <w:trHeight w:val="176"/>
        </w:trPr>
        <w:tc>
          <w:tcPr>
            <w:tcW w:w="48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2023</w:t>
            </w:r>
          </w:p>
        </w:tc>
        <w:tc>
          <w:tcPr>
            <w:tcW w:w="25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72</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39</w:t>
            </w:r>
          </w:p>
        </w:tc>
      </w:tr>
      <w:tr>
        <w:trPr>
          <w:trHeight w:val="167"/>
        </w:trPr>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Thereafter</w:t>
            </w:r>
          </w:p>
        </w:tc>
        <w:tc>
          <w:tcPr>
            <w:tcW w:w="25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157</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48</w:t>
            </w:r>
          </w:p>
        </w:tc>
      </w:tr>
      <w:tr>
        <w:trPr>
          <w:trHeight w:val="16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Total lease payments</w:t>
            </w:r>
          </w:p>
        </w:tc>
        <w:tc>
          <w:tcPr>
            <w:tcW w:w="25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798</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324</w:t>
            </w:r>
          </w:p>
        </w:tc>
      </w:tr>
      <w:tr>
        <w:trPr>
          <w:trHeight w:val="167"/>
        </w:trPr>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Less: interest</w:t>
            </w:r>
          </w:p>
        </w:tc>
        <w:tc>
          <w:tcPr>
            <w:tcW w:w="254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(111)</w:t>
            </w:r>
          </w:p>
        </w:tc>
      </w:tr>
      <w:tr>
        <w:trPr>
          <w:trHeight w:val="185"/>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4120" w:type="dxa"/>
            <w:vAlign w:val="bottom"/>
            <w:gridSpan w:val="2"/>
            <w:shd w:val="clear" w:color="auto" w:fill="CCEEFF"/>
          </w:tcPr>
          <w:p>
            <w:pPr>
              <w:jc w:val="right"/>
              <w:ind w:right="145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704</w:t>
            </w: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213</w:t>
            </w:r>
          </w:p>
        </w:tc>
      </w:tr>
      <w:tr>
        <w:trPr>
          <w:trHeight w:val="437"/>
        </w:trPr>
        <w:tc>
          <w:tcPr>
            <w:tcW w:w="480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jc w:val="right"/>
              <w:ind w:right="1500"/>
              <w:spacing w:after="0"/>
              <w:rPr>
                <w:sz w:val="20"/>
                <w:szCs w:val="20"/>
                <w:color w:val="auto"/>
              </w:rPr>
            </w:pPr>
            <w:r>
              <w:rPr>
                <w:rFonts w:ascii="Arial" w:cs="Arial" w:eastAsia="Arial" w:hAnsi="Arial"/>
                <w:sz w:val="12"/>
                <w:szCs w:val="12"/>
                <w:color w:val="auto"/>
              </w:rPr>
              <w:t>17</w:t>
            </w:r>
          </w:p>
        </w:tc>
        <w:tc>
          <w:tcPr>
            <w:tcW w:w="15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bl>
    <w:p>
      <w:pPr>
        <w:sectPr>
          <w:pgSz w:w="11900" w:h="16838" w:orient="portrait"/>
          <w:cols w:equalWidth="0" w:num="1">
            <w:col w:w="11440"/>
          </w:cols>
          <w:pgMar w:left="240" w:top="126"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312" w:lineRule="exact"/>
        <w:rPr>
          <w:sz w:val="20"/>
          <w:szCs w:val="20"/>
          <w:color w:val="auto"/>
        </w:rPr>
      </w:pPr>
    </w:p>
    <w:p>
      <w:pPr>
        <w:ind w:right="660" w:firstLine="432"/>
        <w:spacing w:after="0" w:line="262" w:lineRule="auto"/>
        <w:rPr>
          <w:sz w:val="20"/>
          <w:szCs w:val="20"/>
          <w:color w:val="auto"/>
        </w:rPr>
      </w:pPr>
      <w:r>
        <w:rPr>
          <w:rFonts w:ascii="Arial" w:cs="Arial" w:eastAsia="Arial" w:hAnsi="Arial"/>
          <w:sz w:val="12"/>
          <w:szCs w:val="12"/>
          <w:color w:val="auto"/>
        </w:rPr>
        <w:t>As previously disclosed in our 2018 Annual Report on Form 10-K and under the previous lease accounting standard, future minimum lease payments for operating leases having initial or remaining noncancellable lease terms in excess of one year would have been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jc w:val="right"/>
              <w:ind w:right="241"/>
              <w:spacing w:after="0"/>
              <w:rPr>
                <w:sz w:val="20"/>
                <w:szCs w:val="20"/>
                <w:color w:val="auto"/>
              </w:rPr>
            </w:pPr>
            <w:r>
              <w:rPr>
                <w:rFonts w:ascii="Arial" w:cs="Arial" w:eastAsia="Arial" w:hAnsi="Arial"/>
                <w:sz w:val="10"/>
                <w:szCs w:val="10"/>
                <w:b w:val="1"/>
                <w:bCs w:val="1"/>
                <w:color w:val="auto"/>
              </w:rPr>
              <w:t>At December 31, 2018</w:t>
            </w:r>
          </w:p>
        </w:tc>
      </w:tr>
      <w:tr>
        <w:trPr>
          <w:trHeight w:val="175"/>
        </w:trPr>
        <w:tc>
          <w:tcPr>
            <w:tcW w:w="20" w:type="dxa"/>
            <w:vAlign w:val="bottom"/>
          </w:tcPr>
          <w:p>
            <w:pPr>
              <w:spacing w:after="0"/>
              <w:rPr>
                <w:sz w:val="15"/>
                <w:szCs w:val="15"/>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2019</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210</w:t>
            </w:r>
          </w:p>
        </w:tc>
      </w:tr>
      <w:tr>
        <w:trPr>
          <w:trHeight w:val="167"/>
        </w:trPr>
        <w:tc>
          <w:tcPr>
            <w:tcW w:w="8160" w:type="dxa"/>
            <w:vAlign w:val="bottom"/>
            <w:gridSpan w:val="2"/>
          </w:tcPr>
          <w:p>
            <w:pPr>
              <w:ind w:left="180"/>
              <w:spacing w:after="0"/>
              <w:rPr>
                <w:sz w:val="20"/>
                <w:szCs w:val="20"/>
                <w:color w:val="auto"/>
              </w:rPr>
            </w:pPr>
            <w:r>
              <w:rPr>
                <w:rFonts w:ascii="Arial" w:cs="Arial" w:eastAsia="Arial" w:hAnsi="Arial"/>
                <w:sz w:val="12"/>
                <w:szCs w:val="12"/>
                <w:color w:val="auto"/>
              </w:rPr>
              <w:t>2020</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168</w:t>
            </w:r>
          </w:p>
        </w:tc>
      </w:tr>
      <w:tr>
        <w:trPr>
          <w:trHeight w:val="176"/>
        </w:trPr>
        <w:tc>
          <w:tcPr>
            <w:tcW w:w="20" w:type="dxa"/>
            <w:vAlign w:val="bottom"/>
          </w:tcPr>
          <w:p>
            <w:pPr>
              <w:spacing w:after="0"/>
              <w:rPr>
                <w:sz w:val="15"/>
                <w:szCs w:val="15"/>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2021</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142</w:t>
            </w:r>
          </w:p>
        </w:tc>
      </w:tr>
      <w:tr>
        <w:trPr>
          <w:trHeight w:val="167"/>
        </w:trPr>
        <w:tc>
          <w:tcPr>
            <w:tcW w:w="8160" w:type="dxa"/>
            <w:vAlign w:val="bottom"/>
            <w:gridSpan w:val="2"/>
          </w:tcPr>
          <w:p>
            <w:pPr>
              <w:ind w:left="180"/>
              <w:spacing w:after="0"/>
              <w:rPr>
                <w:sz w:val="20"/>
                <w:szCs w:val="20"/>
                <w:color w:val="auto"/>
              </w:rPr>
            </w:pPr>
            <w:r>
              <w:rPr>
                <w:rFonts w:ascii="Arial" w:cs="Arial" w:eastAsia="Arial" w:hAnsi="Arial"/>
                <w:sz w:val="12"/>
                <w:szCs w:val="12"/>
                <w:color w:val="auto"/>
              </w:rPr>
              <w:t>2022</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109</w:t>
            </w:r>
          </w:p>
        </w:tc>
      </w:tr>
      <w:tr>
        <w:trPr>
          <w:trHeight w:val="176"/>
        </w:trPr>
        <w:tc>
          <w:tcPr>
            <w:tcW w:w="20" w:type="dxa"/>
            <w:vAlign w:val="bottom"/>
          </w:tcPr>
          <w:p>
            <w:pPr>
              <w:spacing w:after="0"/>
              <w:rPr>
                <w:sz w:val="15"/>
                <w:szCs w:val="15"/>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2023</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80</w:t>
            </w:r>
          </w:p>
        </w:tc>
      </w:tr>
      <w:tr>
        <w:trPr>
          <w:trHeight w:val="167"/>
        </w:trPr>
        <w:tc>
          <w:tcPr>
            <w:tcW w:w="20" w:type="dxa"/>
            <w:vAlign w:val="bottom"/>
          </w:tcPr>
          <w:p>
            <w:pPr>
              <w:spacing w:after="0"/>
              <w:rPr>
                <w:sz w:val="14"/>
                <w:szCs w:val="14"/>
                <w:color w:val="auto"/>
              </w:rPr>
            </w:pPr>
          </w:p>
        </w:tc>
        <w:tc>
          <w:tcPr>
            <w:tcW w:w="81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Thereafter</w:t>
            </w:r>
          </w:p>
        </w:tc>
        <w:tc>
          <w:tcPr>
            <w:tcW w:w="26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147</w:t>
            </w:r>
          </w:p>
        </w:tc>
      </w:tr>
      <w:tr>
        <w:trPr>
          <w:trHeight w:val="180"/>
        </w:trPr>
        <w:tc>
          <w:tcPr>
            <w:tcW w:w="20" w:type="dxa"/>
            <w:vAlign w:val="bottom"/>
          </w:tcPr>
          <w:p>
            <w:pPr>
              <w:spacing w:after="0"/>
              <w:rPr>
                <w:sz w:val="15"/>
                <w:szCs w:val="15"/>
                <w:color w:val="auto"/>
              </w:rPr>
            </w:pPr>
          </w:p>
        </w:tc>
        <w:tc>
          <w:tcPr>
            <w:tcW w:w="81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856</w:t>
            </w:r>
          </w:p>
        </w:tc>
      </w:tr>
      <w:tr>
        <w:trPr>
          <w:trHeight w:val="532"/>
        </w:trPr>
        <w:tc>
          <w:tcPr>
            <w:tcW w:w="8160" w:type="dxa"/>
            <w:vAlign w:val="bottom"/>
            <w:gridSpan w:val="2"/>
          </w:tcPr>
          <w:p>
            <w:pPr>
              <w:spacing w:after="0"/>
              <w:rPr>
                <w:sz w:val="20"/>
                <w:szCs w:val="20"/>
                <w:color w:val="auto"/>
              </w:rPr>
            </w:pPr>
            <w:r>
              <w:rPr>
                <w:rFonts w:ascii="Arial" w:cs="Arial" w:eastAsia="Arial" w:hAnsi="Arial"/>
                <w:sz w:val="12"/>
                <w:szCs w:val="12"/>
                <w:b w:val="1"/>
                <w:bCs w:val="1"/>
                <w:color w:val="auto"/>
              </w:rPr>
              <w:t>Note 11. Long-term Debt and Credit Agreements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28"/>
        </w:trPr>
        <w:tc>
          <w:tcPr>
            <w:tcW w:w="20" w:type="dxa"/>
            <w:vAlign w:val="bottom"/>
          </w:tcPr>
          <w:p>
            <w:pPr>
              <w:spacing w:after="0"/>
              <w:rPr>
                <w:sz w:val="24"/>
                <w:szCs w:val="24"/>
                <w:color w:val="auto"/>
              </w:rPr>
            </w:pPr>
          </w:p>
        </w:tc>
        <w:tc>
          <w:tcPr>
            <w:tcW w:w="8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March 31, 2019</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December 31, 2018</w:t>
            </w:r>
          </w:p>
        </w:tc>
      </w:tr>
      <w:tr>
        <w:trPr>
          <w:trHeight w:val="164"/>
        </w:trPr>
        <w:tc>
          <w:tcPr>
            <w:tcW w:w="20" w:type="dxa"/>
            <w:vAlign w:val="bottom"/>
          </w:tcPr>
          <w:p>
            <w:pPr>
              <w:spacing w:after="0"/>
              <w:rPr>
                <w:sz w:val="14"/>
                <w:szCs w:val="14"/>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1.40% notes due 2019</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1,250</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1,250</w:t>
            </w:r>
          </w:p>
        </w:tc>
      </w:tr>
      <w:tr>
        <w:trPr>
          <w:trHeight w:val="176"/>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Three year floating rate notes due 2019</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250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250</w:t>
            </w:r>
          </w:p>
        </w:tc>
      </w:tr>
      <w:tr>
        <w:trPr>
          <w:trHeight w:val="185"/>
        </w:trPr>
        <w:tc>
          <w:tcPr>
            <w:tcW w:w="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Two year floating rate notes due 2019</w:t>
            </w: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450</w:t>
            </w:r>
          </w:p>
        </w:tc>
      </w:tr>
      <w:tr>
        <w:trPr>
          <w:trHeight w:val="176"/>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1.80% notes due 2019</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750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750</w:t>
            </w:r>
          </w:p>
        </w:tc>
      </w:tr>
      <w:tr>
        <w:trPr>
          <w:trHeight w:val="185"/>
        </w:trPr>
        <w:tc>
          <w:tcPr>
            <w:tcW w:w="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0.65% Euro notes due 2020</w:t>
            </w: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1,123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1,145</w:t>
            </w:r>
          </w:p>
        </w:tc>
      </w:tr>
      <w:tr>
        <w:trPr>
          <w:trHeight w:val="176"/>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4.25% notes due 2021</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800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800</w:t>
            </w:r>
          </w:p>
        </w:tc>
      </w:tr>
      <w:tr>
        <w:trPr>
          <w:trHeight w:val="185"/>
        </w:trPr>
        <w:tc>
          <w:tcPr>
            <w:tcW w:w="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1.85% notes due 2021</w:t>
            </w: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1,500</w:t>
            </w:r>
          </w:p>
        </w:tc>
      </w:tr>
      <w:tr>
        <w:trPr>
          <w:trHeight w:val="176"/>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1.30% Euro notes due 2023</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1,404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1,432</w:t>
            </w:r>
          </w:p>
        </w:tc>
      </w:tr>
      <w:tr>
        <w:trPr>
          <w:trHeight w:val="185"/>
        </w:trPr>
        <w:tc>
          <w:tcPr>
            <w:tcW w:w="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3.35% notes due 2023</w:t>
            </w: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300</w:t>
            </w:r>
          </w:p>
        </w:tc>
      </w:tr>
      <w:tr>
        <w:trPr>
          <w:trHeight w:val="176"/>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2.50% notes due 2026</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1,500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1,500</w:t>
            </w:r>
          </w:p>
        </w:tc>
      </w:tr>
      <w:tr>
        <w:trPr>
          <w:trHeight w:val="185"/>
        </w:trPr>
        <w:tc>
          <w:tcPr>
            <w:tcW w:w="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2.25% Euro notes due 2028</w:t>
            </w: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859</w:t>
            </w:r>
          </w:p>
        </w:tc>
      </w:tr>
      <w:tr>
        <w:trPr>
          <w:trHeight w:val="176"/>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5.70% notes due 2036</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441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441</w:t>
            </w:r>
          </w:p>
        </w:tc>
      </w:tr>
      <w:tr>
        <w:trPr>
          <w:trHeight w:val="185"/>
        </w:trPr>
        <w:tc>
          <w:tcPr>
            <w:tcW w:w="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5.70% notes due 2037</w:t>
            </w: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462</w:t>
            </w:r>
          </w:p>
        </w:tc>
      </w:tr>
      <w:tr>
        <w:trPr>
          <w:trHeight w:val="176"/>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5.375% notes due 2041</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417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417</w:t>
            </w:r>
          </w:p>
        </w:tc>
      </w:tr>
      <w:tr>
        <w:trPr>
          <w:trHeight w:val="185"/>
        </w:trPr>
        <w:tc>
          <w:tcPr>
            <w:tcW w:w="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3.812% notes due 2047</w:t>
            </w: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445</w:t>
            </w:r>
          </w:p>
        </w:tc>
      </w:tr>
      <w:tr>
        <w:trPr>
          <w:trHeight w:val="176"/>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Industrial development bond obligations, floating rate maturing at various dates through 2037</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22</w:t>
            </w:r>
          </w:p>
        </w:tc>
      </w:tr>
      <w:tr>
        <w:trPr>
          <w:trHeight w:val="185"/>
        </w:trPr>
        <w:tc>
          <w:tcPr>
            <w:tcW w:w="20" w:type="dxa"/>
            <w:vAlign w:val="bottom"/>
          </w:tcPr>
          <w:p>
            <w:pPr>
              <w:spacing w:after="0"/>
              <w:rPr>
                <w:sz w:val="16"/>
                <w:szCs w:val="16"/>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6.625% debentures due 2028</w:t>
            </w: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201</w:t>
            </w:r>
          </w:p>
        </w:tc>
      </w:tr>
      <w:tr>
        <w:trPr>
          <w:trHeight w:val="176"/>
        </w:trPr>
        <w:tc>
          <w:tcPr>
            <w:tcW w:w="20" w:type="dxa"/>
            <w:vAlign w:val="bottom"/>
          </w:tcPr>
          <w:p>
            <w:pPr>
              <w:spacing w:after="0"/>
              <w:rPr>
                <w:sz w:val="15"/>
                <w:szCs w:val="15"/>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9.065% debentures due 2033</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41"/>
              <w:spacing w:after="0"/>
              <w:rPr>
                <w:sz w:val="20"/>
                <w:szCs w:val="20"/>
                <w:color w:val="auto"/>
              </w:rPr>
            </w:pPr>
            <w:r>
              <w:rPr>
                <w:rFonts w:ascii="Arial" w:cs="Arial" w:eastAsia="Arial" w:hAnsi="Arial"/>
                <w:sz w:val="12"/>
                <w:szCs w:val="12"/>
                <w:color w:val="auto"/>
              </w:rPr>
              <w:t>51</w:t>
            </w:r>
          </w:p>
        </w:tc>
      </w:tr>
      <w:tr>
        <w:trPr>
          <w:trHeight w:val="180"/>
        </w:trPr>
        <w:tc>
          <w:tcPr>
            <w:tcW w:w="20" w:type="dxa"/>
            <w:vAlign w:val="bottom"/>
          </w:tcPr>
          <w:p>
            <w:pPr>
              <w:spacing w:after="0"/>
              <w:rPr>
                <w:sz w:val="15"/>
                <w:szCs w:val="15"/>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Other (including capitalized leases and debt issuance costs), 5.2% weighted average maturing at various dates through 2025</w:t>
            </w:r>
          </w:p>
        </w:tc>
        <w:tc>
          <w:tcPr>
            <w:tcW w:w="2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353</w:t>
            </w:r>
          </w:p>
        </w:tc>
      </w:tr>
      <w:tr>
        <w:trPr>
          <w:trHeight w:val="160"/>
        </w:trPr>
        <w:tc>
          <w:tcPr>
            <w:tcW w:w="2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12,598</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12,628</w:t>
            </w:r>
          </w:p>
        </w:tc>
      </w:tr>
      <w:tr>
        <w:trPr>
          <w:trHeight w:val="160"/>
        </w:trPr>
        <w:tc>
          <w:tcPr>
            <w:tcW w:w="20" w:type="dxa"/>
            <w:vAlign w:val="bottom"/>
          </w:tcPr>
          <w:p>
            <w:pPr>
              <w:spacing w:after="0"/>
              <w:rPr>
                <w:sz w:val="13"/>
                <w:szCs w:val="13"/>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2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(4,000)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(2,872)</w:t>
            </w:r>
          </w:p>
        </w:tc>
      </w:tr>
      <w:tr>
        <w:trPr>
          <w:trHeight w:val="172"/>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8,598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9,756</w:t>
            </w:r>
          </w:p>
        </w:tc>
      </w:tr>
    </w:tbl>
    <w:p>
      <w:pPr>
        <w:spacing w:after="0" w:line="144" w:lineRule="exact"/>
        <w:rPr>
          <w:sz w:val="20"/>
          <w:szCs w:val="20"/>
          <w:color w:val="auto"/>
        </w:rPr>
      </w:pPr>
    </w:p>
    <w:p>
      <w:pPr>
        <w:jc w:val="both"/>
        <w:ind w:firstLine="432"/>
        <w:spacing w:after="0" w:line="307" w:lineRule="auto"/>
        <w:rPr>
          <w:sz w:val="20"/>
          <w:szCs w:val="20"/>
          <w:color w:val="auto"/>
        </w:rPr>
      </w:pPr>
      <w:r>
        <w:rPr>
          <w:rFonts w:ascii="Arial" w:cs="Arial" w:eastAsia="Arial" w:hAnsi="Arial"/>
          <w:sz w:val="11"/>
          <w:szCs w:val="11"/>
          <w:color w:val="auto"/>
        </w:rPr>
        <w:t>On April 27, 2018, the Company entered into a $ 4.0 billion Amended and Restated Five Year Credit Agreement (the “5-Year Credit Agreement”), with a syndicate of banks. The 5-Year Credit Agreement is maintained for general corporate purposes. Commitments under the 5-Year Credit Agreement can be increased pursuant to the terms of the 5-Year Credit Agreement to an aggregate amount not to exceed $4.5 billion.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126" w:right="199" w:bottom="144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31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April 27, 2018, the Company entered into a $1.5 billion 364-Day Credit Agreement with a syndicate of banks. This 364-Day Credit Agreement is maintained for general corporate purposes.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March 31, 2019, there are no outstanding borrowings under any of our credit agreements.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Financial Instruments and Fair Value Measures</w:t>
      </w:r>
    </w:p>
    <w:p>
      <w:pPr>
        <w:spacing w:after="0" w:line="15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color w:val="auto"/>
        </w:rPr>
        <w:t xml:space="preserve">Our credit, market, foreign currency and interest rate risk management policies are described in Note 15, </w:t>
      </w:r>
      <w:r>
        <w:rPr>
          <w:rFonts w:ascii="Arial" w:cs="Arial" w:eastAsia="Arial" w:hAnsi="Arial"/>
          <w:sz w:val="12"/>
          <w:szCs w:val="12"/>
          <w:i w:val="1"/>
          <w:iCs w:val="1"/>
          <w:color w:val="auto"/>
        </w:rPr>
        <w:t>Financial Instruments and Fair Value Measures</w:t>
      </w:r>
      <w:r>
        <w:rPr>
          <w:rFonts w:ascii="Arial" w:cs="Arial" w:eastAsia="Arial" w:hAnsi="Arial"/>
          <w:sz w:val="12"/>
          <w:szCs w:val="12"/>
          <w:color w:val="auto"/>
        </w:rPr>
        <w:t xml:space="preserve"> of Notes to Consolidated Financial Statements in our 2018 Annual Report on Form 10-K.</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the Company’s financial assets and liabilities that were accounted for at fair value on a recurring basis: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2019</w:t>
            </w:r>
          </w:p>
        </w:tc>
        <w:tc>
          <w:tcPr>
            <w:tcW w:w="220" w:type="dxa"/>
            <w:vAlign w:val="bottom"/>
          </w:tcPr>
          <w:p>
            <w:pPr>
              <w:spacing w:after="0"/>
              <w:rPr>
                <w:sz w:val="11"/>
                <w:szCs w:val="11"/>
                <w:color w:val="auto"/>
              </w:rPr>
            </w:pPr>
          </w:p>
        </w:tc>
        <w:tc>
          <w:tcPr>
            <w:tcW w:w="1380" w:type="dxa"/>
            <w:vAlign w:val="bottom"/>
          </w:tcPr>
          <w:p>
            <w:pPr>
              <w:jc w:val="right"/>
              <w:ind w:right="302"/>
              <w:spacing w:after="0"/>
              <w:rPr>
                <w:sz w:val="20"/>
                <w:szCs w:val="20"/>
                <w:color w:val="auto"/>
              </w:rPr>
            </w:pPr>
            <w:r>
              <w:rPr>
                <w:rFonts w:ascii="Arial" w:cs="Arial" w:eastAsia="Arial" w:hAnsi="Arial"/>
                <w:sz w:val="10"/>
                <w:szCs w:val="10"/>
                <w:b w:val="1"/>
                <w:bCs w:val="1"/>
                <w:color w:val="auto"/>
              </w:rPr>
              <w:t>December 31, 2018</w:t>
            </w:r>
          </w:p>
        </w:tc>
      </w:tr>
      <w:tr>
        <w:trPr>
          <w:trHeight w:val="164"/>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r>
      <w:tr>
        <w:trPr>
          <w:trHeight w:val="176"/>
        </w:trPr>
        <w:tc>
          <w:tcPr>
            <w:tcW w:w="8380" w:type="dxa"/>
            <w:vAlign w:val="bottom"/>
          </w:tcPr>
          <w:p>
            <w:pPr>
              <w:ind w:left="20"/>
              <w:spacing w:after="0"/>
              <w:rPr>
                <w:sz w:val="20"/>
                <w:szCs w:val="20"/>
                <w:color w:val="auto"/>
              </w:rPr>
            </w:pPr>
            <w:r>
              <w:rPr>
                <w:rFonts w:ascii="Arial" w:cs="Arial" w:eastAsia="Arial" w:hAnsi="Arial"/>
                <w:sz w:val="12"/>
                <w:szCs w:val="12"/>
                <w:color w:val="auto"/>
              </w:rPr>
              <w:t>Foreign currency exchange contracts</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180</w:t>
            </w:r>
          </w:p>
        </w:tc>
        <w:tc>
          <w:tcPr>
            <w:tcW w:w="12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ind w:right="62"/>
              <w:spacing w:after="0"/>
              <w:rPr>
                <w:sz w:val="20"/>
                <w:szCs w:val="20"/>
                <w:color w:val="auto"/>
              </w:rPr>
            </w:pPr>
            <w:r>
              <w:rPr>
                <w:rFonts w:ascii="Arial" w:cs="Arial" w:eastAsia="Arial" w:hAnsi="Arial"/>
                <w:sz w:val="12"/>
                <w:szCs w:val="12"/>
                <w:color w:val="auto"/>
              </w:rPr>
              <w:t>119</w:t>
            </w:r>
          </w:p>
        </w:tc>
      </w:tr>
      <w:tr>
        <w:trPr>
          <w:trHeight w:val="185"/>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Available for sale investments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1,784</w:t>
            </w:r>
          </w:p>
        </w:tc>
      </w:tr>
      <w:tr>
        <w:trPr>
          <w:trHeight w:val="176"/>
        </w:trPr>
        <w:tc>
          <w:tcPr>
            <w:tcW w:w="8380" w:type="dxa"/>
            <w:vAlign w:val="bottom"/>
          </w:tcPr>
          <w:p>
            <w:pPr>
              <w:ind w:left="20"/>
              <w:spacing w:after="0"/>
              <w:rPr>
                <w:sz w:val="20"/>
                <w:szCs w:val="20"/>
                <w:color w:val="auto"/>
              </w:rPr>
            </w:pPr>
            <w:r>
              <w:rPr>
                <w:rFonts w:ascii="Arial" w:cs="Arial" w:eastAsia="Arial" w:hAnsi="Arial"/>
                <w:sz w:val="12"/>
                <w:szCs w:val="12"/>
                <w:color w:val="auto"/>
              </w:rPr>
              <w:t>Interest rate swap agreements</w:t>
            </w:r>
          </w:p>
        </w:tc>
        <w:tc>
          <w:tcPr>
            <w:tcW w:w="220" w:type="dxa"/>
            <w:vAlign w:val="bottom"/>
          </w:tcPr>
          <w:p>
            <w:pPr>
              <w:spacing w:after="0"/>
              <w:rPr>
                <w:sz w:val="15"/>
                <w:szCs w:val="15"/>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62"/>
              <w:spacing w:after="0"/>
              <w:rPr>
                <w:sz w:val="20"/>
                <w:szCs w:val="20"/>
                <w:color w:val="auto"/>
              </w:rPr>
            </w:pPr>
            <w:r>
              <w:rPr>
                <w:rFonts w:ascii="Arial" w:cs="Arial" w:eastAsia="Arial" w:hAnsi="Arial"/>
                <w:sz w:val="12"/>
                <w:szCs w:val="12"/>
                <w:color w:val="auto"/>
              </w:rPr>
              <w:t>20</w:t>
            </w:r>
          </w:p>
        </w:tc>
      </w:tr>
      <w:tr>
        <w:trPr>
          <w:trHeight w:val="185"/>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Cross currency swap agreements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32</w:t>
            </w:r>
          </w:p>
        </w:tc>
      </w:tr>
      <w:tr>
        <w:trPr>
          <w:trHeight w:val="176"/>
        </w:trPr>
        <w:tc>
          <w:tcPr>
            <w:tcW w:w="8380" w:type="dxa"/>
            <w:vAlign w:val="bottom"/>
          </w:tcPr>
          <w:p>
            <w:pPr>
              <w:ind w:left="20"/>
              <w:spacing w:after="0"/>
              <w:rPr>
                <w:sz w:val="20"/>
                <w:szCs w:val="20"/>
                <w:color w:val="auto"/>
              </w:rPr>
            </w:pPr>
            <w:r>
              <w:rPr>
                <w:rFonts w:ascii="Arial" w:cs="Arial" w:eastAsia="Arial" w:hAnsi="Arial"/>
                <w:sz w:val="12"/>
                <w:szCs w:val="12"/>
                <w:b w:val="1"/>
                <w:bCs w:val="1"/>
                <w:color w:val="auto"/>
              </w:rPr>
              <w:t>Liabilities: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5"/>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exchange contracts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Interest rate swap agreements</w:t>
            </w:r>
          </w:p>
        </w:tc>
        <w:tc>
          <w:tcPr>
            <w:tcW w:w="22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2"/>
                <w:szCs w:val="12"/>
                <w:color w:val="auto"/>
              </w:rPr>
              <w:t>65</w:t>
            </w:r>
          </w:p>
        </w:tc>
      </w:tr>
    </w:tbl>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36"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March 31, 2019</w:t>
            </w: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December 31, 2018</w:t>
            </w:r>
          </w:p>
        </w:tc>
        <w:tc>
          <w:tcPr>
            <w:tcW w:w="880" w:type="dxa"/>
            <w:vAlign w:val="bottom"/>
            <w:tcBorders>
              <w:bottom w:val="single" w:sz="8" w:color="auto"/>
            </w:tcBorders>
          </w:tcPr>
          <w:p>
            <w:pPr>
              <w:spacing w:after="0"/>
              <w:rPr>
                <w:sz w:val="11"/>
                <w:szCs w:val="11"/>
                <w:color w:val="auto"/>
              </w:rPr>
            </w:pPr>
          </w:p>
        </w:tc>
      </w:tr>
      <w:tr>
        <w:trPr>
          <w:trHeight w:val="110"/>
        </w:trPr>
        <w:tc>
          <w:tcPr>
            <w:tcW w:w="5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center"/>
              <w:ind w:right="420"/>
              <w:spacing w:after="0" w:line="111" w:lineRule="exact"/>
              <w:rPr>
                <w:sz w:val="20"/>
                <w:szCs w:val="20"/>
                <w:color w:val="auto"/>
              </w:rPr>
            </w:pPr>
            <w:r>
              <w:rPr>
                <w:rFonts w:ascii="Arial" w:cs="Arial" w:eastAsia="Arial" w:hAnsi="Arial"/>
                <w:sz w:val="10"/>
                <w:szCs w:val="10"/>
                <w:b w:val="1"/>
                <w:bCs w:val="1"/>
                <w:color w:val="auto"/>
                <w:w w:val="97"/>
              </w:rPr>
              <w:t>Carrying</w:t>
            </w:r>
          </w:p>
        </w:tc>
        <w:tc>
          <w:tcPr>
            <w:tcW w:w="420" w:type="dxa"/>
            <w:vAlign w:val="bottom"/>
          </w:tcPr>
          <w:p>
            <w:pPr>
              <w:spacing w:after="0"/>
              <w:rPr>
                <w:sz w:val="9"/>
                <w:szCs w:val="9"/>
                <w:color w:val="auto"/>
              </w:rPr>
            </w:pPr>
          </w:p>
        </w:tc>
        <w:tc>
          <w:tcPr>
            <w:tcW w:w="1080" w:type="dxa"/>
            <w:vAlign w:val="bottom"/>
            <w:gridSpan w:val="2"/>
          </w:tcPr>
          <w:p>
            <w:pPr>
              <w:jc w:val="center"/>
              <w:ind w:right="540"/>
              <w:spacing w:after="0" w:line="111" w:lineRule="exact"/>
              <w:rPr>
                <w:sz w:val="20"/>
                <w:szCs w:val="20"/>
                <w:color w:val="auto"/>
              </w:rPr>
            </w:pPr>
            <w:r>
              <w:rPr>
                <w:rFonts w:ascii="Arial" w:cs="Arial" w:eastAsia="Arial" w:hAnsi="Arial"/>
                <w:sz w:val="10"/>
                <w:szCs w:val="10"/>
                <w:b w:val="1"/>
                <w:bCs w:val="1"/>
                <w:color w:val="auto"/>
                <w:w w:val="97"/>
              </w:rPr>
              <w:t>Fair</w:t>
            </w:r>
          </w:p>
        </w:tc>
        <w:tc>
          <w:tcPr>
            <w:tcW w:w="280" w:type="dxa"/>
            <w:vAlign w:val="bottom"/>
          </w:tcPr>
          <w:p>
            <w:pPr>
              <w:spacing w:after="0"/>
              <w:rPr>
                <w:sz w:val="9"/>
                <w:szCs w:val="9"/>
                <w:color w:val="auto"/>
              </w:rPr>
            </w:pPr>
          </w:p>
        </w:tc>
        <w:tc>
          <w:tcPr>
            <w:tcW w:w="1180" w:type="dxa"/>
            <w:vAlign w:val="bottom"/>
            <w:gridSpan w:val="2"/>
          </w:tcPr>
          <w:p>
            <w:pPr>
              <w:jc w:val="center"/>
              <w:ind w:right="380"/>
              <w:spacing w:after="0" w:line="111" w:lineRule="exact"/>
              <w:rPr>
                <w:sz w:val="20"/>
                <w:szCs w:val="20"/>
                <w:color w:val="auto"/>
              </w:rPr>
            </w:pPr>
            <w:r>
              <w:rPr>
                <w:rFonts w:ascii="Arial" w:cs="Arial" w:eastAsia="Arial" w:hAnsi="Arial"/>
                <w:sz w:val="10"/>
                <w:szCs w:val="10"/>
                <w:b w:val="1"/>
                <w:bCs w:val="1"/>
                <w:color w:val="auto"/>
                <w:w w:val="97"/>
              </w:rPr>
              <w:t>Carrying</w:t>
            </w:r>
          </w:p>
        </w:tc>
        <w:tc>
          <w:tcPr>
            <w:tcW w:w="480" w:type="dxa"/>
            <w:vAlign w:val="bottom"/>
          </w:tcPr>
          <w:p>
            <w:pPr>
              <w:spacing w:after="0"/>
              <w:rPr>
                <w:sz w:val="9"/>
                <w:szCs w:val="9"/>
                <w:color w:val="auto"/>
              </w:rPr>
            </w:pPr>
          </w:p>
        </w:tc>
        <w:tc>
          <w:tcPr>
            <w:tcW w:w="880" w:type="dxa"/>
            <w:vAlign w:val="bottom"/>
          </w:tcPr>
          <w:p>
            <w:pPr>
              <w:jc w:val="right"/>
              <w:ind w:right="526"/>
              <w:spacing w:after="0" w:line="111" w:lineRule="exact"/>
              <w:rPr>
                <w:sz w:val="20"/>
                <w:szCs w:val="20"/>
                <w:color w:val="auto"/>
              </w:rPr>
            </w:pPr>
            <w:r>
              <w:rPr>
                <w:rFonts w:ascii="Arial" w:cs="Arial" w:eastAsia="Arial" w:hAnsi="Arial"/>
                <w:sz w:val="10"/>
                <w:szCs w:val="10"/>
                <w:b w:val="1"/>
                <w:bCs w:val="1"/>
                <w:color w:val="auto"/>
              </w:rPr>
              <w:t>Fair</w:t>
            </w:r>
          </w:p>
        </w:tc>
      </w:tr>
      <w:tr>
        <w:trPr>
          <w:trHeight w:val="131"/>
        </w:trPr>
        <w:tc>
          <w:tcPr>
            <w:tcW w:w="5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Value</w:t>
            </w:r>
          </w:p>
        </w:tc>
        <w:tc>
          <w:tcPr>
            <w:tcW w:w="420" w:type="dxa"/>
            <w:vAlign w:val="bottom"/>
          </w:tcPr>
          <w:p>
            <w:pPr>
              <w:spacing w:after="0"/>
              <w:rPr>
                <w:sz w:val="11"/>
                <w:szCs w:val="11"/>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Value</w:t>
            </w:r>
          </w:p>
        </w:tc>
        <w:tc>
          <w:tcPr>
            <w:tcW w:w="280" w:type="dxa"/>
            <w:vAlign w:val="bottom"/>
          </w:tcPr>
          <w:p>
            <w:pPr>
              <w:spacing w:after="0"/>
              <w:rPr>
                <w:sz w:val="11"/>
                <w:szCs w:val="1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Value</w:t>
            </w:r>
          </w:p>
        </w:tc>
        <w:tc>
          <w:tcPr>
            <w:tcW w:w="480" w:type="dxa"/>
            <w:vAlign w:val="bottom"/>
          </w:tcPr>
          <w:p>
            <w:pPr>
              <w:spacing w:after="0"/>
              <w:rPr>
                <w:sz w:val="11"/>
                <w:szCs w:val="11"/>
                <w:color w:val="auto"/>
              </w:rPr>
            </w:pPr>
          </w:p>
        </w:tc>
        <w:tc>
          <w:tcPr>
            <w:tcW w:w="880" w:type="dxa"/>
            <w:vAlign w:val="bottom"/>
          </w:tcPr>
          <w:p>
            <w:pPr>
              <w:jc w:val="right"/>
              <w:ind w:right="486"/>
              <w:spacing w:after="0"/>
              <w:rPr>
                <w:sz w:val="20"/>
                <w:szCs w:val="20"/>
                <w:color w:val="auto"/>
              </w:rPr>
            </w:pPr>
            <w:r>
              <w:rPr>
                <w:rFonts w:ascii="Arial" w:cs="Arial" w:eastAsia="Arial" w:hAnsi="Arial"/>
                <w:sz w:val="10"/>
                <w:szCs w:val="10"/>
                <w:b w:val="1"/>
                <w:bCs w:val="1"/>
                <w:color w:val="auto"/>
              </w:rPr>
              <w:t>Value</w:t>
            </w:r>
          </w:p>
        </w:tc>
      </w:tr>
      <w:tr>
        <w:trPr>
          <w:trHeight w:val="16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176"/>
        </w:trPr>
        <w:tc>
          <w:tcPr>
            <w:tcW w:w="5620" w:type="dxa"/>
            <w:vAlign w:val="bottom"/>
          </w:tcPr>
          <w:p>
            <w:pPr>
              <w:ind w:left="20"/>
              <w:spacing w:after="0"/>
              <w:rPr>
                <w:sz w:val="20"/>
                <w:szCs w:val="20"/>
                <w:color w:val="auto"/>
              </w:rPr>
            </w:pPr>
            <w:r>
              <w:rPr>
                <w:rFonts w:ascii="Arial" w:cs="Arial" w:eastAsia="Arial" w:hAnsi="Arial"/>
                <w:sz w:val="12"/>
                <w:szCs w:val="12"/>
                <w:color w:val="auto"/>
              </w:rPr>
              <w:t>Long-term receivables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7"/>
              <w:spacing w:after="0"/>
              <w:rPr>
                <w:sz w:val="20"/>
                <w:szCs w:val="20"/>
                <w:color w:val="auto"/>
              </w:rPr>
            </w:pPr>
            <w:r>
              <w:rPr>
                <w:rFonts w:ascii="Arial" w:cs="Arial" w:eastAsia="Arial" w:hAnsi="Arial"/>
                <w:sz w:val="12"/>
                <w:szCs w:val="12"/>
                <w:color w:val="auto"/>
              </w:rPr>
              <w:t>343</w:t>
            </w:r>
          </w:p>
        </w:tc>
        <w:tc>
          <w:tcPr>
            <w:tcW w:w="120" w:type="dxa"/>
            <w:vAlign w:val="bottom"/>
          </w:tcPr>
          <w:p>
            <w:pPr>
              <w:spacing w:after="0"/>
              <w:rPr>
                <w:sz w:val="15"/>
                <w:szCs w:val="15"/>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6"/>
              <w:spacing w:after="0"/>
              <w:rPr>
                <w:sz w:val="20"/>
                <w:szCs w:val="20"/>
                <w:color w:val="auto"/>
              </w:rPr>
            </w:pPr>
            <w:r>
              <w:rPr>
                <w:rFonts w:ascii="Arial" w:cs="Arial" w:eastAsia="Arial" w:hAnsi="Arial"/>
                <w:sz w:val="12"/>
                <w:szCs w:val="12"/>
                <w:color w:val="auto"/>
              </w:rPr>
              <w:t>336</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7"/>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5"/>
                <w:szCs w:val="15"/>
                <w:color w:val="auto"/>
              </w:rPr>
            </w:pPr>
          </w:p>
        </w:tc>
        <w:tc>
          <w:tcPr>
            <w:tcW w:w="4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46"/>
              <w:spacing w:after="0"/>
              <w:rPr>
                <w:sz w:val="20"/>
                <w:szCs w:val="20"/>
                <w:color w:val="auto"/>
              </w:rPr>
            </w:pPr>
            <w:r>
              <w:rPr>
                <w:rFonts w:ascii="Arial" w:cs="Arial" w:eastAsia="Arial" w:hAnsi="Arial"/>
                <w:sz w:val="12"/>
                <w:szCs w:val="12"/>
                <w:color w:val="auto"/>
              </w:rPr>
              <w:t>329</w:t>
            </w:r>
          </w:p>
        </w:tc>
      </w:tr>
      <w:tr>
        <w:trPr>
          <w:trHeight w:val="185"/>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Long-term debt and related current maturities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7"/>
              <w:spacing w:after="0"/>
              <w:rPr>
                <w:sz w:val="20"/>
                <w:szCs w:val="20"/>
                <w:color w:val="auto"/>
              </w:rPr>
            </w:pPr>
            <w:r>
              <w:rPr>
                <w:rFonts w:ascii="Arial" w:cs="Arial" w:eastAsia="Arial" w:hAnsi="Arial"/>
                <w:sz w:val="12"/>
                <w:szCs w:val="12"/>
                <w:color w:val="auto"/>
              </w:rPr>
              <w:t>12,598</w:t>
            </w:r>
          </w:p>
        </w:tc>
        <w:tc>
          <w:tcPr>
            <w:tcW w:w="120" w:type="dxa"/>
            <w:vAlign w:val="bottom"/>
          </w:tcPr>
          <w:p>
            <w:pPr>
              <w:spacing w:after="0"/>
              <w:rPr>
                <w:sz w:val="14"/>
                <w:szCs w:val="1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6"/>
              <w:spacing w:after="0"/>
              <w:rPr>
                <w:sz w:val="20"/>
                <w:szCs w:val="20"/>
                <w:color w:val="auto"/>
              </w:rPr>
            </w:pPr>
            <w:r>
              <w:rPr>
                <w:rFonts w:ascii="Arial" w:cs="Arial" w:eastAsia="Arial" w:hAnsi="Arial"/>
                <w:sz w:val="12"/>
                <w:szCs w:val="12"/>
                <w:color w:val="auto"/>
              </w:rPr>
              <w:t>13,299</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7"/>
              <w:spacing w:after="0"/>
              <w:rPr>
                <w:sz w:val="20"/>
                <w:szCs w:val="20"/>
                <w:color w:val="auto"/>
              </w:rPr>
            </w:pPr>
            <w:r>
              <w:rPr>
                <w:rFonts w:ascii="Arial" w:cs="Arial" w:eastAsia="Arial" w:hAnsi="Arial"/>
                <w:sz w:val="12"/>
                <w:szCs w:val="12"/>
                <w:color w:val="auto"/>
              </w:rPr>
              <w:t>12,629</w:t>
            </w:r>
          </w:p>
        </w:tc>
        <w:tc>
          <w:tcPr>
            <w:tcW w:w="100" w:type="dxa"/>
            <w:vAlign w:val="bottom"/>
          </w:tcPr>
          <w:p>
            <w:pPr>
              <w:spacing w:after="0"/>
              <w:rPr>
                <w:sz w:val="14"/>
                <w:szCs w:val="14"/>
                <w:color w:val="auto"/>
              </w:rPr>
            </w:pPr>
          </w:p>
        </w:tc>
        <w:tc>
          <w:tcPr>
            <w:tcW w:w="4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46"/>
              <w:spacing w:after="0"/>
              <w:rPr>
                <w:sz w:val="20"/>
                <w:szCs w:val="20"/>
                <w:color w:val="auto"/>
              </w:rPr>
            </w:pPr>
            <w:r>
              <w:rPr>
                <w:rFonts w:ascii="Arial" w:cs="Arial" w:eastAsia="Arial" w:hAnsi="Arial"/>
                <w:sz w:val="12"/>
                <w:szCs w:val="12"/>
                <w:color w:val="auto"/>
              </w:rPr>
              <w:t>13,133</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the amounts on the Consolidated Balance Sheet related to cumulative basis adjustments for fair value hedges: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126" w:right="199" w:bottom="1440" w:gutter="0" w:footer="0" w:header="0"/>
        </w:sectPr>
      </w:pPr>
    </w:p>
    <w:bookmarkStart w:id="19" w:name="page20"/>
    <w:bookmarkEnd w:id="19"/>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tcPr>
          <w:p>
            <w:pPr>
              <w:jc w:val="center"/>
              <w:ind w:right="66"/>
              <w:spacing w:after="0"/>
              <w:rPr>
                <w:sz w:val="20"/>
                <w:szCs w:val="20"/>
                <w:color w:val="auto"/>
              </w:rPr>
            </w:pPr>
            <w:r>
              <w:rPr>
                <w:rFonts w:ascii="Arial" w:cs="Arial" w:eastAsia="Arial" w:hAnsi="Arial"/>
                <w:sz w:val="10"/>
                <w:szCs w:val="10"/>
                <w:b w:val="1"/>
                <w:bCs w:val="1"/>
                <w:color w:val="auto"/>
                <w:w w:val="95"/>
              </w:rPr>
              <w:t>Cumulative Amount of Fair Value Hedging Adjustment</w:t>
            </w:r>
          </w:p>
        </w:tc>
      </w:tr>
      <w:tr>
        <w:trPr>
          <w:trHeight w:val="131"/>
        </w:trPr>
        <w:tc>
          <w:tcPr>
            <w:tcW w:w="55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3"/>
          </w:tcPr>
          <w:p>
            <w:pPr>
              <w:jc w:val="right"/>
              <w:ind w:right="566"/>
              <w:spacing w:after="0"/>
              <w:rPr>
                <w:sz w:val="20"/>
                <w:szCs w:val="20"/>
                <w:color w:val="auto"/>
              </w:rPr>
            </w:pPr>
            <w:r>
              <w:rPr>
                <w:rFonts w:ascii="Arial" w:cs="Arial" w:eastAsia="Arial" w:hAnsi="Arial"/>
                <w:sz w:val="10"/>
                <w:szCs w:val="10"/>
                <w:b w:val="1"/>
                <w:bCs w:val="1"/>
                <w:color w:val="auto"/>
              </w:rPr>
              <w:t>Carrying Amount of the Hedged Item</w:t>
            </w:r>
          </w:p>
        </w:tc>
        <w:tc>
          <w:tcPr>
            <w:tcW w:w="24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3"/>
          </w:tcPr>
          <w:p>
            <w:pPr>
              <w:jc w:val="center"/>
              <w:ind w:right="66"/>
              <w:spacing w:after="0"/>
              <w:rPr>
                <w:sz w:val="20"/>
                <w:szCs w:val="20"/>
                <w:color w:val="auto"/>
              </w:rPr>
            </w:pPr>
            <w:r>
              <w:rPr>
                <w:rFonts w:ascii="Arial" w:cs="Arial" w:eastAsia="Arial" w:hAnsi="Arial"/>
                <w:sz w:val="10"/>
                <w:szCs w:val="10"/>
                <w:b w:val="1"/>
                <w:bCs w:val="1"/>
                <w:color w:val="auto"/>
                <w:w w:val="96"/>
              </w:rPr>
              <w:t>Included in the Carrying Amount of the Hedged Item</w:t>
            </w:r>
          </w:p>
        </w:tc>
      </w:tr>
      <w:tr>
        <w:trPr>
          <w:trHeight w:val="169"/>
        </w:trPr>
        <w:tc>
          <w:tcPr>
            <w:tcW w:w="5520" w:type="dxa"/>
            <w:vAlign w:val="bottom"/>
            <w:tcBorders>
              <w:bottom w:val="single" w:sz="8" w:color="auto"/>
            </w:tcBorders>
          </w:tcPr>
          <w:p>
            <w:pPr>
              <w:ind w:left="1500"/>
              <w:spacing w:after="0"/>
              <w:rPr>
                <w:sz w:val="20"/>
                <w:szCs w:val="20"/>
                <w:color w:val="auto"/>
              </w:rPr>
            </w:pPr>
            <w:r>
              <w:rPr>
                <w:rFonts w:ascii="Arial" w:cs="Arial" w:eastAsia="Arial" w:hAnsi="Arial"/>
                <w:sz w:val="10"/>
                <w:szCs w:val="10"/>
                <w:b w:val="1"/>
                <w:bCs w:val="1"/>
                <w:color w:val="auto"/>
              </w:rPr>
              <w:t>Line in the Consolidated Balance Sheet of Hedged Item</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March 31, 2019</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26"/>
              <w:spacing w:after="0"/>
              <w:rPr>
                <w:sz w:val="20"/>
                <w:szCs w:val="20"/>
                <w:color w:val="auto"/>
              </w:rPr>
            </w:pPr>
            <w:r>
              <w:rPr>
                <w:rFonts w:ascii="Arial" w:cs="Arial" w:eastAsia="Arial" w:hAnsi="Arial"/>
                <w:sz w:val="10"/>
                <w:szCs w:val="10"/>
                <w:b w:val="1"/>
                <w:bCs w:val="1"/>
                <w:color w:val="auto"/>
              </w:rPr>
              <w:t>December 31, 2018</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rPr>
              <w:t>March 31, 2019</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06"/>
              <w:spacing w:after="0"/>
              <w:rPr>
                <w:sz w:val="20"/>
                <w:szCs w:val="20"/>
                <w:color w:val="auto"/>
              </w:rPr>
            </w:pPr>
            <w:r>
              <w:rPr>
                <w:rFonts w:ascii="Arial" w:cs="Arial" w:eastAsia="Arial" w:hAnsi="Arial"/>
                <w:sz w:val="10"/>
                <w:szCs w:val="10"/>
                <w:b w:val="1"/>
                <w:bCs w:val="1"/>
                <w:color w:val="auto"/>
              </w:rPr>
              <w:t>December 31, 2018</w:t>
            </w:r>
          </w:p>
        </w:tc>
      </w:tr>
      <w:tr>
        <w:trPr>
          <w:trHeight w:val="173"/>
        </w:trPr>
        <w:tc>
          <w:tcPr>
            <w:tcW w:w="5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Long-term debt</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2"/>
                <w:szCs w:val="12"/>
                <w:color w:val="auto"/>
              </w:rPr>
              <w:t>2,579</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86"/>
              <w:spacing w:after="0"/>
              <w:rPr>
                <w:sz w:val="20"/>
                <w:szCs w:val="20"/>
                <w:color w:val="auto"/>
              </w:rPr>
            </w:pPr>
            <w:r>
              <w:rPr>
                <w:rFonts w:ascii="Arial" w:cs="Arial" w:eastAsia="Arial" w:hAnsi="Arial"/>
                <w:sz w:val="12"/>
                <w:szCs w:val="12"/>
                <w:color w:val="auto"/>
              </w:rPr>
              <w:t>2,555</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49"/>
              <w:spacing w:after="0"/>
              <w:rPr>
                <w:sz w:val="20"/>
                <w:szCs w:val="20"/>
                <w:color w:val="auto"/>
              </w:rPr>
            </w:pPr>
            <w:r>
              <w:rPr>
                <w:rFonts w:ascii="Arial" w:cs="Arial" w:eastAsia="Arial" w:hAnsi="Arial"/>
                <w:sz w:val="12"/>
                <w:szCs w:val="12"/>
                <w:color w:val="auto"/>
              </w:rPr>
              <w:t>(21)</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(45)</w:t>
            </w:r>
          </w:p>
        </w:tc>
      </w:tr>
    </w:tbl>
    <w:p>
      <w:pPr>
        <w:spacing w:after="0" w:line="1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13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Interest rate swap agreements are designated as hedge relationships with gains or losses on the derivative recognized in Interest and other financial charges offsetting the gains and losses on the underlying debt being hedged. For the three months ended March 31, 2019, we recognized $24 million of gains in earnings on interest rate swap agreements. For the three months ended March 31, 2018, we recognized $46 million of losses in earnings on interest rate swap agreements. Gains and losses are fully offset by losses and gains on the underlying debt being hedged.</w:t>
      </w:r>
    </w:p>
    <w:p>
      <w:pPr>
        <w:spacing w:after="0" w:line="13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We economically hedge our exposure to changes in foreign exchange rates primarily with forward contracts. These contracts are marked-to-market with the resulting gains and losses recognized in earnings offsetting the gains and losses on the non-functional currency denominated monetary assets and liabilities being hedged. For the three months ended March 31, 2019 and 2018, we recognized $47 million and $129 million of expense in Other (income) expense.</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summarize the location and impact to the Consolidated Statement of Operations related to fair value and cash flow hedging relationships:</w:t>
      </w:r>
    </w:p>
    <w:p>
      <w:pPr>
        <w:spacing w:after="0" w:line="394" w:lineRule="exact"/>
        <w:rPr>
          <w:sz w:val="20"/>
          <w:szCs w:val="20"/>
          <w:color w:val="auto"/>
        </w:rPr>
      </w:pPr>
    </w:p>
    <w:p>
      <w:pPr>
        <w:jc w:val="center"/>
        <w:ind w:left="5760"/>
        <w:spacing w:after="0"/>
        <w:rPr>
          <w:sz w:val="20"/>
          <w:szCs w:val="20"/>
          <w:color w:val="auto"/>
        </w:rPr>
      </w:pPr>
      <w:r>
        <w:rPr>
          <w:rFonts w:ascii="Arial" w:cs="Arial" w:eastAsia="Arial" w:hAnsi="Arial"/>
          <w:sz w:val="10"/>
          <w:szCs w:val="10"/>
          <w:b w:val="1"/>
          <w:bCs w:val="1"/>
          <w:color w:val="auto"/>
        </w:rPr>
        <w:t>Three Months Ended</w:t>
      </w:r>
    </w:p>
    <w:p>
      <w:pPr>
        <w:spacing w:after="0" w:line="5" w:lineRule="exact"/>
        <w:rPr>
          <w:sz w:val="20"/>
          <w:szCs w:val="20"/>
          <w:color w:val="auto"/>
        </w:rPr>
      </w:pPr>
    </w:p>
    <w:p>
      <w:pPr>
        <w:jc w:val="center"/>
        <w:ind w:left="5760"/>
        <w:spacing w:after="0"/>
        <w:rPr>
          <w:sz w:val="20"/>
          <w:szCs w:val="20"/>
          <w:color w:val="auto"/>
        </w:rPr>
      </w:pPr>
      <w:r>
        <w:rPr>
          <w:rFonts w:ascii="Arial" w:cs="Arial" w:eastAsia="Arial" w:hAnsi="Arial"/>
          <w:sz w:val="10"/>
          <w:szCs w:val="10"/>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5080</wp:posOffset>
            </wp:positionV>
            <wp:extent cx="365442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54425"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Other (Income)</w:t>
            </w:r>
          </w:p>
        </w:tc>
        <w:tc>
          <w:tcPr>
            <w:tcW w:w="120" w:type="dxa"/>
            <w:vAlign w:val="bottom"/>
          </w:tcPr>
          <w:p>
            <w:pPr>
              <w:spacing w:after="0"/>
              <w:rPr>
                <w:sz w:val="10"/>
                <w:szCs w:val="10"/>
                <w:color w:val="auto"/>
              </w:rPr>
            </w:pPr>
          </w:p>
        </w:tc>
        <w:tc>
          <w:tcPr>
            <w:tcW w:w="1020" w:type="dxa"/>
            <w:vAlign w:val="bottom"/>
          </w:tcPr>
          <w:p>
            <w:pPr>
              <w:jc w:val="right"/>
              <w:ind w:right="103"/>
              <w:spacing w:after="0"/>
              <w:rPr>
                <w:sz w:val="20"/>
                <w:szCs w:val="20"/>
                <w:color w:val="auto"/>
              </w:rPr>
            </w:pPr>
            <w:r>
              <w:rPr>
                <w:rFonts w:ascii="Arial" w:cs="Arial" w:eastAsia="Arial" w:hAnsi="Arial"/>
                <w:sz w:val="10"/>
                <w:szCs w:val="10"/>
                <w:b w:val="1"/>
                <w:bCs w:val="1"/>
                <w:color w:val="auto"/>
                <w:w w:val="97"/>
              </w:rPr>
              <w:t>Interest and Other</w:t>
            </w:r>
          </w:p>
        </w:tc>
      </w:tr>
      <w:tr>
        <w:trPr>
          <w:trHeight w:val="131"/>
        </w:trPr>
        <w:tc>
          <w:tcPr>
            <w:tcW w:w="57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Revenue</w:t>
            </w:r>
          </w:p>
        </w:tc>
        <w:tc>
          <w:tcPr>
            <w:tcW w:w="100" w:type="dxa"/>
            <w:vAlign w:val="bottom"/>
          </w:tcPr>
          <w:p>
            <w:pPr>
              <w:spacing w:after="0"/>
              <w:rPr>
                <w:sz w:val="11"/>
                <w:szCs w:val="1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Cost of Products Sold</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SG&amp;A</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rPr>
              <w:t>Expense</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w w:val="97"/>
              </w:rPr>
              <w:t>Financial Charges</w:t>
            </w:r>
          </w:p>
        </w:tc>
      </w:tr>
      <w:tr>
        <w:trPr>
          <w:trHeight w:val="160"/>
        </w:trPr>
        <w:tc>
          <w:tcPr>
            <w:tcW w:w="5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8,884</w:t>
            </w:r>
          </w:p>
        </w:tc>
        <w:tc>
          <w:tcPr>
            <w:tcW w:w="100" w:type="dxa"/>
            <w:vAlign w:val="bottom"/>
          </w:tcPr>
          <w:p>
            <w:pPr>
              <w:spacing w:after="0"/>
              <w:rPr>
                <w:sz w:val="13"/>
                <w:szCs w:val="13"/>
                <w:color w:val="auto"/>
              </w:rPr>
            </w:pPr>
          </w:p>
        </w:tc>
        <w:tc>
          <w:tcPr>
            <w:tcW w:w="420" w:type="dxa"/>
            <w:vAlign w:val="bottom"/>
          </w:tcPr>
          <w:p>
            <w:pPr>
              <w:jc w:val="right"/>
              <w:ind w:right="266"/>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4,622</w:t>
            </w:r>
          </w:p>
        </w:tc>
        <w:tc>
          <w:tcPr>
            <w:tcW w:w="100" w:type="dxa"/>
            <w:vAlign w:val="bottom"/>
          </w:tcPr>
          <w:p>
            <w:pPr>
              <w:spacing w:after="0"/>
              <w:rPr>
                <w:sz w:val="13"/>
                <w:szCs w:val="13"/>
                <w:color w:val="auto"/>
              </w:rPr>
            </w:pPr>
          </w:p>
        </w:tc>
        <w:tc>
          <w:tcPr>
            <w:tcW w:w="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1,363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12"/>
                <w:szCs w:val="12"/>
                <w:color w:val="auto"/>
              </w:rPr>
              <w:t>(285)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85</w:t>
            </w:r>
          </w:p>
        </w:tc>
      </w:tr>
      <w:tr>
        <w:trPr>
          <w:trHeight w:val="185"/>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Gain or (loss) on cash flow hedges: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6"/>
        </w:trPr>
        <w:tc>
          <w:tcPr>
            <w:tcW w:w="5920" w:type="dxa"/>
            <w:vAlign w:val="bottom"/>
            <w:gridSpan w:val="2"/>
          </w:tcPr>
          <w:p>
            <w:pPr>
              <w:ind w:left="120"/>
              <w:spacing w:after="0"/>
              <w:rPr>
                <w:sz w:val="20"/>
                <w:szCs w:val="20"/>
                <w:color w:val="auto"/>
              </w:rPr>
            </w:pPr>
            <w:r>
              <w:rPr>
                <w:rFonts w:ascii="Arial" w:cs="Arial" w:eastAsia="Arial" w:hAnsi="Arial"/>
                <w:sz w:val="12"/>
                <w:szCs w:val="12"/>
                <w:color w:val="auto"/>
              </w:rPr>
              <w:t>Foreign Currency Exchange Contracts: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59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Amount reclassified from accumulated other comprehensive income into income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176"/>
        </w:trPr>
        <w:tc>
          <w:tcPr>
            <w:tcW w:w="5920" w:type="dxa"/>
            <w:vAlign w:val="bottom"/>
            <w:gridSpan w:val="2"/>
          </w:tcPr>
          <w:p>
            <w:pPr>
              <w:ind w:left="340"/>
              <w:spacing w:after="0"/>
              <w:rPr>
                <w:sz w:val="20"/>
                <w:szCs w:val="20"/>
                <w:color w:val="auto"/>
              </w:rPr>
            </w:pPr>
            <w:r>
              <w:rPr>
                <w:rFonts w:ascii="Arial" w:cs="Arial" w:eastAsia="Arial" w:hAnsi="Arial"/>
                <w:sz w:val="12"/>
                <w:szCs w:val="12"/>
                <w:color w:val="auto"/>
              </w:rPr>
              <w:t>Amount excluded from effectiveness testing recognized in earnings using an amortization approach</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5"/>
                <w:szCs w:val="15"/>
                <w:color w:val="auto"/>
              </w:rPr>
            </w:pPr>
          </w:p>
        </w:tc>
        <w:tc>
          <w:tcPr>
            <w:tcW w:w="720" w:type="dxa"/>
            <w:vAlign w:val="bottom"/>
          </w:tcPr>
          <w:p>
            <w:pPr>
              <w:jc w:val="right"/>
              <w:ind w:right="4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00" w:type="dxa"/>
            <w:vAlign w:val="bottom"/>
          </w:tcPr>
          <w:p>
            <w:pPr>
              <w:jc w:val="right"/>
              <w:ind w:right="63"/>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w:t>
            </w:r>
          </w:p>
        </w:tc>
      </w:tr>
      <w:tr>
        <w:trPr>
          <w:trHeight w:val="185"/>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Gain or (loss) on fair value hedges: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6"/>
        </w:trPr>
        <w:tc>
          <w:tcPr>
            <w:tcW w:w="5920" w:type="dxa"/>
            <w:vAlign w:val="bottom"/>
            <w:gridSpan w:val="2"/>
          </w:tcPr>
          <w:p>
            <w:pPr>
              <w:ind w:left="120"/>
              <w:spacing w:after="0"/>
              <w:rPr>
                <w:sz w:val="20"/>
                <w:szCs w:val="20"/>
                <w:color w:val="auto"/>
              </w:rPr>
            </w:pPr>
            <w:r>
              <w:rPr>
                <w:rFonts w:ascii="Arial" w:cs="Arial" w:eastAsia="Arial" w:hAnsi="Arial"/>
                <w:sz w:val="12"/>
                <w:szCs w:val="12"/>
                <w:color w:val="auto"/>
              </w:rPr>
              <w:t>Interest Rate Swap Agreements: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59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Hedged Items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(24)</w:t>
            </w:r>
          </w:p>
        </w:tc>
      </w:tr>
      <w:tr>
        <w:trPr>
          <w:trHeight w:val="171"/>
        </w:trPr>
        <w:tc>
          <w:tcPr>
            <w:tcW w:w="5920" w:type="dxa"/>
            <w:vAlign w:val="bottom"/>
            <w:gridSpan w:val="2"/>
          </w:tcPr>
          <w:p>
            <w:pPr>
              <w:ind w:left="340"/>
              <w:spacing w:after="0"/>
              <w:rPr>
                <w:sz w:val="20"/>
                <w:szCs w:val="20"/>
                <w:color w:val="auto"/>
              </w:rPr>
            </w:pPr>
            <w:r>
              <w:rPr>
                <w:rFonts w:ascii="Arial" w:cs="Arial" w:eastAsia="Arial" w:hAnsi="Arial"/>
                <w:sz w:val="12"/>
                <w:szCs w:val="12"/>
                <w:color w:val="auto"/>
              </w:rPr>
              <w:t>Derivatives designated as hedges</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24</w:t>
            </w:r>
          </w:p>
        </w:tc>
      </w:tr>
      <w:tr>
        <w:trPr>
          <w:trHeight w:val="459"/>
        </w:trPr>
        <w:tc>
          <w:tcPr>
            <w:tcW w:w="5920" w:type="dxa"/>
            <w:vAlign w:val="bottom"/>
            <w:gridSpan w:val="2"/>
          </w:tcPr>
          <w:p>
            <w:pPr>
              <w:jc w:val="right"/>
              <w:ind w:right="120"/>
              <w:spacing w:after="0"/>
              <w:rPr>
                <w:sz w:val="20"/>
                <w:szCs w:val="20"/>
                <w:color w:val="auto"/>
              </w:rPr>
            </w:pPr>
            <w:r>
              <w:rPr>
                <w:rFonts w:ascii="Arial" w:cs="Arial" w:eastAsia="Arial" w:hAnsi="Arial"/>
                <w:sz w:val="12"/>
                <w:szCs w:val="12"/>
                <w:color w:val="auto"/>
              </w:rPr>
              <w:t>20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80"/>
          </w:cols>
          <w:pgMar w:left="220" w:top="125" w:right="19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4"/>
          </w:tcPr>
          <w:p>
            <w:pPr>
              <w:jc w:val="center"/>
              <w:spacing w:after="0"/>
              <w:rPr>
                <w:sz w:val="20"/>
                <w:szCs w:val="20"/>
                <w:color w:val="auto"/>
              </w:rPr>
            </w:pPr>
            <w:r>
              <w:rPr>
                <w:rFonts w:ascii="Arial" w:cs="Arial" w:eastAsia="Arial" w:hAnsi="Arial"/>
                <w:sz w:val="10"/>
                <w:szCs w:val="10"/>
                <w:b w:val="1"/>
                <w:bCs w:val="1"/>
                <w:color w:val="auto"/>
                <w:w w:val="94"/>
              </w:rPr>
              <w:t>Three Months Ended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31"/>
        </w:trPr>
        <w:tc>
          <w:tcPr>
            <w:tcW w:w="5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center"/>
              <w:ind w:right="89"/>
              <w:spacing w:after="0"/>
              <w:rPr>
                <w:sz w:val="20"/>
                <w:szCs w:val="20"/>
                <w:color w:val="auto"/>
              </w:rPr>
            </w:pPr>
            <w:r>
              <w:rPr>
                <w:rFonts w:ascii="Arial" w:cs="Arial" w:eastAsia="Arial" w:hAnsi="Arial"/>
                <w:sz w:val="10"/>
                <w:szCs w:val="10"/>
                <w:b w:val="1"/>
                <w:bCs w:val="1"/>
                <w:color w:val="auto"/>
                <w:w w:val="95"/>
              </w:rPr>
              <w:t>March 31, 2018</w:t>
            </w: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10"/>
        </w:trPr>
        <w:tc>
          <w:tcPr>
            <w:tcW w:w="5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5"/>
          </w:tcPr>
          <w:p>
            <w:pPr>
              <w:ind w:left="160"/>
              <w:spacing w:after="0" w:line="111" w:lineRule="exact"/>
              <w:rPr>
                <w:sz w:val="20"/>
                <w:szCs w:val="20"/>
                <w:color w:val="auto"/>
              </w:rPr>
            </w:pPr>
            <w:r>
              <w:rPr>
                <w:rFonts w:ascii="Arial" w:cs="Arial" w:eastAsia="Arial" w:hAnsi="Arial"/>
                <w:sz w:val="10"/>
                <w:szCs w:val="10"/>
                <w:b w:val="1"/>
                <w:bCs w:val="1"/>
                <w:color w:val="auto"/>
              </w:rPr>
              <w:t>Other (Income)</w:t>
            </w:r>
          </w:p>
        </w:tc>
        <w:tc>
          <w:tcPr>
            <w:tcW w:w="120" w:type="dxa"/>
            <w:vAlign w:val="bottom"/>
          </w:tcPr>
          <w:p>
            <w:pPr>
              <w:spacing w:after="0"/>
              <w:rPr>
                <w:sz w:val="9"/>
                <w:szCs w:val="9"/>
                <w:color w:val="auto"/>
              </w:rPr>
            </w:pPr>
          </w:p>
        </w:tc>
        <w:tc>
          <w:tcPr>
            <w:tcW w:w="1020" w:type="dxa"/>
            <w:vAlign w:val="bottom"/>
          </w:tcPr>
          <w:p>
            <w:pPr>
              <w:jc w:val="right"/>
              <w:ind w:right="103"/>
              <w:spacing w:after="0" w:line="111" w:lineRule="exact"/>
              <w:rPr>
                <w:sz w:val="20"/>
                <w:szCs w:val="20"/>
                <w:color w:val="auto"/>
              </w:rPr>
            </w:pPr>
            <w:r>
              <w:rPr>
                <w:rFonts w:ascii="Arial" w:cs="Arial" w:eastAsia="Arial" w:hAnsi="Arial"/>
                <w:sz w:val="10"/>
                <w:szCs w:val="10"/>
                <w:b w:val="1"/>
                <w:bCs w:val="1"/>
                <w:color w:val="auto"/>
                <w:w w:val="97"/>
              </w:rPr>
              <w:t>Interest and Other</w:t>
            </w:r>
          </w:p>
        </w:tc>
      </w:tr>
      <w:tr>
        <w:trPr>
          <w:trHeight w:val="131"/>
        </w:trPr>
        <w:tc>
          <w:tcPr>
            <w:tcW w:w="5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Revenue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Cost of Products Sold</w:t>
            </w: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49"/>
              <w:spacing w:after="0"/>
              <w:rPr>
                <w:sz w:val="20"/>
                <w:szCs w:val="20"/>
                <w:color w:val="auto"/>
              </w:rPr>
            </w:pPr>
            <w:r>
              <w:rPr>
                <w:rFonts w:ascii="Arial" w:cs="Arial" w:eastAsia="Arial" w:hAnsi="Arial"/>
                <w:sz w:val="10"/>
                <w:szCs w:val="10"/>
                <w:b w:val="1"/>
                <w:bCs w:val="1"/>
                <w:color w:val="auto"/>
                <w:w w:val="96"/>
              </w:rPr>
              <w:t>SG&amp;A</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Expense</w:t>
            </w: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w w:val="97"/>
              </w:rPr>
              <w:t>Financial Charges</w:t>
            </w:r>
          </w:p>
        </w:tc>
      </w:tr>
      <w:tr>
        <w:trPr>
          <w:trHeight w:val="160"/>
        </w:trPr>
        <w:tc>
          <w:tcPr>
            <w:tcW w:w="5160" w:type="dxa"/>
            <w:vAlign w:val="bottom"/>
          </w:tcPr>
          <w:p>
            <w:pPr>
              <w:spacing w:after="0"/>
              <w:rPr>
                <w:sz w:val="13"/>
                <w:szCs w:val="13"/>
                <w:color w:val="auto"/>
              </w:rPr>
            </w:pPr>
          </w:p>
        </w:tc>
        <w:tc>
          <w:tcPr>
            <w:tcW w:w="1040" w:type="dxa"/>
            <w:vAlign w:val="bottom"/>
            <w:gridSpan w:val="2"/>
          </w:tcPr>
          <w:p>
            <w:pPr>
              <w:jc w:val="right"/>
              <w:ind w:right="35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10,392</w:t>
            </w:r>
          </w:p>
        </w:tc>
        <w:tc>
          <w:tcPr>
            <w:tcW w:w="80" w:type="dxa"/>
            <w:vAlign w:val="bottom"/>
          </w:tcPr>
          <w:p>
            <w:pPr>
              <w:spacing w:after="0"/>
              <w:rPr>
                <w:sz w:val="13"/>
                <w:szCs w:val="13"/>
                <w:color w:val="auto"/>
              </w:rPr>
            </w:pPr>
          </w:p>
        </w:tc>
        <w:tc>
          <w:tcPr>
            <w:tcW w:w="320" w:type="dxa"/>
            <w:vAlign w:val="bottom"/>
            <w:gridSpan w:val="3"/>
          </w:tcPr>
          <w:p>
            <w:pPr>
              <w:jc w:val="right"/>
              <w:ind w:right="7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5,905</w:t>
            </w:r>
          </w:p>
        </w:tc>
        <w:tc>
          <w:tcPr>
            <w:tcW w:w="320" w:type="dxa"/>
            <w:vAlign w:val="bottom"/>
            <w:gridSpan w:val="3"/>
          </w:tcPr>
          <w:p>
            <w:pPr>
              <w:jc w:val="right"/>
              <w:ind w:right="12"/>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ind w:right="49"/>
              <w:spacing w:after="0"/>
              <w:rPr>
                <w:sz w:val="20"/>
                <w:szCs w:val="20"/>
                <w:color w:val="auto"/>
              </w:rPr>
            </w:pPr>
            <w:r>
              <w:rPr>
                <w:rFonts w:ascii="Arial" w:cs="Arial" w:eastAsia="Arial" w:hAnsi="Arial"/>
                <w:sz w:val="12"/>
                <w:szCs w:val="12"/>
                <w:color w:val="auto"/>
              </w:rPr>
              <w:t>1,475</w:t>
            </w:r>
          </w:p>
        </w:tc>
        <w:tc>
          <w:tcPr>
            <w:tcW w:w="3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2"/>
                <w:szCs w:val="12"/>
                <w:color w:val="auto"/>
              </w:rPr>
              <w:t>(268)</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83</w:t>
            </w:r>
          </w:p>
        </w:tc>
      </w:tr>
      <w:tr>
        <w:trPr>
          <w:trHeight w:val="185"/>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Gain or (loss) on cash flow hedges:</w:t>
            </w: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6"/>
        </w:trPr>
        <w:tc>
          <w:tcPr>
            <w:tcW w:w="5160" w:type="dxa"/>
            <w:vAlign w:val="bottom"/>
          </w:tcPr>
          <w:p>
            <w:pPr>
              <w:ind w:left="120"/>
              <w:spacing w:after="0"/>
              <w:rPr>
                <w:sz w:val="20"/>
                <w:szCs w:val="20"/>
                <w:color w:val="auto"/>
              </w:rPr>
            </w:pPr>
            <w:r>
              <w:rPr>
                <w:rFonts w:ascii="Arial" w:cs="Arial" w:eastAsia="Arial" w:hAnsi="Arial"/>
                <w:sz w:val="12"/>
                <w:szCs w:val="12"/>
                <w:color w:val="auto"/>
              </w:rPr>
              <w:t>Foreign Currency Exchange Contracts: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51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Amount reclassified from accumulated other comprehensive income into income</w:t>
            </w: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49"/>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176"/>
        </w:trPr>
        <w:tc>
          <w:tcPr>
            <w:tcW w:w="5160" w:type="dxa"/>
            <w:vAlign w:val="bottom"/>
          </w:tcPr>
          <w:p>
            <w:pPr>
              <w:ind w:left="20"/>
              <w:spacing w:after="0"/>
              <w:rPr>
                <w:sz w:val="20"/>
                <w:szCs w:val="20"/>
                <w:color w:val="auto"/>
              </w:rPr>
            </w:pPr>
            <w:r>
              <w:rPr>
                <w:rFonts w:ascii="Arial" w:cs="Arial" w:eastAsia="Arial" w:hAnsi="Arial"/>
                <w:sz w:val="12"/>
                <w:szCs w:val="12"/>
                <w:b w:val="1"/>
                <w:bCs w:val="1"/>
                <w:color w:val="auto"/>
              </w:rPr>
              <w:t>Gain or (loss) on fair value hedges: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5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Rate Swap Agreements:</w:t>
            </w: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6"/>
        </w:trPr>
        <w:tc>
          <w:tcPr>
            <w:tcW w:w="5160" w:type="dxa"/>
            <w:vAlign w:val="bottom"/>
          </w:tcPr>
          <w:p>
            <w:pPr>
              <w:ind w:left="340"/>
              <w:spacing w:after="0"/>
              <w:rPr>
                <w:sz w:val="20"/>
                <w:szCs w:val="20"/>
                <w:color w:val="auto"/>
              </w:rPr>
            </w:pPr>
            <w:r>
              <w:rPr>
                <w:rFonts w:ascii="Arial" w:cs="Arial" w:eastAsia="Arial" w:hAnsi="Arial"/>
                <w:sz w:val="12"/>
                <w:szCs w:val="12"/>
                <w:color w:val="auto"/>
              </w:rPr>
              <w:t>Hedged Items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46</w:t>
            </w:r>
          </w:p>
        </w:tc>
      </w:tr>
      <w:tr>
        <w:trPr>
          <w:trHeight w:val="185"/>
        </w:trPr>
        <w:tc>
          <w:tcPr>
            <w:tcW w:w="5160" w:type="dxa"/>
            <w:vAlign w:val="bottom"/>
            <w:shd w:val="clear" w:color="auto" w:fill="CCEEFF"/>
          </w:tcPr>
          <w:p>
            <w:pPr>
              <w:ind w:left="340"/>
              <w:spacing w:after="0"/>
              <w:rPr>
                <w:sz w:val="20"/>
                <w:szCs w:val="20"/>
                <w:color w:val="auto"/>
              </w:rPr>
            </w:pPr>
            <w:r>
              <w:rPr>
                <w:rFonts w:ascii="Arial" w:cs="Arial" w:eastAsia="Arial" w:hAnsi="Arial"/>
                <w:sz w:val="12"/>
                <w:szCs w:val="12"/>
                <w:color w:val="auto"/>
              </w:rPr>
              <w:t>Derivatives designated as hedges</w:t>
            </w: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(46)</w:t>
            </w:r>
          </w:p>
        </w:tc>
      </w:tr>
      <w:tr>
        <w:trPr>
          <w:trHeight w:val="432"/>
        </w:trPr>
        <w:tc>
          <w:tcPr>
            <w:tcW w:w="8240" w:type="dxa"/>
            <w:vAlign w:val="bottom"/>
            <w:gridSpan w:val="12"/>
          </w:tcPr>
          <w:p>
            <w:pPr>
              <w:spacing w:after="0"/>
              <w:rPr>
                <w:sz w:val="20"/>
                <w:szCs w:val="20"/>
                <w:color w:val="auto"/>
              </w:rPr>
            </w:pPr>
            <w:r>
              <w:rPr>
                <w:rFonts w:ascii="Arial" w:cs="Arial" w:eastAsia="Arial" w:hAnsi="Arial"/>
                <w:sz w:val="12"/>
                <w:szCs w:val="12"/>
                <w:color w:val="auto"/>
              </w:rPr>
              <w:t>The following table summarizes the amounts of gain or (loss) on net investment hedges recognized in Accumulated other comprehensive income (loss):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1"/>
        </w:trPr>
        <w:tc>
          <w:tcPr>
            <w:tcW w:w="5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5"/>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1020" w:type="dxa"/>
            <w:vAlign w:val="bottom"/>
          </w:tcPr>
          <w:p>
            <w:pPr>
              <w:spacing w:after="0"/>
              <w:rPr>
                <w:sz w:val="24"/>
                <w:szCs w:val="24"/>
                <w:color w:val="auto"/>
              </w:rPr>
            </w:pPr>
          </w:p>
        </w:tc>
      </w:tr>
      <w:tr>
        <w:trPr>
          <w:trHeight w:val="127"/>
        </w:trPr>
        <w:tc>
          <w:tcPr>
            <w:tcW w:w="5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4"/>
          </w:tcPr>
          <w:p>
            <w:pPr>
              <w:jc w:val="center"/>
              <w:ind w:left="23"/>
              <w:spacing w:after="0"/>
              <w:rPr>
                <w:sz w:val="20"/>
                <w:szCs w:val="20"/>
                <w:color w:val="auto"/>
              </w:rPr>
            </w:pPr>
            <w:r>
              <w:rPr>
                <w:rFonts w:ascii="Arial" w:cs="Arial" w:eastAsia="Arial" w:hAnsi="Arial"/>
                <w:sz w:val="10"/>
                <w:szCs w:val="10"/>
                <w:b w:val="1"/>
                <w:bCs w:val="1"/>
                <w:color w:val="auto"/>
                <w:w w:val="95"/>
              </w:rPr>
              <w:t>March 31,</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8"/>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Derivatives Net Investment Hedging Relationships</w:t>
            </w:r>
          </w:p>
        </w:tc>
        <w:tc>
          <w:tcPr>
            <w:tcW w:w="5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w w:val="98"/>
              </w:rPr>
              <w:t>2019</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rPr>
              <w:t>2018</w:t>
            </w:r>
          </w:p>
        </w:tc>
      </w:tr>
      <w:tr>
        <w:trPr>
          <w:trHeight w:val="160"/>
        </w:trPr>
        <w:tc>
          <w:tcPr>
            <w:tcW w:w="5160" w:type="dxa"/>
            <w:vAlign w:val="bottom"/>
          </w:tcPr>
          <w:p>
            <w:pPr>
              <w:ind w:left="20"/>
              <w:spacing w:after="0"/>
              <w:rPr>
                <w:sz w:val="20"/>
                <w:szCs w:val="20"/>
                <w:color w:val="auto"/>
              </w:rPr>
            </w:pPr>
            <w:r>
              <w:rPr>
                <w:rFonts w:ascii="Arial" w:cs="Arial" w:eastAsia="Arial" w:hAnsi="Arial"/>
                <w:sz w:val="12"/>
                <w:szCs w:val="12"/>
                <w:color w:val="auto"/>
              </w:rPr>
              <w:t>Euro-denominated long-term debt</w:t>
            </w: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ind w:right="589"/>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68</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Arial" w:cs="Arial" w:eastAsia="Arial" w:hAnsi="Arial"/>
                <w:sz w:val="12"/>
                <w:szCs w:val="12"/>
                <w:color w:val="auto"/>
              </w:rPr>
              <w:t>(82)</w:t>
            </w:r>
          </w:p>
        </w:tc>
      </w:tr>
      <w:tr>
        <w:trPr>
          <w:trHeight w:val="176"/>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Euro-denominated commercial paper</w:t>
            </w: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(101)</w:t>
            </w:r>
          </w:p>
        </w:tc>
      </w:tr>
      <w:tr>
        <w:trPr>
          <w:trHeight w:val="167"/>
        </w:trPr>
        <w:tc>
          <w:tcPr>
            <w:tcW w:w="5160" w:type="dxa"/>
            <w:vAlign w:val="bottom"/>
          </w:tcPr>
          <w:p>
            <w:pPr>
              <w:ind w:left="20"/>
              <w:spacing w:after="0"/>
              <w:rPr>
                <w:sz w:val="20"/>
                <w:szCs w:val="20"/>
                <w:color w:val="auto"/>
              </w:rPr>
            </w:pPr>
            <w:r>
              <w:rPr>
                <w:rFonts w:ascii="Arial" w:cs="Arial" w:eastAsia="Arial" w:hAnsi="Arial"/>
                <w:sz w:val="12"/>
                <w:szCs w:val="12"/>
                <w:color w:val="auto"/>
              </w:rPr>
              <w:t>Cross currency swap</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3"/>
              <w:spacing w:after="0"/>
              <w:rPr>
                <w:sz w:val="20"/>
                <w:szCs w:val="20"/>
                <w:color w:val="auto"/>
              </w:rPr>
            </w:pPr>
            <w:r>
              <w:rPr>
                <w:rFonts w:ascii="Arial" w:cs="Arial" w:eastAsia="Arial" w:hAnsi="Arial"/>
                <w:sz w:val="12"/>
                <w:szCs w:val="12"/>
                <w:color w:val="auto"/>
              </w:rPr>
              <w:t>(58)</w:t>
            </w:r>
          </w:p>
        </w:tc>
      </w:tr>
      <w:tr>
        <w:trPr>
          <w:trHeight w:val="176"/>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exchange contracts</w:t>
            </w: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432"/>
        </w:trPr>
        <w:tc>
          <w:tcPr>
            <w:tcW w:w="5160" w:type="dxa"/>
            <w:vAlign w:val="bottom"/>
          </w:tcPr>
          <w:p>
            <w:pPr>
              <w:spacing w:after="0"/>
              <w:rPr>
                <w:sz w:val="20"/>
                <w:szCs w:val="20"/>
                <w:color w:val="auto"/>
              </w:rPr>
            </w:pPr>
            <w:r>
              <w:rPr>
                <w:rFonts w:ascii="Arial" w:cs="Arial" w:eastAsia="Arial" w:hAnsi="Arial"/>
                <w:sz w:val="12"/>
                <w:szCs w:val="12"/>
                <w:b w:val="1"/>
                <w:bCs w:val="1"/>
                <w:color w:val="auto"/>
              </w:rPr>
              <w:t>Note 13. Accumulated Other Comprehensive Income (Loss)</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5160" w:type="dxa"/>
            <w:vAlign w:val="bottom"/>
          </w:tcPr>
          <w:p>
            <w:pPr>
              <w:spacing w:after="0"/>
              <w:rPr>
                <w:sz w:val="20"/>
                <w:szCs w:val="20"/>
                <w:color w:val="auto"/>
              </w:rPr>
            </w:pPr>
            <w:r>
              <w:rPr>
                <w:rFonts w:ascii="Arial" w:cs="Arial" w:eastAsia="Arial" w:hAnsi="Arial"/>
                <w:sz w:val="12"/>
                <w:szCs w:val="12"/>
                <w:b w:val="1"/>
                <w:bCs w:val="1"/>
                <w:color w:val="auto"/>
              </w:rPr>
              <w:t>Changes in Accumulated Other Comprehensive Income (Loss) by Component</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7"/>
        </w:trPr>
        <w:tc>
          <w:tcPr>
            <w:tcW w:w="5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left="27"/>
              <w:spacing w:after="0"/>
              <w:rPr>
                <w:sz w:val="20"/>
                <w:szCs w:val="20"/>
                <w:color w:val="auto"/>
              </w:rPr>
            </w:pPr>
            <w:r>
              <w:rPr>
                <w:rFonts w:ascii="Arial" w:cs="Arial" w:eastAsia="Arial" w:hAnsi="Arial"/>
                <w:sz w:val="10"/>
                <w:szCs w:val="10"/>
                <w:b w:val="1"/>
                <w:bCs w:val="1"/>
                <w:color w:val="auto"/>
                <w:w w:val="97"/>
              </w:rPr>
              <w:t>Pension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08"/>
        </w:trPr>
        <w:tc>
          <w:tcPr>
            <w:tcW w:w="5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center"/>
              <w:ind w:right="32"/>
              <w:spacing w:after="0" w:line="108" w:lineRule="exact"/>
              <w:rPr>
                <w:sz w:val="20"/>
                <w:szCs w:val="20"/>
                <w:color w:val="auto"/>
              </w:rPr>
            </w:pPr>
            <w:r>
              <w:rPr>
                <w:rFonts w:ascii="Arial" w:cs="Arial" w:eastAsia="Arial" w:hAnsi="Arial"/>
                <w:sz w:val="10"/>
                <w:szCs w:val="10"/>
                <w:b w:val="1"/>
                <w:bCs w:val="1"/>
                <w:color w:val="auto"/>
                <w:w w:val="98"/>
              </w:rPr>
              <w:t>Foreign</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jc w:val="center"/>
              <w:ind w:left="27"/>
              <w:spacing w:after="0" w:line="108" w:lineRule="exact"/>
              <w:rPr>
                <w:sz w:val="20"/>
                <w:szCs w:val="20"/>
                <w:color w:val="auto"/>
              </w:rPr>
            </w:pPr>
            <w:r>
              <w:rPr>
                <w:rFonts w:ascii="Arial" w:cs="Arial" w:eastAsia="Arial" w:hAnsi="Arial"/>
                <w:sz w:val="10"/>
                <w:szCs w:val="10"/>
                <w:b w:val="1"/>
                <w:bCs w:val="1"/>
                <w:color w:val="auto"/>
                <w:w w:val="97"/>
              </w:rPr>
              <w:t>and Other</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jc w:val="center"/>
              <w:ind w:left="369"/>
              <w:spacing w:after="0" w:line="108" w:lineRule="exact"/>
              <w:rPr>
                <w:sz w:val="20"/>
                <w:szCs w:val="20"/>
                <w:color w:val="auto"/>
              </w:rPr>
            </w:pPr>
            <w:r>
              <w:rPr>
                <w:rFonts w:ascii="Arial" w:cs="Arial" w:eastAsia="Arial" w:hAnsi="Arial"/>
                <w:sz w:val="10"/>
                <w:szCs w:val="10"/>
                <w:b w:val="1"/>
                <w:bCs w:val="1"/>
                <w:color w:val="auto"/>
                <w:w w:val="96"/>
              </w:rPr>
              <w:t>Changes in</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5160" w:type="dxa"/>
            <w:vAlign w:val="bottom"/>
          </w:tcPr>
          <w:p>
            <w:pPr>
              <w:spacing w:after="0"/>
              <w:rPr>
                <w:sz w:val="9"/>
                <w:szCs w:val="9"/>
                <w:color w:val="auto"/>
              </w:rPr>
            </w:pPr>
          </w:p>
        </w:tc>
        <w:tc>
          <w:tcPr>
            <w:tcW w:w="1040" w:type="dxa"/>
            <w:vAlign w:val="bottom"/>
            <w:gridSpan w:val="2"/>
          </w:tcPr>
          <w:p>
            <w:pPr>
              <w:jc w:val="center"/>
              <w:ind w:left="405"/>
              <w:spacing w:after="0" w:line="108" w:lineRule="exact"/>
              <w:rPr>
                <w:sz w:val="20"/>
                <w:szCs w:val="20"/>
                <w:color w:val="auto"/>
              </w:rPr>
            </w:pPr>
            <w:r>
              <w:rPr>
                <w:rFonts w:ascii="Arial" w:cs="Arial" w:eastAsia="Arial" w:hAnsi="Arial"/>
                <w:sz w:val="10"/>
                <w:szCs w:val="10"/>
                <w:b w:val="1"/>
                <w:bCs w:val="1"/>
                <w:color w:val="auto"/>
                <w:w w:val="97"/>
              </w:rPr>
              <w:t>Exchange</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jc w:val="center"/>
              <w:ind w:left="47"/>
              <w:spacing w:after="0" w:line="108" w:lineRule="exact"/>
              <w:rPr>
                <w:sz w:val="20"/>
                <w:szCs w:val="20"/>
                <w:color w:val="auto"/>
              </w:rPr>
            </w:pPr>
            <w:r>
              <w:rPr>
                <w:rFonts w:ascii="Arial" w:cs="Arial" w:eastAsia="Arial" w:hAnsi="Arial"/>
                <w:sz w:val="10"/>
                <w:szCs w:val="10"/>
                <w:b w:val="1"/>
                <w:bCs w:val="1"/>
                <w:color w:val="auto"/>
                <w:w w:val="96"/>
              </w:rPr>
              <w:t>Postretirement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jc w:val="center"/>
              <w:ind w:left="389"/>
              <w:spacing w:after="0" w:line="108" w:lineRule="exact"/>
              <w:rPr>
                <w:sz w:val="20"/>
                <w:szCs w:val="20"/>
                <w:color w:val="auto"/>
              </w:rPr>
            </w:pPr>
            <w:r>
              <w:rPr>
                <w:rFonts w:ascii="Arial" w:cs="Arial" w:eastAsia="Arial" w:hAnsi="Arial"/>
                <w:sz w:val="10"/>
                <w:szCs w:val="10"/>
                <w:b w:val="1"/>
                <w:bCs w:val="1"/>
                <w:color w:val="auto"/>
                <w:w w:val="96"/>
              </w:rPr>
              <w:t>Fair Value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5160" w:type="dxa"/>
            <w:vAlign w:val="bottom"/>
          </w:tcPr>
          <w:p>
            <w:pPr>
              <w:spacing w:after="0"/>
              <w:rPr>
                <w:sz w:val="9"/>
                <w:szCs w:val="9"/>
                <w:color w:val="auto"/>
              </w:rPr>
            </w:pPr>
          </w:p>
        </w:tc>
        <w:tc>
          <w:tcPr>
            <w:tcW w:w="1040" w:type="dxa"/>
            <w:vAlign w:val="bottom"/>
            <w:gridSpan w:val="2"/>
          </w:tcPr>
          <w:p>
            <w:pPr>
              <w:jc w:val="center"/>
              <w:ind w:left="425"/>
              <w:spacing w:after="0" w:line="108" w:lineRule="exact"/>
              <w:rPr>
                <w:sz w:val="20"/>
                <w:szCs w:val="20"/>
                <w:color w:val="auto"/>
              </w:rPr>
            </w:pPr>
            <w:r>
              <w:rPr>
                <w:rFonts w:ascii="Arial" w:cs="Arial" w:eastAsia="Arial" w:hAnsi="Arial"/>
                <w:sz w:val="10"/>
                <w:szCs w:val="10"/>
                <w:b w:val="1"/>
                <w:bCs w:val="1"/>
                <w:color w:val="auto"/>
                <w:w w:val="96"/>
              </w:rPr>
              <w:t>Translation</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jc w:val="center"/>
              <w:ind w:left="27"/>
              <w:spacing w:after="0" w:line="108" w:lineRule="exact"/>
              <w:rPr>
                <w:sz w:val="20"/>
                <w:szCs w:val="20"/>
                <w:color w:val="auto"/>
              </w:rPr>
            </w:pPr>
            <w:r>
              <w:rPr>
                <w:rFonts w:ascii="Arial" w:cs="Arial" w:eastAsia="Arial" w:hAnsi="Arial"/>
                <w:sz w:val="10"/>
                <w:szCs w:val="10"/>
                <w:b w:val="1"/>
                <w:bCs w:val="1"/>
                <w:color w:val="auto"/>
                <w:w w:val="96"/>
              </w:rPr>
              <w:t>Benefits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jc w:val="center"/>
              <w:ind w:left="369"/>
              <w:spacing w:after="0" w:line="108" w:lineRule="exact"/>
              <w:rPr>
                <w:sz w:val="20"/>
                <w:szCs w:val="20"/>
                <w:color w:val="auto"/>
              </w:rPr>
            </w:pPr>
            <w:r>
              <w:rPr>
                <w:rFonts w:ascii="Arial" w:cs="Arial" w:eastAsia="Arial" w:hAnsi="Arial"/>
                <w:sz w:val="10"/>
                <w:szCs w:val="10"/>
                <w:b w:val="1"/>
                <w:bCs w:val="1"/>
                <w:color w:val="auto"/>
                <w:w w:val="96"/>
              </w:rPr>
              <w:t>of Cash Flow</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51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gridSpan w:val="2"/>
          </w:tcPr>
          <w:p>
            <w:pPr>
              <w:jc w:val="center"/>
              <w:ind w:left="425"/>
              <w:spacing w:after="0"/>
              <w:rPr>
                <w:sz w:val="20"/>
                <w:szCs w:val="20"/>
                <w:color w:val="auto"/>
              </w:rPr>
            </w:pPr>
            <w:r>
              <w:rPr>
                <w:rFonts w:ascii="Arial" w:cs="Arial" w:eastAsia="Arial" w:hAnsi="Arial"/>
                <w:sz w:val="10"/>
                <w:szCs w:val="10"/>
                <w:b w:val="1"/>
                <w:bCs w:val="1"/>
                <w:color w:val="auto"/>
                <w:w w:val="94"/>
              </w:rPr>
              <w:t>Adjustment</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left="27"/>
              <w:spacing w:after="0"/>
              <w:rPr>
                <w:sz w:val="20"/>
                <w:szCs w:val="20"/>
                <w:color w:val="auto"/>
              </w:rPr>
            </w:pPr>
            <w:r>
              <w:rPr>
                <w:rFonts w:ascii="Arial" w:cs="Arial" w:eastAsia="Arial" w:hAnsi="Arial"/>
                <w:sz w:val="10"/>
                <w:szCs w:val="10"/>
                <w:b w:val="1"/>
                <w:bCs w:val="1"/>
                <w:color w:val="auto"/>
                <w:w w:val="95"/>
              </w:rPr>
              <w:t>Adjustments</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0"/>
                <w:szCs w:val="10"/>
                <w:b w:val="1"/>
                <w:bCs w:val="1"/>
                <w:color w:val="auto"/>
              </w:rPr>
              <w:t>Hedges</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83"/>
              <w:spacing w:after="0"/>
              <w:rPr>
                <w:sz w:val="20"/>
                <w:szCs w:val="20"/>
                <w:color w:val="auto"/>
              </w:rPr>
            </w:pPr>
            <w:r>
              <w:rPr>
                <w:rFonts w:ascii="Arial" w:cs="Arial" w:eastAsia="Arial" w:hAnsi="Arial"/>
                <w:sz w:val="10"/>
                <w:szCs w:val="10"/>
                <w:b w:val="1"/>
                <w:bCs w:val="1"/>
                <w:color w:val="auto"/>
              </w:rPr>
              <w:t>Total</w:t>
            </w:r>
          </w:p>
        </w:tc>
      </w:tr>
      <w:tr>
        <w:trPr>
          <w:trHeight w:val="164"/>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December 31, 2018</w:t>
            </w:r>
          </w:p>
        </w:tc>
        <w:tc>
          <w:tcPr>
            <w:tcW w:w="560" w:type="dxa"/>
            <w:vAlign w:val="bottom"/>
            <w:shd w:val="clear" w:color="auto" w:fill="CCEEFF"/>
          </w:tcPr>
          <w:p>
            <w:pPr>
              <w:jc w:val="right"/>
              <w:ind w:right="425"/>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94"/>
              </w:rPr>
              <w:t>(2,709)</w:t>
            </w:r>
          </w:p>
        </w:tc>
        <w:tc>
          <w:tcPr>
            <w:tcW w:w="8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5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99"/>
              </w:rPr>
              <w:t>(761)</w:t>
            </w:r>
          </w:p>
        </w:tc>
        <w:tc>
          <w:tcPr>
            <w:tcW w:w="860" w:type="dxa"/>
            <w:vAlign w:val="bottom"/>
            <w:gridSpan w:val="3"/>
            <w:shd w:val="clear" w:color="auto" w:fill="CCEEFF"/>
          </w:tcPr>
          <w:p>
            <w:pPr>
              <w:jc w:val="right"/>
              <w:ind w:right="569"/>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(3,437)</w:t>
            </w:r>
          </w:p>
        </w:tc>
      </w:tr>
      <w:tr>
        <w:trPr>
          <w:trHeight w:val="176"/>
        </w:trPr>
        <w:tc>
          <w:tcPr>
            <w:tcW w:w="5160" w:type="dxa"/>
            <w:vAlign w:val="bottom"/>
          </w:tcPr>
          <w:p>
            <w:pPr>
              <w:ind w:left="20"/>
              <w:spacing w:after="0"/>
              <w:rPr>
                <w:sz w:val="20"/>
                <w:szCs w:val="20"/>
                <w:color w:val="auto"/>
              </w:rPr>
            </w:pPr>
            <w:r>
              <w:rPr>
                <w:rFonts w:ascii="Arial" w:cs="Arial" w:eastAsia="Arial" w:hAnsi="Arial"/>
                <w:sz w:val="12"/>
                <w:szCs w:val="12"/>
                <w:color w:val="auto"/>
              </w:rPr>
              <w:t>Other comprehensive income (loss) before reclassifications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205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ind w:right="63"/>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243</w:t>
            </w:r>
          </w:p>
        </w:tc>
      </w:tr>
      <w:tr>
        <w:trPr>
          <w:trHeight w:val="180"/>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Amounts reclassified from accumulated other comprehensive income</w:t>
            </w: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(51)</w:t>
            </w:r>
          </w:p>
        </w:tc>
      </w:tr>
      <w:tr>
        <w:trPr>
          <w:trHeight w:val="16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current period other comprehensive income (loss)</w:t>
            </w:r>
          </w:p>
        </w:tc>
        <w:tc>
          <w:tcPr>
            <w:tcW w:w="5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205</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color w:val="auto"/>
              </w:rPr>
              <w:t>(19)</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2"/>
                <w:szCs w:val="12"/>
                <w:color w:val="auto"/>
              </w:rPr>
              <w:t>192</w:t>
            </w:r>
          </w:p>
        </w:tc>
      </w:tr>
      <w:tr>
        <w:trPr>
          <w:trHeight w:val="172"/>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March 31, 2019</w:t>
            </w:r>
          </w:p>
        </w:tc>
        <w:tc>
          <w:tcPr>
            <w:tcW w:w="560" w:type="dxa"/>
            <w:vAlign w:val="bottom"/>
            <w:shd w:val="clear" w:color="auto" w:fill="CCEEFF"/>
          </w:tcPr>
          <w:p>
            <w:pPr>
              <w:jc w:val="right"/>
              <w:ind w:right="425"/>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94"/>
              </w:rPr>
              <w:t>(2,504)</w:t>
            </w:r>
          </w:p>
        </w:tc>
        <w:tc>
          <w:tcPr>
            <w:tcW w:w="8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52"/>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99"/>
              </w:rPr>
              <w:t>(780)</w:t>
            </w:r>
          </w:p>
        </w:tc>
        <w:tc>
          <w:tcPr>
            <w:tcW w:w="860" w:type="dxa"/>
            <w:vAlign w:val="bottom"/>
            <w:gridSpan w:val="3"/>
            <w:shd w:val="clear" w:color="auto" w:fill="CCEEFF"/>
          </w:tcPr>
          <w:p>
            <w:pPr>
              <w:jc w:val="right"/>
              <w:ind w:right="569"/>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(3,245)</w:t>
            </w:r>
          </w:p>
        </w:tc>
      </w:tr>
      <w:tr>
        <w:trPr>
          <w:trHeight w:val="477"/>
        </w:trPr>
        <w:tc>
          <w:tcPr>
            <w:tcW w:w="516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gridSpan w:val="2"/>
          </w:tcPr>
          <w:p>
            <w:pPr>
              <w:jc w:val="right"/>
              <w:ind w:right="352"/>
              <w:spacing w:after="0"/>
              <w:rPr>
                <w:sz w:val="20"/>
                <w:szCs w:val="20"/>
                <w:color w:val="auto"/>
              </w:rPr>
            </w:pPr>
            <w:r>
              <w:rPr>
                <w:rFonts w:ascii="Arial" w:cs="Arial" w:eastAsia="Arial" w:hAnsi="Arial"/>
                <w:sz w:val="12"/>
                <w:szCs w:val="12"/>
                <w:color w:val="auto"/>
              </w:rPr>
              <w:t>21</w:t>
            </w: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25" w:right="19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Pension</w:t>
            </w:r>
          </w:p>
        </w:tc>
        <w:tc>
          <w:tcPr>
            <w:tcW w:w="28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Changes in</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08"/>
        </w:trPr>
        <w:tc>
          <w:tcPr>
            <w:tcW w:w="5160" w:type="dxa"/>
            <w:vAlign w:val="bottom"/>
          </w:tcPr>
          <w:p>
            <w:pPr>
              <w:spacing w:after="0"/>
              <w:rPr>
                <w:sz w:val="9"/>
                <w:szCs w:val="9"/>
                <w:color w:val="auto"/>
              </w:rPr>
            </w:pPr>
          </w:p>
        </w:tc>
        <w:tc>
          <w:tcPr>
            <w:tcW w:w="1040" w:type="dxa"/>
            <w:vAlign w:val="bottom"/>
          </w:tcPr>
          <w:p>
            <w:pPr>
              <w:jc w:val="center"/>
              <w:ind w:left="427"/>
              <w:spacing w:after="0" w:line="108" w:lineRule="exact"/>
              <w:rPr>
                <w:sz w:val="20"/>
                <w:szCs w:val="20"/>
                <w:color w:val="auto"/>
              </w:rPr>
            </w:pPr>
            <w:r>
              <w:rPr>
                <w:rFonts w:ascii="Arial" w:cs="Arial" w:eastAsia="Arial" w:hAnsi="Arial"/>
                <w:sz w:val="10"/>
                <w:szCs w:val="10"/>
                <w:b w:val="1"/>
                <w:bCs w:val="1"/>
                <w:color w:val="auto"/>
                <w:w w:val="98"/>
              </w:rPr>
              <w:t>Foreign</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and Other</w:t>
            </w:r>
          </w:p>
        </w:tc>
        <w:tc>
          <w:tcPr>
            <w:tcW w:w="280" w:type="dxa"/>
            <w:vAlign w:val="bottom"/>
          </w:tcPr>
          <w:p>
            <w:pPr>
              <w:spacing w:after="0"/>
              <w:rPr>
                <w:sz w:val="9"/>
                <w:szCs w:val="9"/>
                <w:color w:val="auto"/>
              </w:rPr>
            </w:pPr>
          </w:p>
        </w:tc>
        <w:tc>
          <w:tcPr>
            <w:tcW w:w="13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Fair Value</w:t>
            </w: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08"/>
        </w:trPr>
        <w:tc>
          <w:tcPr>
            <w:tcW w:w="5160" w:type="dxa"/>
            <w:vAlign w:val="bottom"/>
          </w:tcPr>
          <w:p>
            <w:pPr>
              <w:spacing w:after="0"/>
              <w:rPr>
                <w:sz w:val="9"/>
                <w:szCs w:val="9"/>
                <w:color w:val="auto"/>
              </w:rPr>
            </w:pPr>
          </w:p>
        </w:tc>
        <w:tc>
          <w:tcPr>
            <w:tcW w:w="1040" w:type="dxa"/>
            <w:vAlign w:val="bottom"/>
          </w:tcPr>
          <w:p>
            <w:pPr>
              <w:jc w:val="center"/>
              <w:ind w:left="407"/>
              <w:spacing w:after="0" w:line="108" w:lineRule="exact"/>
              <w:rPr>
                <w:sz w:val="20"/>
                <w:szCs w:val="20"/>
                <w:color w:val="auto"/>
              </w:rPr>
            </w:pPr>
            <w:r>
              <w:rPr>
                <w:rFonts w:ascii="Arial" w:cs="Arial" w:eastAsia="Arial" w:hAnsi="Arial"/>
                <w:sz w:val="10"/>
                <w:szCs w:val="10"/>
                <w:b w:val="1"/>
                <w:bCs w:val="1"/>
                <w:color w:val="auto"/>
                <w:w w:val="97"/>
              </w:rPr>
              <w:t>Exchange</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6"/>
              </w:rPr>
              <w:t>Postretirement</w:t>
            </w:r>
          </w:p>
        </w:tc>
        <w:tc>
          <w:tcPr>
            <w:tcW w:w="280" w:type="dxa"/>
            <w:vAlign w:val="bottom"/>
          </w:tcPr>
          <w:p>
            <w:pPr>
              <w:spacing w:after="0"/>
              <w:rPr>
                <w:sz w:val="9"/>
                <w:szCs w:val="9"/>
                <w:color w:val="auto"/>
              </w:rPr>
            </w:pPr>
          </w:p>
        </w:tc>
        <w:tc>
          <w:tcPr>
            <w:tcW w:w="13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of</w:t>
            </w: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08"/>
        </w:trPr>
        <w:tc>
          <w:tcPr>
            <w:tcW w:w="5160" w:type="dxa"/>
            <w:vAlign w:val="bottom"/>
          </w:tcPr>
          <w:p>
            <w:pPr>
              <w:spacing w:after="0"/>
              <w:rPr>
                <w:sz w:val="9"/>
                <w:szCs w:val="9"/>
                <w:color w:val="auto"/>
              </w:rPr>
            </w:pPr>
          </w:p>
        </w:tc>
        <w:tc>
          <w:tcPr>
            <w:tcW w:w="1040" w:type="dxa"/>
            <w:vAlign w:val="bottom"/>
          </w:tcPr>
          <w:p>
            <w:pPr>
              <w:jc w:val="center"/>
              <w:ind w:left="427"/>
              <w:spacing w:after="0" w:line="108" w:lineRule="exact"/>
              <w:rPr>
                <w:sz w:val="20"/>
                <w:szCs w:val="20"/>
                <w:color w:val="auto"/>
              </w:rPr>
            </w:pPr>
            <w:r>
              <w:rPr>
                <w:rFonts w:ascii="Arial" w:cs="Arial" w:eastAsia="Arial" w:hAnsi="Arial"/>
                <w:sz w:val="10"/>
                <w:szCs w:val="10"/>
                <w:b w:val="1"/>
                <w:bCs w:val="1"/>
                <w:color w:val="auto"/>
                <w:w w:val="96"/>
              </w:rPr>
              <w:t>Translation</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Benefits</w:t>
            </w:r>
          </w:p>
        </w:tc>
        <w:tc>
          <w:tcPr>
            <w:tcW w:w="280" w:type="dxa"/>
            <w:vAlign w:val="bottom"/>
          </w:tcPr>
          <w:p>
            <w:pPr>
              <w:spacing w:after="0"/>
              <w:rPr>
                <w:sz w:val="9"/>
                <w:szCs w:val="9"/>
                <w:color w:val="auto"/>
              </w:rPr>
            </w:pPr>
          </w:p>
        </w:tc>
        <w:tc>
          <w:tcPr>
            <w:tcW w:w="13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Cash Flow</w:t>
            </w: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31"/>
        </w:trPr>
        <w:tc>
          <w:tcPr>
            <w:tcW w:w="5160" w:type="dxa"/>
            <w:vAlign w:val="bottom"/>
          </w:tcPr>
          <w:p>
            <w:pPr>
              <w:spacing w:after="0"/>
              <w:rPr>
                <w:sz w:val="11"/>
                <w:szCs w:val="11"/>
                <w:color w:val="auto"/>
              </w:rPr>
            </w:pPr>
          </w:p>
        </w:tc>
        <w:tc>
          <w:tcPr>
            <w:tcW w:w="1040" w:type="dxa"/>
            <w:vAlign w:val="bottom"/>
          </w:tcPr>
          <w:p>
            <w:pPr>
              <w:jc w:val="center"/>
              <w:ind w:left="427"/>
              <w:spacing w:after="0"/>
              <w:rPr>
                <w:sz w:val="20"/>
                <w:szCs w:val="20"/>
                <w:color w:val="auto"/>
              </w:rPr>
            </w:pPr>
            <w:r>
              <w:rPr>
                <w:rFonts w:ascii="Arial" w:cs="Arial" w:eastAsia="Arial" w:hAnsi="Arial"/>
                <w:sz w:val="10"/>
                <w:szCs w:val="10"/>
                <w:b w:val="1"/>
                <w:bCs w:val="1"/>
                <w:color w:val="auto"/>
                <w:w w:val="94"/>
              </w:rPr>
              <w:t>Adjustment</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5"/>
              </w:rPr>
              <w:t>Adjustments</w:t>
            </w:r>
          </w:p>
        </w:tc>
        <w:tc>
          <w:tcPr>
            <w:tcW w:w="280" w:type="dxa"/>
            <w:vAlign w:val="bottom"/>
          </w:tcPr>
          <w:p>
            <w:pPr>
              <w:spacing w:after="0"/>
              <w:rPr>
                <w:sz w:val="11"/>
                <w:szCs w:val="11"/>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Hedges</w:t>
            </w:r>
          </w:p>
        </w:tc>
        <w:tc>
          <w:tcPr>
            <w:tcW w:w="360" w:type="dxa"/>
            <w:vAlign w:val="bottom"/>
          </w:tcPr>
          <w:p>
            <w:pPr>
              <w:spacing w:after="0"/>
              <w:rPr>
                <w:sz w:val="11"/>
                <w:szCs w:val="11"/>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Total</w:t>
            </w:r>
          </w:p>
        </w:tc>
      </w:tr>
      <w:tr>
        <w:trPr>
          <w:trHeight w:val="16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December 31, 2017</w:t>
            </w:r>
          </w:p>
        </w:tc>
        <w:tc>
          <w:tcPr>
            <w:tcW w:w="1040" w:type="dxa"/>
            <w:vAlign w:val="bottom"/>
            <w:tcBorders>
              <w:top w:val="single" w:sz="8" w:color="auto"/>
            </w:tcBorders>
            <w:shd w:val="clear" w:color="auto" w:fill="CCEEFF"/>
          </w:tcPr>
          <w:p>
            <w:pPr>
              <w:jc w:val="right"/>
              <w:ind w:right="907"/>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94"/>
              </w:rPr>
              <w:t>(1,981)</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(202)</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2"/>
                <w:szCs w:val="12"/>
                <w:color w:val="auto"/>
              </w:rPr>
              <w:t>(52)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(2,235)</w:t>
            </w:r>
          </w:p>
        </w:tc>
      </w:tr>
      <w:tr>
        <w:trPr>
          <w:trHeight w:val="176"/>
        </w:trPr>
        <w:tc>
          <w:tcPr>
            <w:tcW w:w="5160" w:type="dxa"/>
            <w:vAlign w:val="bottom"/>
          </w:tcPr>
          <w:p>
            <w:pPr>
              <w:ind w:left="20"/>
              <w:spacing w:after="0"/>
              <w:rPr>
                <w:sz w:val="20"/>
                <w:szCs w:val="20"/>
                <w:color w:val="auto"/>
              </w:rPr>
            </w:pPr>
            <w:r>
              <w:rPr>
                <w:rFonts w:ascii="Arial" w:cs="Arial" w:eastAsia="Arial" w:hAnsi="Arial"/>
                <w:sz w:val="12"/>
                <w:szCs w:val="12"/>
                <w:color w:val="auto"/>
              </w:rPr>
              <w:t>Other comprehensive income (loss) before reclassifications</w:t>
            </w:r>
          </w:p>
        </w:tc>
        <w:tc>
          <w:tcPr>
            <w:tcW w:w="1040" w:type="dxa"/>
            <w:vAlign w:val="bottom"/>
          </w:tcPr>
          <w:p>
            <w:pPr>
              <w:spacing w:after="0"/>
              <w:rPr>
                <w:sz w:val="15"/>
                <w:szCs w:val="15"/>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91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1220" w:type="dxa"/>
            <w:vAlign w:val="bottom"/>
          </w:tcPr>
          <w:p>
            <w:pPr>
              <w:jc w:val="right"/>
              <w:ind w:right="26"/>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59</w:t>
            </w:r>
          </w:p>
        </w:tc>
      </w:tr>
      <w:tr>
        <w:trPr>
          <w:trHeight w:val="180"/>
        </w:trPr>
        <w:tc>
          <w:tcPr>
            <w:tcW w:w="5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Amounts reclassified from accumulated other comprehensive income</w:t>
            </w:r>
          </w:p>
        </w:tc>
        <w:tc>
          <w:tcPr>
            <w:tcW w:w="10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w:t>
            </w:r>
          </w:p>
        </w:tc>
      </w:tr>
      <w:tr>
        <w:trPr>
          <w:trHeight w:val="16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current period other comprehensive income (loss)</w:t>
            </w:r>
          </w:p>
        </w:tc>
        <w:tc>
          <w:tcPr>
            <w:tcW w:w="10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91</w:t>
            </w:r>
          </w:p>
        </w:tc>
        <w:tc>
          <w:tcPr>
            <w:tcW w:w="1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2"/>
                <w:szCs w:val="12"/>
                <w:color w:val="auto"/>
              </w:rPr>
              <w:t>(16)</w:t>
            </w:r>
          </w:p>
        </w:tc>
        <w:tc>
          <w:tcPr>
            <w:tcW w:w="1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61</w:t>
            </w:r>
          </w:p>
        </w:tc>
      </w:tr>
      <w:tr>
        <w:trPr>
          <w:trHeight w:val="17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March 31, 2018</w:t>
            </w:r>
          </w:p>
        </w:tc>
        <w:tc>
          <w:tcPr>
            <w:tcW w:w="1040" w:type="dxa"/>
            <w:vAlign w:val="bottom"/>
            <w:tcBorders>
              <w:bottom w:val="single" w:sz="8" w:color="auto"/>
            </w:tcBorders>
            <w:shd w:val="clear" w:color="auto" w:fill="CCEEFF"/>
          </w:tcPr>
          <w:p>
            <w:pPr>
              <w:jc w:val="right"/>
              <w:ind w:right="907"/>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94"/>
              </w:rPr>
              <w:t>(1,890)</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(218)</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2"/>
                <w:szCs w:val="12"/>
                <w:color w:val="auto"/>
              </w:rPr>
              <w:t>(66)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(2,174)</w:t>
            </w:r>
          </w:p>
        </w:tc>
      </w:tr>
      <w:tr>
        <w:trPr>
          <w:trHeight w:val="450"/>
        </w:trPr>
        <w:tc>
          <w:tcPr>
            <w:tcW w:w="5160" w:type="dxa"/>
            <w:vAlign w:val="bottom"/>
          </w:tcPr>
          <w:p>
            <w:pPr>
              <w:spacing w:after="0"/>
              <w:rPr>
                <w:sz w:val="24"/>
                <w:szCs w:val="24"/>
                <w:color w:val="auto"/>
              </w:rPr>
            </w:pPr>
          </w:p>
        </w:tc>
        <w:tc>
          <w:tcPr>
            <w:tcW w:w="1040" w:type="dxa"/>
            <w:vAlign w:val="bottom"/>
          </w:tcPr>
          <w:p>
            <w:pPr>
              <w:jc w:val="right"/>
              <w:ind w:right="347"/>
              <w:spacing w:after="0"/>
              <w:rPr>
                <w:sz w:val="20"/>
                <w:szCs w:val="20"/>
                <w:color w:val="auto"/>
              </w:rPr>
            </w:pPr>
            <w:r>
              <w:rPr>
                <w:rFonts w:ascii="Arial" w:cs="Arial" w:eastAsia="Arial" w:hAnsi="Arial"/>
                <w:sz w:val="12"/>
                <w:szCs w:val="12"/>
                <w:color w:val="auto"/>
              </w:rPr>
              <w:t>22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80"/>
          </w:cols>
          <w:pgMar w:left="220" w:top="125" w:right="199" w:bottom="1440" w:gutter="0" w:footer="0" w:header="0"/>
        </w:sectPr>
      </w:pPr>
    </w:p>
    <w:bookmarkStart w:id="22" w:name="page23"/>
    <w:bookmarkEnd w:id="22"/>
    <w:p>
      <w:pPr>
        <w:jc w:val="center"/>
        <w:ind w:right="-7"/>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9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14. Segment Financial Data</w:t>
      </w:r>
    </w:p>
    <w:p>
      <w:pPr>
        <w:spacing w:after="0" w:line="164" w:lineRule="exact"/>
        <w:rPr>
          <w:sz w:val="20"/>
          <w:szCs w:val="20"/>
          <w:color w:val="auto"/>
        </w:rPr>
      </w:pPr>
    </w:p>
    <w:p>
      <w:pPr>
        <w:ind w:left="8" w:right="20" w:firstLine="432"/>
        <w:spacing w:after="0" w:line="262" w:lineRule="auto"/>
        <w:rPr>
          <w:sz w:val="20"/>
          <w:szCs w:val="20"/>
          <w:color w:val="auto"/>
        </w:rPr>
      </w:pPr>
      <w:r>
        <w:rPr>
          <w:rFonts w:ascii="Arial" w:cs="Arial" w:eastAsia="Arial" w:hAnsi="Arial"/>
          <w:sz w:val="12"/>
          <w:szCs w:val="12"/>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31" w:lineRule="exact"/>
        <w:rPr>
          <w:sz w:val="20"/>
          <w:szCs w:val="20"/>
          <w:color w:val="auto"/>
        </w:rPr>
      </w:pPr>
    </w:p>
    <w:p>
      <w:pPr>
        <w:ind w:left="8" w:firstLine="432"/>
        <w:spacing w:after="0" w:line="262" w:lineRule="auto"/>
        <w:rPr>
          <w:sz w:val="20"/>
          <w:szCs w:val="20"/>
          <w:color w:val="auto"/>
        </w:rPr>
      </w:pPr>
      <w:r>
        <w:rPr>
          <w:rFonts w:ascii="Arial" w:cs="Arial" w:eastAsia="Arial" w:hAnsi="Arial"/>
          <w:sz w:val="12"/>
          <w:szCs w:val="12"/>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87"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Three Months Ended</w:t>
      </w:r>
    </w:p>
    <w:p>
      <w:pPr>
        <w:spacing w:after="0" w:line="5"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5181600</wp:posOffset>
            </wp:positionH>
            <wp:positionV relativeFrom="paragraph">
              <wp:posOffset>5080</wp:posOffset>
            </wp:positionV>
            <wp:extent cx="21107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0740" cy="5715"/>
                    </a:xfrm>
                    <a:prstGeom prst="rect">
                      <a:avLst/>
                    </a:prstGeom>
                    <a:noFill/>
                  </pic:spPr>
                </pic:pic>
              </a:graphicData>
            </a:graphic>
          </wp:anchor>
        </w:drawing>
      </w:r>
    </w:p>
    <w:p>
      <w:pPr>
        <w:spacing w:after="0" w:line="42" w:lineRule="exact"/>
        <w:rPr>
          <w:sz w:val="20"/>
          <w:szCs w:val="20"/>
          <w:color w:val="auto"/>
        </w:rPr>
      </w:pPr>
    </w:p>
    <w:tbl>
      <w:tblPr>
        <w:tblLayout w:type="fixed"/>
        <w:tblInd w:w="18" w:type="dxa"/>
        <w:tblCellMar>
          <w:top w:w="0" w:type="dxa"/>
          <w:left w:w="0" w:type="dxa"/>
          <w:bottom w:w="0" w:type="dxa"/>
          <w:right w:w="0" w:type="dxa"/>
        </w:tblCellMar>
      </w:tblPr>
      <w:tr>
        <w:trPr>
          <w:trHeight w:val="131"/>
        </w:trPr>
        <w:tc>
          <w:tcPr>
            <w:tcW w:w="5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73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2019</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40"/>
              <w:spacing w:after="0"/>
              <w:rPr>
                <w:sz w:val="20"/>
                <w:szCs w:val="20"/>
                <w:color w:val="auto"/>
              </w:rPr>
            </w:pPr>
            <w:r>
              <w:rPr>
                <w:rFonts w:ascii="Arial" w:cs="Arial" w:eastAsia="Arial" w:hAnsi="Arial"/>
                <w:sz w:val="10"/>
                <w:szCs w:val="10"/>
                <w:b w:val="1"/>
                <w:bCs w:val="1"/>
                <w:color w:val="auto"/>
              </w:rPr>
              <w:t>2018</w:t>
            </w:r>
          </w:p>
        </w:tc>
      </w:tr>
      <w:tr>
        <w:trPr>
          <w:trHeight w:val="128"/>
        </w:trPr>
        <w:tc>
          <w:tcPr>
            <w:tcW w:w="8160" w:type="dxa"/>
            <w:vAlign w:val="bottom"/>
            <w:tcBorders>
              <w:left w:val="single" w:sz="8" w:color="CCEEFF"/>
            </w:tcBorders>
            <w:gridSpan w:val="3"/>
            <w:shd w:val="clear" w:color="auto" w:fill="CCEEFF"/>
          </w:tcPr>
          <w:p>
            <w:pPr>
              <w:ind w:left="20"/>
              <w:spacing w:after="0" w:line="128" w:lineRule="exact"/>
              <w:rPr>
                <w:sz w:val="20"/>
                <w:szCs w:val="20"/>
                <w:color w:val="auto"/>
              </w:rPr>
            </w:pPr>
            <w:r>
              <w:rPr>
                <w:rFonts w:ascii="Arial" w:cs="Arial" w:eastAsia="Arial" w:hAnsi="Arial"/>
                <w:sz w:val="12"/>
                <w:szCs w:val="12"/>
                <w:color w:val="auto"/>
              </w:rPr>
              <w:t>Net sales</w:t>
            </w:r>
          </w:p>
        </w:tc>
        <w:tc>
          <w:tcPr>
            <w:tcW w:w="10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36"/>
        </w:trPr>
        <w:tc>
          <w:tcPr>
            <w:tcW w:w="520" w:type="dxa"/>
            <w:vAlign w:val="bottom"/>
            <w:tcBorders>
              <w:left w:val="single" w:sz="8" w:color="CCEEFF"/>
            </w:tcBorders>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73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r>
        <w:trPr>
          <w:trHeight w:val="194"/>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Aerospace</w:t>
            </w: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816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2"/>
                <w:szCs w:val="12"/>
                <w:color w:val="auto"/>
              </w:rPr>
              <w:t>Products</w:t>
            </w:r>
          </w:p>
        </w:tc>
        <w:tc>
          <w:tcPr>
            <w:tcW w:w="1060" w:type="dxa"/>
            <w:vAlign w:val="bottom"/>
            <w:shd w:val="clear" w:color="auto" w:fill="CCEEFF"/>
          </w:tcPr>
          <w:p>
            <w:pPr>
              <w:jc w:val="right"/>
              <w:ind w:right="92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2,075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2,728</w:t>
            </w:r>
          </w:p>
        </w:tc>
      </w:tr>
      <w:tr>
        <w:trPr>
          <w:trHeight w:val="176"/>
        </w:trPr>
        <w:tc>
          <w:tcPr>
            <w:tcW w:w="8160" w:type="dxa"/>
            <w:vAlign w:val="bottom"/>
            <w:tcBorders>
              <w:bottom w:val="single" w:sz="8" w:color="CCEEFF"/>
            </w:tcBorders>
            <w:gridSpan w:val="3"/>
          </w:tcPr>
          <w:p>
            <w:pPr>
              <w:ind w:left="100"/>
              <w:spacing w:after="0"/>
              <w:rPr>
                <w:sz w:val="20"/>
                <w:szCs w:val="20"/>
                <w:color w:val="auto"/>
              </w:rPr>
            </w:pPr>
            <w:r>
              <w:rPr>
                <w:rFonts w:ascii="Arial" w:cs="Arial" w:eastAsia="Arial" w:hAnsi="Arial"/>
                <w:sz w:val="12"/>
                <w:szCs w:val="12"/>
                <w:color w:val="auto"/>
              </w:rPr>
              <w:t>Services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1,266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1,249</w:t>
            </w:r>
          </w:p>
        </w:tc>
      </w:tr>
      <w:tr>
        <w:trPr>
          <w:trHeight w:val="165"/>
        </w:trPr>
        <w:tc>
          <w:tcPr>
            <w:tcW w:w="816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3,341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3,977</w:t>
            </w:r>
          </w:p>
        </w:tc>
      </w:tr>
      <w:tr>
        <w:trPr>
          <w:trHeight w:val="176"/>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Honeywell Building Technologies</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5"/>
        </w:trPr>
        <w:tc>
          <w:tcPr>
            <w:tcW w:w="816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2"/>
                <w:szCs w:val="12"/>
                <w:color w:val="auto"/>
              </w:rPr>
              <w:t>Products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1,073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2,083</w:t>
            </w:r>
          </w:p>
        </w:tc>
      </w:tr>
      <w:tr>
        <w:trPr>
          <w:trHeight w:val="176"/>
        </w:trPr>
        <w:tc>
          <w:tcPr>
            <w:tcW w:w="8160" w:type="dxa"/>
            <w:vAlign w:val="bottom"/>
            <w:tcBorders>
              <w:bottom w:val="single" w:sz="8" w:color="CCEEFF"/>
            </w:tcBorders>
            <w:gridSpan w:val="3"/>
          </w:tcPr>
          <w:p>
            <w:pPr>
              <w:ind w:left="100"/>
              <w:spacing w:after="0"/>
              <w:rPr>
                <w:sz w:val="20"/>
                <w:szCs w:val="20"/>
                <w:color w:val="auto"/>
              </w:rPr>
            </w:pPr>
            <w:r>
              <w:rPr>
                <w:rFonts w:ascii="Arial" w:cs="Arial" w:eastAsia="Arial" w:hAnsi="Arial"/>
                <w:sz w:val="12"/>
                <w:szCs w:val="12"/>
                <w:color w:val="auto"/>
              </w:rPr>
              <w:t>Services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350</w:t>
            </w:r>
          </w:p>
        </w:tc>
      </w:tr>
      <w:tr>
        <w:trPr>
          <w:trHeight w:val="165"/>
        </w:trPr>
        <w:tc>
          <w:tcPr>
            <w:tcW w:w="816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2,433</w:t>
            </w:r>
          </w:p>
        </w:tc>
      </w:tr>
      <w:tr>
        <w:trPr>
          <w:trHeight w:val="176"/>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Performance Materials and Technologies</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5"/>
        </w:trPr>
        <w:tc>
          <w:tcPr>
            <w:tcW w:w="816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2"/>
                <w:szCs w:val="12"/>
                <w:color w:val="auto"/>
              </w:rPr>
              <w:t>Products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2,070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2,063</w:t>
            </w:r>
          </w:p>
        </w:tc>
      </w:tr>
      <w:tr>
        <w:trPr>
          <w:trHeight w:val="176"/>
        </w:trPr>
        <w:tc>
          <w:tcPr>
            <w:tcW w:w="8160" w:type="dxa"/>
            <w:vAlign w:val="bottom"/>
            <w:tcBorders>
              <w:bottom w:val="single" w:sz="8" w:color="CCEEFF"/>
            </w:tcBorders>
            <w:gridSpan w:val="3"/>
          </w:tcPr>
          <w:p>
            <w:pPr>
              <w:ind w:left="100"/>
              <w:spacing w:after="0"/>
              <w:rPr>
                <w:sz w:val="20"/>
                <w:szCs w:val="20"/>
                <w:color w:val="auto"/>
              </w:rPr>
            </w:pPr>
            <w:r>
              <w:rPr>
                <w:rFonts w:ascii="Arial" w:cs="Arial" w:eastAsia="Arial" w:hAnsi="Arial"/>
                <w:sz w:val="12"/>
                <w:szCs w:val="12"/>
                <w:color w:val="auto"/>
              </w:rPr>
              <w:t>Services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471</w:t>
            </w:r>
          </w:p>
        </w:tc>
      </w:tr>
      <w:tr>
        <w:trPr>
          <w:trHeight w:val="165"/>
        </w:trPr>
        <w:tc>
          <w:tcPr>
            <w:tcW w:w="816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2,572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2,534</w:t>
            </w:r>
          </w:p>
        </w:tc>
      </w:tr>
      <w:tr>
        <w:trPr>
          <w:trHeight w:val="176"/>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Safety and Productivity Solutions</w:t>
            </w: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5"/>
        </w:trPr>
        <w:tc>
          <w:tcPr>
            <w:tcW w:w="816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2"/>
                <w:szCs w:val="12"/>
                <w:color w:val="auto"/>
              </w:rPr>
              <w:t>Products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1,360</w:t>
            </w:r>
          </w:p>
        </w:tc>
      </w:tr>
      <w:tr>
        <w:trPr>
          <w:trHeight w:val="176"/>
        </w:trPr>
        <w:tc>
          <w:tcPr>
            <w:tcW w:w="8160" w:type="dxa"/>
            <w:vAlign w:val="bottom"/>
            <w:tcBorders>
              <w:bottom w:val="single" w:sz="8" w:color="CCEEFF"/>
            </w:tcBorders>
            <w:gridSpan w:val="3"/>
          </w:tcPr>
          <w:p>
            <w:pPr>
              <w:ind w:left="100"/>
              <w:spacing w:after="0"/>
              <w:rPr>
                <w:sz w:val="20"/>
                <w:szCs w:val="20"/>
                <w:color w:val="auto"/>
              </w:rPr>
            </w:pPr>
            <w:r>
              <w:rPr>
                <w:rFonts w:ascii="Arial" w:cs="Arial" w:eastAsia="Arial" w:hAnsi="Arial"/>
                <w:sz w:val="12"/>
                <w:szCs w:val="12"/>
                <w:color w:val="auto"/>
              </w:rPr>
              <w:t>Services</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88</w:t>
            </w:r>
          </w:p>
        </w:tc>
      </w:tr>
      <w:tr>
        <w:trPr>
          <w:trHeight w:val="160"/>
        </w:trPr>
        <w:tc>
          <w:tcPr>
            <w:tcW w:w="8160" w:type="dxa"/>
            <w:vAlign w:val="bottom"/>
            <w:tcBorders>
              <w:left w:val="single" w:sz="8" w:color="CCEEFF"/>
            </w:tcBorders>
            <w:gridSpan w:val="3"/>
            <w:shd w:val="clear" w:color="auto" w:fill="CCEEFF"/>
          </w:tcPr>
          <w:p>
            <w:pPr>
              <w:ind w:left="180"/>
              <w:spacing w:after="0"/>
              <w:rPr>
                <w:sz w:val="20"/>
                <w:szCs w:val="20"/>
                <w:color w:val="auto"/>
              </w:rPr>
            </w:pPr>
            <w:r>
              <w:rPr>
                <w:rFonts w:ascii="Arial" w:cs="Arial" w:eastAsia="Arial" w:hAnsi="Arial"/>
                <w:sz w:val="12"/>
                <w:szCs w:val="12"/>
                <w:color w:val="auto"/>
              </w:rPr>
              <w:t>Total</w:t>
            </w:r>
          </w:p>
        </w:tc>
        <w:tc>
          <w:tcPr>
            <w:tcW w:w="10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1,582</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1,448</w:t>
            </w:r>
          </w:p>
        </w:tc>
      </w:tr>
      <w:tr>
        <w:trPr>
          <w:trHeight w:val="181"/>
        </w:trPr>
        <w:tc>
          <w:tcPr>
            <w:tcW w:w="5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3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92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8,884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10,392</w:t>
            </w:r>
          </w:p>
        </w:tc>
      </w:tr>
      <w:tr>
        <w:trPr>
          <w:trHeight w:val="144"/>
        </w:trPr>
        <w:tc>
          <w:tcPr>
            <w:tcW w:w="81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Segment profit</w:t>
            </w: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36"/>
        </w:trPr>
        <w:tc>
          <w:tcPr>
            <w:tcW w:w="520" w:type="dxa"/>
            <w:vAlign w:val="bottom"/>
            <w:tcBorders>
              <w:left w:val="single" w:sz="8" w:color="CCEEFF"/>
            </w:tcBorders>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73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r>
        <w:trPr>
          <w:trHeight w:val="176"/>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Aerospace</w:t>
            </w:r>
          </w:p>
        </w:tc>
        <w:tc>
          <w:tcPr>
            <w:tcW w:w="1060" w:type="dxa"/>
            <w:vAlign w:val="bottom"/>
          </w:tcPr>
          <w:p>
            <w:pPr>
              <w:jc w:val="right"/>
              <w:ind w:right="92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838</w:t>
            </w:r>
          </w:p>
        </w:tc>
        <w:tc>
          <w:tcPr>
            <w:tcW w:w="100" w:type="dxa"/>
            <w:vAlign w:val="bottom"/>
          </w:tcPr>
          <w:p>
            <w:pPr>
              <w:spacing w:after="0"/>
              <w:rPr>
                <w:sz w:val="15"/>
                <w:szCs w:val="15"/>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893</w:t>
            </w:r>
          </w:p>
        </w:tc>
      </w:tr>
      <w:tr>
        <w:trPr>
          <w:trHeight w:val="185"/>
        </w:trPr>
        <w:tc>
          <w:tcPr>
            <w:tcW w:w="81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Honeywell Building Technologies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416</w:t>
            </w:r>
          </w:p>
        </w:tc>
      </w:tr>
      <w:tr>
        <w:trPr>
          <w:trHeight w:val="176"/>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Performance Materials and Technologies</w:t>
            </w:r>
          </w:p>
        </w:tc>
        <w:tc>
          <w:tcPr>
            <w:tcW w:w="106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564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519</w:t>
            </w:r>
          </w:p>
        </w:tc>
      </w:tr>
      <w:tr>
        <w:trPr>
          <w:trHeight w:val="185"/>
        </w:trPr>
        <w:tc>
          <w:tcPr>
            <w:tcW w:w="81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Safety and Productivity Solutions</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231</w:t>
            </w:r>
          </w:p>
        </w:tc>
      </w:tr>
      <w:tr>
        <w:trPr>
          <w:trHeight w:val="176"/>
        </w:trPr>
        <w:tc>
          <w:tcPr>
            <w:tcW w:w="81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Corporate</w:t>
            </w: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(64)</w:t>
            </w:r>
          </w:p>
        </w:tc>
      </w:tr>
      <w:tr>
        <w:trPr>
          <w:trHeight w:val="160"/>
        </w:trPr>
        <w:tc>
          <w:tcPr>
            <w:tcW w:w="816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2"/>
                <w:szCs w:val="12"/>
                <w:color w:val="auto"/>
              </w:rPr>
              <w:t>Total segment profit</w:t>
            </w:r>
          </w:p>
        </w:tc>
        <w:tc>
          <w:tcPr>
            <w:tcW w:w="10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1,809</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1,995</w:t>
            </w:r>
          </w:p>
        </w:tc>
      </w:tr>
      <w:tr>
        <w:trPr>
          <w:trHeight w:val="160"/>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Interest and other financial charges</w:t>
            </w:r>
          </w:p>
        </w:tc>
        <w:tc>
          <w:tcPr>
            <w:tcW w:w="1060" w:type="dxa"/>
            <w:vAlign w:val="bottom"/>
          </w:tcPr>
          <w:p>
            <w:pPr>
              <w:spacing w:after="0"/>
              <w:rPr>
                <w:sz w:val="13"/>
                <w:szCs w:val="13"/>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(83)</w:t>
            </w:r>
          </w:p>
        </w:tc>
      </w:tr>
      <w:tr>
        <w:trPr>
          <w:trHeight w:val="185"/>
        </w:trPr>
        <w:tc>
          <w:tcPr>
            <w:tcW w:w="81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Stock compensation expense</w:t>
            </w:r>
            <w:r>
              <w:rPr>
                <w:rFonts w:ascii="Arial" w:cs="Arial" w:eastAsia="Arial" w:hAnsi="Arial"/>
                <w:sz w:val="9"/>
                <w:szCs w:val="9"/>
                <w:color w:val="auto"/>
              </w:rPr>
              <w:t>(a)</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(52)</w:t>
            </w:r>
          </w:p>
        </w:tc>
      </w:tr>
      <w:tr>
        <w:trPr>
          <w:trHeight w:val="176"/>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Pension ongoing income</w:t>
            </w:r>
            <w:r>
              <w:rPr>
                <w:rFonts w:ascii="Arial" w:cs="Arial" w:eastAsia="Arial" w:hAnsi="Arial"/>
                <w:sz w:val="9"/>
                <w:szCs w:val="9"/>
                <w:color w:val="auto"/>
              </w:rPr>
              <w:t>(b)</w:t>
            </w:r>
          </w:p>
        </w:tc>
        <w:tc>
          <w:tcPr>
            <w:tcW w:w="106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248</w:t>
            </w:r>
          </w:p>
        </w:tc>
      </w:tr>
      <w:tr>
        <w:trPr>
          <w:trHeight w:val="185"/>
        </w:trPr>
        <w:tc>
          <w:tcPr>
            <w:tcW w:w="81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Other postretirement income</w:t>
            </w:r>
            <w:r>
              <w:rPr>
                <w:rFonts w:ascii="Arial" w:cs="Arial" w:eastAsia="Arial" w:hAnsi="Arial"/>
                <w:sz w:val="9"/>
                <w:szCs w:val="9"/>
                <w:color w:val="auto"/>
              </w:rPr>
              <w:t>(b)</w:t>
            </w: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r>
      <w:tr>
        <w:trPr>
          <w:trHeight w:val="176"/>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Repositioning and other charges</w:t>
            </w:r>
            <w:r>
              <w:rPr>
                <w:rFonts w:ascii="Arial" w:cs="Arial" w:eastAsia="Arial" w:hAnsi="Arial"/>
                <w:sz w:val="9"/>
                <w:szCs w:val="9"/>
                <w:color w:val="auto"/>
              </w:rPr>
              <w:t>(c)</w:t>
            </w:r>
          </w:p>
        </w:tc>
        <w:tc>
          <w:tcPr>
            <w:tcW w:w="1060" w:type="dxa"/>
            <w:vAlign w:val="bottom"/>
          </w:tcPr>
          <w:p>
            <w:pPr>
              <w:spacing w:after="0"/>
              <w:rPr>
                <w:sz w:val="15"/>
                <w:szCs w:val="15"/>
                <w:color w:val="auto"/>
              </w:rPr>
            </w:pP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(84)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(191)</w:t>
            </w:r>
          </w:p>
        </w:tc>
      </w:tr>
      <w:tr>
        <w:trPr>
          <w:trHeight w:val="180"/>
        </w:trPr>
        <w:tc>
          <w:tcPr>
            <w:tcW w:w="81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Other</w:t>
            </w:r>
            <w:r>
              <w:rPr>
                <w:rFonts w:ascii="Arial" w:cs="Arial" w:eastAsia="Arial" w:hAnsi="Arial"/>
                <w:sz w:val="9"/>
                <w:szCs w:val="9"/>
                <w:color w:val="auto"/>
              </w:rPr>
              <w:t>(d)</w:t>
            </w: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w:t>
            </w:r>
          </w:p>
        </w:tc>
      </w:tr>
      <w:tr>
        <w:trPr>
          <w:trHeight w:val="172"/>
        </w:trPr>
        <w:tc>
          <w:tcPr>
            <w:tcW w:w="8160" w:type="dxa"/>
            <w:vAlign w:val="bottom"/>
            <w:gridSpan w:val="3"/>
          </w:tcPr>
          <w:p>
            <w:pPr>
              <w:ind w:left="20"/>
              <w:spacing w:after="0"/>
              <w:rPr>
                <w:sz w:val="20"/>
                <w:szCs w:val="20"/>
                <w:color w:val="auto"/>
              </w:rPr>
            </w:pPr>
            <w:r>
              <w:rPr>
                <w:rFonts w:ascii="Arial" w:cs="Arial" w:eastAsia="Arial" w:hAnsi="Arial"/>
                <w:sz w:val="12"/>
                <w:szCs w:val="12"/>
                <w:color w:val="auto"/>
              </w:rPr>
              <w:t>Income before taxes</w:t>
            </w:r>
          </w:p>
        </w:tc>
        <w:tc>
          <w:tcPr>
            <w:tcW w:w="1060" w:type="dxa"/>
            <w:vAlign w:val="bottom"/>
            <w:tcBorders>
              <w:bottom w:val="single" w:sz="8" w:color="auto"/>
            </w:tcBorders>
          </w:tcPr>
          <w:p>
            <w:pPr>
              <w:jc w:val="right"/>
              <w:ind w:right="92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1,842</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1,911</w:t>
            </w:r>
          </w:p>
        </w:tc>
      </w:tr>
    </w:tbl>
    <w:p>
      <w:pPr>
        <w:spacing w:after="0" w:line="144" w:lineRule="exact"/>
        <w:rPr>
          <w:sz w:val="20"/>
          <w:szCs w:val="20"/>
          <w:color w:val="auto"/>
        </w:rPr>
      </w:pPr>
    </w:p>
    <w:p>
      <w:pPr>
        <w:ind w:left="188" w:hanging="188"/>
        <w:spacing w:after="0"/>
        <w:tabs>
          <w:tab w:leader="none" w:pos="188" w:val="left"/>
        </w:tabs>
        <w:numPr>
          <w:ilvl w:val="0"/>
          <w:numId w:val="1"/>
        </w:numPr>
        <w:rPr>
          <w:rFonts w:ascii="Arial" w:cs="Arial" w:eastAsia="Arial" w:hAnsi="Arial"/>
          <w:sz w:val="12"/>
          <w:szCs w:val="12"/>
          <w:color w:val="auto"/>
        </w:rPr>
      </w:pPr>
      <w:r>
        <w:rPr>
          <w:rFonts w:ascii="Arial" w:cs="Arial" w:eastAsia="Arial" w:hAnsi="Arial"/>
          <w:sz w:val="12"/>
          <w:szCs w:val="12"/>
          <w:color w:val="auto"/>
        </w:rPr>
        <w:t>Amounts included in Selling, general and administrative expenses.</w:t>
      </w:r>
    </w:p>
    <w:p>
      <w:pPr>
        <w:spacing w:after="0" w:line="6" w:lineRule="exact"/>
        <w:rPr>
          <w:rFonts w:ascii="Arial" w:cs="Arial" w:eastAsia="Arial" w:hAnsi="Arial"/>
          <w:sz w:val="12"/>
          <w:szCs w:val="12"/>
          <w:color w:val="auto"/>
        </w:rPr>
      </w:pPr>
    </w:p>
    <w:p>
      <w:pPr>
        <w:ind w:left="188" w:hanging="188"/>
        <w:spacing w:after="0"/>
        <w:tabs>
          <w:tab w:leader="none" w:pos="188" w:val="left"/>
        </w:tabs>
        <w:numPr>
          <w:ilvl w:val="0"/>
          <w:numId w:val="1"/>
        </w:numPr>
        <w:rPr>
          <w:rFonts w:ascii="Arial" w:cs="Arial" w:eastAsia="Arial" w:hAnsi="Arial"/>
          <w:sz w:val="12"/>
          <w:szCs w:val="12"/>
          <w:color w:val="auto"/>
        </w:rPr>
      </w:pPr>
      <w:r>
        <w:rPr>
          <w:rFonts w:ascii="Arial" w:cs="Arial" w:eastAsia="Arial" w:hAnsi="Arial"/>
          <w:sz w:val="12"/>
          <w:szCs w:val="12"/>
          <w:color w:val="auto"/>
        </w:rPr>
        <w:t>Amounts included in Cost of products and services sold and Selling, general and administrative expenses (service costs) and Other income/expense (non-service cost components).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8"/>
          </w:cols>
          <w:pgMar w:left="212" w:top="125" w:right="199" w:bottom="1440" w:gutter="0" w:footer="0" w:header="0"/>
        </w:sectPr>
      </w:pPr>
    </w:p>
    <w:bookmarkStart w:id="23" w:name="page24"/>
    <w:bookmarkEnd w:id="23"/>
    <w:p>
      <w:pPr>
        <w:jc w:val="center"/>
        <w:ind w:right="-7"/>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312" w:lineRule="exact"/>
        <w:rPr>
          <w:sz w:val="20"/>
          <w:szCs w:val="20"/>
          <w:color w:val="auto"/>
        </w:rPr>
      </w:pPr>
    </w:p>
    <w:p>
      <w:pPr>
        <w:ind w:left="168" w:hanging="168"/>
        <w:spacing w:after="0"/>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Amounts included in Cost of products and services sold, Selling, general and administrative expenses, and Other income/expense.</w:t>
      </w:r>
    </w:p>
    <w:p>
      <w:pPr>
        <w:spacing w:after="0" w:line="6" w:lineRule="exact"/>
        <w:rPr>
          <w:rFonts w:ascii="Arial" w:cs="Arial" w:eastAsia="Arial" w:hAnsi="Arial"/>
          <w:sz w:val="12"/>
          <w:szCs w:val="12"/>
          <w:color w:val="auto"/>
        </w:rPr>
      </w:pPr>
    </w:p>
    <w:p>
      <w:pPr>
        <w:ind w:left="188" w:hanging="188"/>
        <w:spacing w:after="0"/>
        <w:tabs>
          <w:tab w:leader="none" w:pos="188" w:val="left"/>
        </w:tabs>
        <w:numPr>
          <w:ilvl w:val="0"/>
          <w:numId w:val="2"/>
        </w:numPr>
        <w:rPr>
          <w:rFonts w:ascii="Arial" w:cs="Arial" w:eastAsia="Arial" w:hAnsi="Arial"/>
          <w:sz w:val="12"/>
          <w:szCs w:val="12"/>
          <w:color w:val="auto"/>
        </w:rPr>
      </w:pPr>
      <w:r>
        <w:rPr>
          <w:rFonts w:ascii="Arial" w:cs="Arial" w:eastAsia="Arial" w:hAnsi="Arial"/>
          <w:sz w:val="12"/>
          <w:szCs w:val="12"/>
          <w:color w:val="auto"/>
        </w:rPr>
        <w:t>Amounts include the other components of Other income/expense not included within other categories in this reconciliation. Equity income/loss of affiliated companies is included in segment profit.</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15. Pension Benefits</w:t>
      </w:r>
    </w:p>
    <w:p>
      <w:pPr>
        <w:spacing w:after="0" w:line="16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Net periodic pension benefit costs for our significant defined benefit plans include the following components:</w:t>
      </w:r>
    </w:p>
    <w:p>
      <w:pPr>
        <w:spacing w:after="0" w:line="250" w:lineRule="exact"/>
        <w:rPr>
          <w:sz w:val="20"/>
          <w:szCs w:val="20"/>
          <w:color w:val="auto"/>
        </w:rPr>
      </w:pPr>
    </w:p>
    <w:p>
      <w:pPr>
        <w:ind w:left="9568"/>
        <w:spacing w:after="0"/>
        <w:rPr>
          <w:sz w:val="20"/>
          <w:szCs w:val="20"/>
          <w:color w:val="auto"/>
        </w:rPr>
      </w:pPr>
      <w:r>
        <w:rPr>
          <w:rFonts w:ascii="Arial" w:cs="Arial" w:eastAsia="Arial" w:hAnsi="Arial"/>
          <w:sz w:val="10"/>
          <w:szCs w:val="10"/>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5170170</wp:posOffset>
            </wp:positionH>
            <wp:positionV relativeFrom="paragraph">
              <wp:posOffset>12700</wp:posOffset>
            </wp:positionV>
            <wp:extent cx="210502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5025" cy="5715"/>
                    </a:xfrm>
                    <a:prstGeom prst="rect">
                      <a:avLst/>
                    </a:prstGeom>
                    <a:noFill/>
                  </pic:spPr>
                </pic:pic>
              </a:graphicData>
            </a:graphic>
          </wp:anchor>
        </w:drawing>
      </w:r>
    </w:p>
    <w:p>
      <w:pPr>
        <w:spacing w:after="0" w:line="18" w:lineRule="exact"/>
        <w:rPr>
          <w:sz w:val="20"/>
          <w:szCs w:val="20"/>
          <w:color w:val="auto"/>
        </w:rPr>
      </w:pPr>
    </w:p>
    <w:p>
      <w:pPr>
        <w:ind w:left="9328"/>
        <w:spacing w:after="0"/>
        <w:rPr>
          <w:sz w:val="20"/>
          <w:szCs w:val="20"/>
          <w:color w:val="auto"/>
        </w:rPr>
      </w:pPr>
      <w:r>
        <w:rPr>
          <w:rFonts w:ascii="Arial" w:cs="Arial" w:eastAsia="Arial" w:hAnsi="Arial"/>
          <w:sz w:val="10"/>
          <w:szCs w:val="10"/>
          <w:b w:val="1"/>
          <w:bCs w:val="1"/>
          <w:color w:val="auto"/>
        </w:rPr>
        <w:t>Three Months Ended</w:t>
      </w:r>
    </w:p>
    <w:p>
      <w:pPr>
        <w:spacing w:after="0" w:line="5" w:lineRule="exact"/>
        <w:rPr>
          <w:sz w:val="20"/>
          <w:szCs w:val="20"/>
          <w:color w:val="auto"/>
        </w:rPr>
      </w:pPr>
    </w:p>
    <w:p>
      <w:pPr>
        <w:ind w:left="9588"/>
        <w:spacing w:after="0"/>
        <w:rPr>
          <w:sz w:val="20"/>
          <w:szCs w:val="20"/>
          <w:color w:val="auto"/>
        </w:rPr>
      </w:pPr>
      <w:r>
        <w:rPr>
          <w:rFonts w:ascii="Arial" w:cs="Arial" w:eastAsia="Arial" w:hAnsi="Arial"/>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5170170</wp:posOffset>
            </wp:positionH>
            <wp:positionV relativeFrom="paragraph">
              <wp:posOffset>5080</wp:posOffset>
            </wp:positionV>
            <wp:extent cx="210502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5025" cy="5715"/>
                    </a:xfrm>
                    <a:prstGeom prst="rect">
                      <a:avLst/>
                    </a:prstGeom>
                    <a:noFill/>
                  </pic:spPr>
                </pic:pic>
              </a:graphicData>
            </a:graphic>
          </wp:anchor>
        </w:drawing>
      </w:r>
    </w:p>
    <w:p>
      <w:pPr>
        <w:spacing w:after="0" w:line="42"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814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2018</w:t>
            </w:r>
          </w:p>
        </w:tc>
      </w:tr>
      <w:tr>
        <w:trPr>
          <w:trHeight w:val="164"/>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 cost</w:t>
            </w:r>
          </w:p>
        </w:tc>
        <w:tc>
          <w:tcPr>
            <w:tcW w:w="1080" w:type="dxa"/>
            <w:vAlign w:val="bottom"/>
            <w:shd w:val="clear" w:color="auto" w:fill="CCEEFF"/>
          </w:tcPr>
          <w:p>
            <w:pPr>
              <w:jc w:val="right"/>
              <w:ind w:right="94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35</w:t>
            </w:r>
          </w:p>
        </w:tc>
      </w:tr>
      <w:tr>
        <w:trPr>
          <w:trHeight w:val="176"/>
        </w:trPr>
        <w:tc>
          <w:tcPr>
            <w:tcW w:w="8140" w:type="dxa"/>
            <w:vAlign w:val="bottom"/>
          </w:tcPr>
          <w:p>
            <w:pPr>
              <w:ind w:left="20"/>
              <w:spacing w:after="0"/>
              <w:rPr>
                <w:sz w:val="20"/>
                <w:szCs w:val="20"/>
                <w:color w:val="auto"/>
              </w:rPr>
            </w:pPr>
            <w:r>
              <w:rPr>
                <w:rFonts w:ascii="Arial" w:cs="Arial" w:eastAsia="Arial" w:hAnsi="Arial"/>
                <w:sz w:val="12"/>
                <w:szCs w:val="12"/>
                <w:color w:val="auto"/>
              </w:rPr>
              <w:t>Interest cost</w:t>
            </w:r>
          </w:p>
        </w:tc>
        <w:tc>
          <w:tcPr>
            <w:tcW w:w="1080" w:type="dxa"/>
            <w:vAlign w:val="bottom"/>
          </w:tcPr>
          <w:p>
            <w:pPr>
              <w:spacing w:after="0"/>
              <w:rPr>
                <w:sz w:val="15"/>
                <w:szCs w:val="15"/>
                <w:color w:val="auto"/>
              </w:rPr>
            </w:pP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153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143</w:t>
            </w:r>
          </w:p>
        </w:tc>
      </w:tr>
      <w:tr>
        <w:trPr>
          <w:trHeight w:val="185"/>
        </w:trPr>
        <w:tc>
          <w:tcPr>
            <w:tcW w:w="8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Expected return on plan assets</w:t>
            </w: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(279)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(357)</w:t>
            </w:r>
          </w:p>
        </w:tc>
      </w:tr>
      <w:tr>
        <w:trPr>
          <w:trHeight w:val="17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Amortization of prior service (credit)</w:t>
            </w:r>
          </w:p>
        </w:tc>
        <w:tc>
          <w:tcPr>
            <w:tcW w:w="10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w:t>
            </w:r>
          </w:p>
        </w:tc>
      </w:tr>
      <w:tr>
        <w:trPr>
          <w:trHeight w:val="172"/>
        </w:trPr>
        <w:tc>
          <w:tcPr>
            <w:tcW w:w="81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4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(116)</w:t>
            </w: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(190)</w:t>
            </w:r>
          </w:p>
        </w:tc>
      </w:tr>
    </w:tbl>
    <w:p>
      <w:pPr>
        <w:spacing w:after="0" w:line="99" w:lineRule="exact"/>
        <w:rPr>
          <w:sz w:val="20"/>
          <w:szCs w:val="20"/>
          <w:color w:val="auto"/>
        </w:rPr>
      </w:pPr>
    </w:p>
    <w:p>
      <w:pPr>
        <w:ind w:left="9488"/>
        <w:spacing w:after="0"/>
        <w:rPr>
          <w:sz w:val="20"/>
          <w:szCs w:val="20"/>
          <w:color w:val="auto"/>
        </w:rPr>
      </w:pPr>
      <w:r>
        <w:rPr>
          <w:rFonts w:ascii="Arial" w:cs="Arial" w:eastAsia="Arial" w:hAnsi="Arial"/>
          <w:sz w:val="10"/>
          <w:szCs w:val="10"/>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5181600</wp:posOffset>
            </wp:positionH>
            <wp:positionV relativeFrom="paragraph">
              <wp:posOffset>12700</wp:posOffset>
            </wp:positionV>
            <wp:extent cx="210502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5025" cy="5715"/>
                    </a:xfrm>
                    <a:prstGeom prst="rect">
                      <a:avLst/>
                    </a:prstGeom>
                    <a:noFill/>
                  </pic:spPr>
                </pic:pic>
              </a:graphicData>
            </a:graphic>
          </wp:anchor>
        </w:drawing>
      </w:r>
    </w:p>
    <w:p>
      <w:pPr>
        <w:spacing w:after="0" w:line="18" w:lineRule="exact"/>
        <w:rPr>
          <w:sz w:val="20"/>
          <w:szCs w:val="20"/>
          <w:color w:val="auto"/>
        </w:rPr>
      </w:pPr>
    </w:p>
    <w:p>
      <w:pPr>
        <w:ind w:left="9348"/>
        <w:spacing w:after="0"/>
        <w:rPr>
          <w:sz w:val="20"/>
          <w:szCs w:val="20"/>
          <w:color w:val="auto"/>
        </w:rPr>
      </w:pPr>
      <w:r>
        <w:rPr>
          <w:rFonts w:ascii="Arial" w:cs="Arial" w:eastAsia="Arial" w:hAnsi="Arial"/>
          <w:sz w:val="10"/>
          <w:szCs w:val="10"/>
          <w:b w:val="1"/>
          <w:bCs w:val="1"/>
          <w:color w:val="auto"/>
        </w:rPr>
        <w:t>Three Months Ended</w:t>
      </w:r>
    </w:p>
    <w:p>
      <w:pPr>
        <w:spacing w:after="0" w:line="5" w:lineRule="exact"/>
        <w:rPr>
          <w:sz w:val="20"/>
          <w:szCs w:val="20"/>
          <w:color w:val="auto"/>
        </w:rPr>
      </w:pPr>
    </w:p>
    <w:p>
      <w:pPr>
        <w:ind w:left="9608"/>
        <w:spacing w:after="0"/>
        <w:rPr>
          <w:sz w:val="20"/>
          <w:szCs w:val="20"/>
          <w:color w:val="auto"/>
        </w:rPr>
      </w:pPr>
      <w:r>
        <w:rPr>
          <w:rFonts w:ascii="Arial" w:cs="Arial" w:eastAsia="Arial" w:hAnsi="Arial"/>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5181600</wp:posOffset>
            </wp:positionH>
            <wp:positionV relativeFrom="paragraph">
              <wp:posOffset>5080</wp:posOffset>
            </wp:positionV>
            <wp:extent cx="21050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5025" cy="5715"/>
                    </a:xfrm>
                    <a:prstGeom prst="rect">
                      <a:avLst/>
                    </a:prstGeom>
                    <a:noFill/>
                  </pic:spPr>
                </pic:pic>
              </a:graphicData>
            </a:graphic>
          </wp:anchor>
        </w:drawing>
      </w:r>
    </w:p>
    <w:p>
      <w:pPr>
        <w:spacing w:after="0" w:line="42" w:lineRule="exact"/>
        <w:rPr>
          <w:sz w:val="20"/>
          <w:szCs w:val="20"/>
          <w:color w:val="auto"/>
        </w:rPr>
      </w:pPr>
    </w:p>
    <w:tbl>
      <w:tblPr>
        <w:tblLayout w:type="fixed"/>
        <w:tblInd w:w="28" w:type="dxa"/>
        <w:tblCellMar>
          <w:top w:w="0" w:type="dxa"/>
          <w:left w:w="0" w:type="dxa"/>
          <w:bottom w:w="0" w:type="dxa"/>
          <w:right w:w="0" w:type="dxa"/>
        </w:tblCellMar>
      </w:tblPr>
      <w:tr>
        <w:trPr>
          <w:trHeight w:val="131"/>
        </w:trPr>
        <w:tc>
          <w:tcPr>
            <w:tcW w:w="814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2018</w:t>
            </w:r>
          </w:p>
        </w:tc>
      </w:tr>
      <w:tr>
        <w:trPr>
          <w:trHeight w:val="164"/>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Service cost</w:t>
            </w:r>
          </w:p>
        </w:tc>
        <w:tc>
          <w:tcPr>
            <w:tcW w:w="1100" w:type="dxa"/>
            <w:vAlign w:val="bottom"/>
            <w:shd w:val="clear" w:color="auto" w:fill="CCEEFF"/>
          </w:tcPr>
          <w:p>
            <w:pPr>
              <w:jc w:val="right"/>
              <w:ind w:right="96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w:t>
            </w:r>
          </w:p>
        </w:tc>
      </w:tr>
      <w:tr>
        <w:trPr>
          <w:trHeight w:val="176"/>
        </w:trPr>
        <w:tc>
          <w:tcPr>
            <w:tcW w:w="8140" w:type="dxa"/>
            <w:vAlign w:val="bottom"/>
          </w:tcPr>
          <w:p>
            <w:pPr>
              <w:spacing w:after="0"/>
              <w:rPr>
                <w:sz w:val="20"/>
                <w:szCs w:val="20"/>
                <w:color w:val="auto"/>
              </w:rPr>
            </w:pPr>
            <w:r>
              <w:rPr>
                <w:rFonts w:ascii="Arial" w:cs="Arial" w:eastAsia="Arial" w:hAnsi="Arial"/>
                <w:sz w:val="12"/>
                <w:szCs w:val="12"/>
                <w:color w:val="auto"/>
              </w:rPr>
              <w:t>Interest cost</w:t>
            </w:r>
          </w:p>
        </w:tc>
        <w:tc>
          <w:tcPr>
            <w:tcW w:w="1100" w:type="dxa"/>
            <w:vAlign w:val="bottom"/>
          </w:tcPr>
          <w:p>
            <w:pPr>
              <w:spacing w:after="0"/>
              <w:rPr>
                <w:sz w:val="15"/>
                <w:szCs w:val="15"/>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37</w:t>
            </w:r>
          </w:p>
        </w:tc>
      </w:tr>
      <w:tr>
        <w:trPr>
          <w:trHeight w:val="185"/>
        </w:trPr>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Expected return on plan assets</w:t>
            </w: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(115)</w:t>
            </w:r>
          </w:p>
        </w:tc>
      </w:tr>
      <w:tr>
        <w:trPr>
          <w:trHeight w:val="176"/>
        </w:trPr>
        <w:tc>
          <w:tcPr>
            <w:tcW w:w="8140" w:type="dxa"/>
            <w:vAlign w:val="bottom"/>
          </w:tcPr>
          <w:p>
            <w:pPr>
              <w:spacing w:after="0"/>
              <w:rPr>
                <w:sz w:val="20"/>
                <w:szCs w:val="20"/>
                <w:color w:val="auto"/>
              </w:rPr>
            </w:pPr>
            <w:r>
              <w:rPr>
                <w:rFonts w:ascii="Arial" w:cs="Arial" w:eastAsia="Arial" w:hAnsi="Arial"/>
                <w:sz w:val="12"/>
                <w:szCs w:val="12"/>
                <w:color w:val="auto"/>
              </w:rPr>
              <w:t>Amortization of prior service (credit)</w:t>
            </w:r>
          </w:p>
        </w:tc>
        <w:tc>
          <w:tcPr>
            <w:tcW w:w="1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120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172"/>
        </w:trPr>
        <w:tc>
          <w:tcPr>
            <w:tcW w:w="814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ind w:right="964"/>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(71)</w:t>
            </w:r>
          </w:p>
        </w:tc>
      </w:tr>
    </w:tbl>
    <w:p>
      <w:pPr>
        <w:spacing w:after="0" w:line="14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the first quarter of 2019, the Company repurchased $100 million of outstanding Honeywell shares from the Honeywell U.S. Pension Plan Master Trust.</w:t>
      </w:r>
    </w:p>
    <w:p>
      <w:pPr>
        <w:spacing w:after="0" w:line="28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0080" w:type="dxa"/>
            <w:vAlign w:val="bottom"/>
          </w:tcPr>
          <w:p>
            <w:pPr>
              <w:spacing w:after="0"/>
              <w:rPr>
                <w:sz w:val="20"/>
                <w:szCs w:val="20"/>
                <w:color w:val="auto"/>
              </w:rPr>
            </w:pPr>
            <w:r>
              <w:rPr>
                <w:rFonts w:ascii="Arial" w:cs="Arial" w:eastAsia="Arial" w:hAnsi="Arial"/>
                <w:sz w:val="12"/>
                <w:szCs w:val="12"/>
                <w:b w:val="1"/>
                <w:bCs w:val="1"/>
                <w:color w:val="auto"/>
              </w:rPr>
              <w:t>Note 16. Commitments and Contingencies</w:t>
            </w: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88"/>
        </w:trPr>
        <w:tc>
          <w:tcPr>
            <w:tcW w:w="10080" w:type="dxa"/>
            <w:vAlign w:val="bottom"/>
          </w:tcPr>
          <w:p>
            <w:pPr>
              <w:spacing w:after="0"/>
              <w:rPr>
                <w:sz w:val="20"/>
                <w:szCs w:val="20"/>
                <w:color w:val="auto"/>
              </w:rPr>
            </w:pPr>
            <w:r>
              <w:rPr>
                <w:rFonts w:ascii="Arial" w:cs="Arial" w:eastAsia="Arial" w:hAnsi="Arial"/>
                <w:sz w:val="12"/>
                <w:szCs w:val="12"/>
                <w:b w:val="1"/>
                <w:bCs w:val="1"/>
                <w:color w:val="auto"/>
              </w:rPr>
              <w:t>Environmental Matters</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10080" w:type="dxa"/>
            <w:vAlign w:val="bottom"/>
          </w:tcPr>
          <w:p>
            <w:pPr>
              <w:ind w:left="420"/>
              <w:spacing w:after="0"/>
              <w:rPr>
                <w:sz w:val="20"/>
                <w:szCs w:val="20"/>
                <w:color w:val="auto"/>
              </w:rPr>
            </w:pPr>
            <w:r>
              <w:rPr>
                <w:rFonts w:ascii="Arial" w:cs="Arial" w:eastAsia="Arial" w:hAnsi="Arial"/>
                <w:sz w:val="12"/>
                <w:szCs w:val="12"/>
                <w:color w:val="auto"/>
              </w:rPr>
              <w:t xml:space="preserve">Our environmental matters are described in Note 20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of Notes to Consolidated Financial Statements in our 2018 Annual Report on Form 10-K.</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10080" w:type="dxa"/>
            <w:vAlign w:val="bottom"/>
          </w:tcPr>
          <w:p>
            <w:pPr>
              <w:ind w:left="420"/>
              <w:spacing w:after="0"/>
              <w:rPr>
                <w:sz w:val="20"/>
                <w:szCs w:val="20"/>
                <w:color w:val="auto"/>
              </w:rPr>
            </w:pPr>
            <w:r>
              <w:rPr>
                <w:rFonts w:ascii="Arial" w:cs="Arial" w:eastAsia="Arial" w:hAnsi="Arial"/>
                <w:sz w:val="12"/>
                <w:szCs w:val="12"/>
                <w:color w:val="auto"/>
              </w:rPr>
              <w:t>The following table summarizes information concerning our recorded liabilities for environmental costs:</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10080" w:type="dxa"/>
            <w:vAlign w:val="bottom"/>
          </w:tcPr>
          <w:p>
            <w:pPr>
              <w:ind w:left="20"/>
              <w:spacing w:after="0"/>
              <w:rPr>
                <w:sz w:val="20"/>
                <w:szCs w:val="20"/>
                <w:color w:val="auto"/>
              </w:rPr>
            </w:pPr>
            <w:r>
              <w:rPr>
                <w:rFonts w:ascii="Arial" w:cs="Arial" w:eastAsia="Arial" w:hAnsi="Arial"/>
                <w:sz w:val="12"/>
                <w:szCs w:val="12"/>
                <w:color w:val="auto"/>
              </w:rPr>
              <w:t>December 31, 2018</w:t>
            </w: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2"/>
                <w:szCs w:val="12"/>
                <w:color w:val="auto"/>
              </w:rPr>
              <w:t>755</w:t>
            </w:r>
          </w:p>
        </w:tc>
      </w:tr>
      <w:tr>
        <w:trPr>
          <w:trHeight w:val="176"/>
        </w:trPr>
        <w:tc>
          <w:tcPr>
            <w:tcW w:w="10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Accruals for environmental matters deemed probable and reasonably estimable</w:t>
            </w:r>
          </w:p>
        </w:tc>
        <w:tc>
          <w:tcPr>
            <w:tcW w:w="5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86</w:t>
            </w:r>
          </w:p>
        </w:tc>
      </w:tr>
      <w:tr>
        <w:trPr>
          <w:trHeight w:val="167"/>
        </w:trPr>
        <w:tc>
          <w:tcPr>
            <w:tcW w:w="10080" w:type="dxa"/>
            <w:vAlign w:val="bottom"/>
          </w:tcPr>
          <w:p>
            <w:pPr>
              <w:ind w:left="100"/>
              <w:spacing w:after="0"/>
              <w:rPr>
                <w:sz w:val="20"/>
                <w:szCs w:val="20"/>
                <w:color w:val="auto"/>
              </w:rPr>
            </w:pPr>
            <w:r>
              <w:rPr>
                <w:rFonts w:ascii="Arial" w:cs="Arial" w:eastAsia="Arial" w:hAnsi="Arial"/>
                <w:sz w:val="12"/>
                <w:szCs w:val="12"/>
                <w:color w:val="auto"/>
              </w:rPr>
              <w:t>Environmental liability payments</w:t>
            </w:r>
          </w:p>
        </w:tc>
        <w:tc>
          <w:tcPr>
            <w:tcW w:w="5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71"/>
        </w:trPr>
        <w:tc>
          <w:tcPr>
            <w:tcW w:w="10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w:t>
            </w:r>
          </w:p>
        </w:tc>
        <w:tc>
          <w:tcPr>
            <w:tcW w:w="5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72"/>
        </w:trPr>
        <w:tc>
          <w:tcPr>
            <w:tcW w:w="10080" w:type="dxa"/>
            <w:vAlign w:val="bottom"/>
          </w:tcPr>
          <w:p>
            <w:pPr>
              <w:ind w:left="20"/>
              <w:spacing w:after="0"/>
              <w:rPr>
                <w:sz w:val="20"/>
                <w:szCs w:val="20"/>
                <w:color w:val="auto"/>
              </w:rPr>
            </w:pPr>
            <w:r>
              <w:rPr>
                <w:rFonts w:ascii="Arial" w:cs="Arial" w:eastAsia="Arial" w:hAnsi="Arial"/>
                <w:sz w:val="12"/>
                <w:szCs w:val="12"/>
                <w:color w:val="auto"/>
              </w:rPr>
              <w:t>March 31, 2019</w:t>
            </w: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812</w:t>
            </w:r>
          </w:p>
        </w:tc>
      </w:tr>
    </w:tbl>
    <w:p>
      <w:pPr>
        <w:spacing w:after="0" w:line="14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the quarter ended March 31, 2019 we recorded a gain of $43 million related to the sale of a legacy remediated property.</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Environmental liabilities are included in the following balance sheet accounts:</w:t>
      </w: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68"/>
          </w:cols>
          <w:pgMar w:left="212" w:top="125" w:right="219" w:bottom="1440" w:gutter="0" w:footer="0" w:header="0"/>
        </w:sectPr>
      </w:pPr>
    </w:p>
    <w:bookmarkStart w:id="24" w:name="page25"/>
    <w:bookmarkEnd w:id="24"/>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 2019</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December 31, 2018</w:t>
            </w:r>
          </w:p>
        </w:tc>
      </w:tr>
      <w:tr>
        <w:trPr>
          <w:trHeight w:val="164"/>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liabilities</w:t>
            </w:r>
          </w:p>
        </w:tc>
        <w:tc>
          <w:tcPr>
            <w:tcW w:w="1040" w:type="dxa"/>
            <w:vAlign w:val="bottom"/>
            <w:shd w:val="clear" w:color="auto" w:fill="CCEEFF"/>
          </w:tcPr>
          <w:p>
            <w:pPr>
              <w:jc w:val="right"/>
              <w:ind w:right="904"/>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9"/>
              </w:rPr>
              <w:t>175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175</w:t>
            </w:r>
          </w:p>
        </w:tc>
      </w:tr>
      <w:tr>
        <w:trPr>
          <w:trHeight w:val="176"/>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liabilities</w:t>
            </w:r>
          </w:p>
        </w:tc>
        <w:tc>
          <w:tcPr>
            <w:tcW w:w="1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9"/>
              </w:rPr>
              <w:t>637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580</w:t>
            </w:r>
          </w:p>
        </w:tc>
      </w:tr>
      <w:tr>
        <w:trPr>
          <w:trHeight w:val="172"/>
        </w:trPr>
        <w:tc>
          <w:tcPr>
            <w:tcW w:w="86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04"/>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9"/>
              </w:rPr>
              <w:t>812</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755</w:t>
            </w:r>
          </w:p>
        </w:tc>
      </w:tr>
    </w:tbl>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existing reserves, and the indemnification and reimbursement agreement with a Resideo subsidiary (as explained below), we do not expect that environmental matters will have a material adverse effect on our consolidated financial position.</w:t>
      </w:r>
    </w:p>
    <w:p>
      <w:pPr>
        <w:spacing w:after="0" w:line="13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Reimbursements associated with the indemnification and reimbursement agreement with a Resideo subsidiary were $35 million in the quarter ended March 31, 2019 and offset operating cash outflows incurred by the Company. As the Company records the accruals for environmental matters deemed probable and reasonably estimable related to the sites covered by the indemnification and reimbursement agreement, a corresponding receivable from Resideo for 90 percent of such accrual is also recorded. This receivable amount recorded in the quarter ended March 31, 2019 was $28 million. As of March 31, 2019, Other Current Assets and Other Assets includes $140 million and $469 million representing the short-term and long-term portion of the receivable amount due from Resideo under the indemnification and reimbursement agreement.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Asbestos Matters</w:t>
      </w:r>
    </w:p>
    <w:p>
      <w:pPr>
        <w:spacing w:after="0" w:line="164"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2"/>
          <w:szCs w:val="12"/>
          <w:color w:val="auto"/>
        </w:rPr>
        <w:t>Honeywell is a defendant in asbestos related personal injury actions related to North American Refractories Company (“NARCO”), which was sold in 1986, and Bendix Friction Materials (“Bendix”) business, which was sold in 2014.</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tables summarize information concerning NARCO and Bendix asbestos-related balances:</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2"/>
          <w:szCs w:val="12"/>
          <w:b w:val="1"/>
          <w:bCs w:val="1"/>
          <w:u w:val="single" w:color="auto"/>
          <w:color w:val="auto"/>
        </w:rPr>
        <w:t>Asbestos-Related Liabilities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20" w:type="dxa"/>
            <w:vAlign w:val="bottom"/>
            <w:tcBorders>
              <w:bottom w:val="single" w:sz="8" w:color="CCEEFF"/>
            </w:tcBorders>
          </w:tcPr>
          <w:p>
            <w:pPr>
              <w:spacing w:after="0"/>
              <w:rPr>
                <w:sz w:val="11"/>
                <w:szCs w:val="11"/>
                <w:color w:val="auto"/>
              </w:rPr>
            </w:pPr>
          </w:p>
        </w:tc>
        <w:tc>
          <w:tcPr>
            <w:tcW w:w="3080" w:type="dxa"/>
            <w:vAlign w:val="bottom"/>
            <w:tcBorders>
              <w:bottom w:val="single" w:sz="8" w:color="CCEEFF"/>
            </w:tcBorders>
          </w:tcPr>
          <w:p>
            <w:pPr>
              <w:spacing w:after="0"/>
              <w:rPr>
                <w:sz w:val="11"/>
                <w:szCs w:val="11"/>
                <w:color w:val="auto"/>
              </w:rPr>
            </w:pPr>
          </w:p>
        </w:tc>
        <w:tc>
          <w:tcPr>
            <w:tcW w:w="39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Bendix</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NARCO</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Total</w:t>
            </w:r>
          </w:p>
        </w:tc>
      </w:tr>
      <w:tr>
        <w:trPr>
          <w:trHeight w:val="164"/>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December 31, 2018</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1,623</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2,514</w:t>
            </w:r>
          </w:p>
        </w:tc>
      </w:tr>
      <w:tr>
        <w:trPr>
          <w:trHeight w:val="176"/>
        </w:trPr>
        <w:tc>
          <w:tcPr>
            <w:tcW w:w="20" w:type="dxa"/>
            <w:vAlign w:val="bottom"/>
          </w:tcPr>
          <w:p>
            <w:pPr>
              <w:spacing w:after="0"/>
              <w:rPr>
                <w:sz w:val="15"/>
                <w:szCs w:val="15"/>
                <w:color w:val="auto"/>
              </w:rPr>
            </w:pPr>
          </w:p>
        </w:tc>
        <w:tc>
          <w:tcPr>
            <w:tcW w:w="7060" w:type="dxa"/>
            <w:vAlign w:val="bottom"/>
            <w:gridSpan w:val="2"/>
          </w:tcPr>
          <w:p>
            <w:pPr>
              <w:ind w:left="100"/>
              <w:spacing w:after="0"/>
              <w:rPr>
                <w:sz w:val="20"/>
                <w:szCs w:val="20"/>
                <w:color w:val="auto"/>
              </w:rPr>
            </w:pPr>
            <w:r>
              <w:rPr>
                <w:rFonts w:ascii="Arial" w:cs="Arial" w:eastAsia="Arial" w:hAnsi="Arial"/>
                <w:sz w:val="12"/>
                <w:szCs w:val="12"/>
                <w:color w:val="auto"/>
              </w:rPr>
              <w:t>Accrual for update to estimated liability</w:t>
            </w:r>
          </w:p>
        </w:tc>
        <w:tc>
          <w:tcPr>
            <w:tcW w:w="920" w:type="dxa"/>
            <w:vAlign w:val="bottom"/>
          </w:tcPr>
          <w:p>
            <w:pPr>
              <w:spacing w:after="0"/>
              <w:rPr>
                <w:sz w:val="15"/>
                <w:szCs w:val="15"/>
                <w:color w:val="auto"/>
              </w:rPr>
            </w:pPr>
          </w:p>
        </w:tc>
        <w:tc>
          <w:tcPr>
            <w:tcW w:w="460" w:type="dxa"/>
            <w:vAlign w:val="bottom"/>
          </w:tcPr>
          <w:p>
            <w:pPr>
              <w:jc w:val="right"/>
              <w:ind w:right="6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43"/>
              <w:spacing w:after="0"/>
              <w:rPr>
                <w:sz w:val="20"/>
                <w:szCs w:val="20"/>
                <w:color w:val="auto"/>
              </w:rPr>
            </w:pPr>
            <w:r>
              <w:rPr>
                <w:rFonts w:ascii="Arial" w:cs="Arial" w:eastAsia="Arial" w:hAnsi="Arial"/>
                <w:sz w:val="12"/>
                <w:szCs w:val="12"/>
                <w:color w:val="auto"/>
              </w:rPr>
              <w:t>21</w:t>
            </w:r>
          </w:p>
        </w:tc>
      </w:tr>
      <w:tr>
        <w:trPr>
          <w:trHeight w:val="180"/>
        </w:trPr>
        <w:tc>
          <w:tcPr>
            <w:tcW w:w="20" w:type="dxa"/>
            <w:vAlign w:val="bottom"/>
            <w:shd w:val="clear" w:color="auto" w:fill="CCEEFF"/>
          </w:tcPr>
          <w:p>
            <w:pPr>
              <w:spacing w:after="0"/>
              <w:rPr>
                <w:sz w:val="15"/>
                <w:szCs w:val="15"/>
                <w:color w:val="auto"/>
              </w:rPr>
            </w:pP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Asbestos related liability payments</w:t>
            </w: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(44)</w:t>
            </w:r>
          </w:p>
        </w:tc>
      </w:tr>
      <w:tr>
        <w:trPr>
          <w:trHeight w:val="172"/>
        </w:trPr>
        <w:tc>
          <w:tcPr>
            <w:tcW w:w="7080" w:type="dxa"/>
            <w:vAlign w:val="bottom"/>
            <w:gridSpan w:val="3"/>
          </w:tcPr>
          <w:p>
            <w:pPr>
              <w:ind w:left="20"/>
              <w:spacing w:after="0"/>
              <w:rPr>
                <w:sz w:val="20"/>
                <w:szCs w:val="20"/>
                <w:color w:val="auto"/>
              </w:rPr>
            </w:pPr>
            <w:r>
              <w:rPr>
                <w:rFonts w:ascii="Arial" w:cs="Arial" w:eastAsia="Arial" w:hAnsi="Arial"/>
                <w:sz w:val="12"/>
                <w:szCs w:val="12"/>
                <w:color w:val="auto"/>
              </w:rPr>
              <w:t>March 31, 2019</w:t>
            </w:r>
          </w:p>
        </w:tc>
        <w:tc>
          <w:tcPr>
            <w:tcW w:w="9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1,594</w:t>
            </w:r>
          </w:p>
        </w:tc>
        <w:tc>
          <w:tcPr>
            <w:tcW w:w="12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24"/>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897</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2"/>
                <w:szCs w:val="12"/>
                <w:color w:val="auto"/>
              </w:rPr>
              <w:t>2,491</w:t>
            </w:r>
          </w:p>
        </w:tc>
      </w:tr>
      <w:tr>
        <w:trPr>
          <w:trHeight w:val="378"/>
        </w:trPr>
        <w:tc>
          <w:tcPr>
            <w:tcW w:w="7080" w:type="dxa"/>
            <w:vAlign w:val="bottom"/>
            <w:gridSpan w:val="3"/>
          </w:tcPr>
          <w:p>
            <w:pPr>
              <w:ind w:left="20"/>
              <w:spacing w:after="0"/>
              <w:rPr>
                <w:sz w:val="20"/>
                <w:szCs w:val="20"/>
                <w:color w:val="auto"/>
              </w:rPr>
            </w:pPr>
            <w:r>
              <w:rPr>
                <w:rFonts w:ascii="Arial" w:cs="Arial" w:eastAsia="Arial" w:hAnsi="Arial"/>
                <w:sz w:val="12"/>
                <w:szCs w:val="12"/>
                <w:b w:val="1"/>
                <w:bCs w:val="1"/>
                <w:color w:val="auto"/>
              </w:rPr>
              <w:t>Insurance Recoveries for Asbestos-Related Liabilities</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080" w:type="dxa"/>
            <w:vAlign w:val="bottom"/>
            <w:tcBorders>
              <w:top w:val="single" w:sz="8" w:color="auto"/>
              <w:bottom w:val="single" w:sz="8" w:color="CCEEFF"/>
            </w:tcBorders>
          </w:tcPr>
          <w:p>
            <w:pPr>
              <w:spacing w:after="0"/>
              <w:rPr>
                <w:sz w:val="16"/>
                <w:szCs w:val="16"/>
                <w:color w:val="auto"/>
              </w:rPr>
            </w:pPr>
          </w:p>
        </w:tc>
        <w:tc>
          <w:tcPr>
            <w:tcW w:w="39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Bendix</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NARCO</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Total</w:t>
            </w:r>
          </w:p>
        </w:tc>
      </w:tr>
      <w:tr>
        <w:trPr>
          <w:trHeight w:val="164"/>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December 31, 2018</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170</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477</w:t>
            </w:r>
          </w:p>
        </w:tc>
      </w:tr>
      <w:tr>
        <w:trPr>
          <w:trHeight w:val="176"/>
        </w:trPr>
        <w:tc>
          <w:tcPr>
            <w:tcW w:w="20" w:type="dxa"/>
            <w:vAlign w:val="bottom"/>
            <w:tcBorders>
              <w:bottom w:val="single" w:sz="8" w:color="CCEEFF"/>
            </w:tcBorders>
          </w:tcPr>
          <w:p>
            <w:pPr>
              <w:spacing w:after="0"/>
              <w:rPr>
                <w:sz w:val="15"/>
                <w:szCs w:val="15"/>
                <w:color w:val="auto"/>
              </w:rPr>
            </w:pPr>
          </w:p>
        </w:tc>
        <w:tc>
          <w:tcPr>
            <w:tcW w:w="7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2"/>
                <w:szCs w:val="12"/>
                <w:color w:val="auto"/>
              </w:rPr>
              <w:t>Insurance receipts for asbestos related liabilities</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w:t>
            </w:r>
          </w:p>
        </w:tc>
      </w:tr>
      <w:tr>
        <w:trPr>
          <w:trHeight w:val="172"/>
        </w:trPr>
        <w:tc>
          <w:tcPr>
            <w:tcW w:w="7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March 31, 2019</w:t>
            </w:r>
          </w:p>
        </w:tc>
        <w:tc>
          <w:tcPr>
            <w:tcW w:w="92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168</w:t>
            </w: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469</w:t>
            </w:r>
          </w:p>
        </w:tc>
      </w:tr>
    </w:tbl>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NARCO and Bendix asbestos related balances are included in the following balance sheet accounts: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125" w:right="199" w:bottom="1440" w:gutter="0" w:footer="0" w:header="0"/>
        </w:sectPr>
      </w:pPr>
    </w:p>
    <w:bookmarkStart w:id="25" w:name="page26"/>
    <w:bookmarkEnd w:id="25"/>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6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303"/>
              <w:spacing w:after="0"/>
              <w:rPr>
                <w:sz w:val="20"/>
                <w:szCs w:val="20"/>
                <w:color w:val="auto"/>
              </w:rPr>
            </w:pPr>
            <w:r>
              <w:rPr>
                <w:rFonts w:ascii="Arial" w:cs="Arial" w:eastAsia="Arial" w:hAnsi="Arial"/>
                <w:sz w:val="10"/>
                <w:szCs w:val="10"/>
                <w:b w:val="1"/>
                <w:bCs w:val="1"/>
                <w:color w:val="auto"/>
              </w:rPr>
              <w:t>December 31,</w:t>
            </w:r>
          </w:p>
        </w:tc>
      </w:tr>
      <w:tr>
        <w:trPr>
          <w:trHeight w:val="184"/>
        </w:trPr>
        <w:tc>
          <w:tcPr>
            <w:tcW w:w="86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2018</w:t>
            </w:r>
          </w:p>
        </w:tc>
      </w:tr>
      <w:tr>
        <w:trPr>
          <w:trHeight w:val="164"/>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current assets</w:t>
            </w:r>
          </w:p>
        </w:tc>
        <w:tc>
          <w:tcPr>
            <w:tcW w:w="940" w:type="dxa"/>
            <w:vAlign w:val="bottom"/>
            <w:shd w:val="clear" w:color="auto" w:fill="CCEEFF"/>
          </w:tcPr>
          <w:p>
            <w:pPr>
              <w:jc w:val="right"/>
              <w:ind w:right="80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40</w:t>
            </w:r>
          </w:p>
        </w:tc>
      </w:tr>
      <w:tr>
        <w:trPr>
          <w:trHeight w:val="176"/>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Insurance recoveries for asbestos related liabilities</w:t>
            </w:r>
          </w:p>
        </w:tc>
        <w:tc>
          <w:tcPr>
            <w:tcW w:w="9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437</w:t>
            </w:r>
          </w:p>
        </w:tc>
      </w:tr>
      <w:tr>
        <w:trPr>
          <w:trHeight w:val="172"/>
        </w:trPr>
        <w:tc>
          <w:tcPr>
            <w:tcW w:w="86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477</w:t>
            </w:r>
          </w:p>
        </w:tc>
      </w:tr>
      <w:tr>
        <w:trPr>
          <w:trHeight w:val="167"/>
        </w:trPr>
        <w:tc>
          <w:tcPr>
            <w:tcW w:w="8600" w:type="dxa"/>
            <w:vAlign w:val="bottom"/>
          </w:tcPr>
          <w:p>
            <w:pPr>
              <w:ind w:left="20"/>
              <w:spacing w:after="0"/>
              <w:rPr>
                <w:sz w:val="20"/>
                <w:szCs w:val="20"/>
                <w:color w:val="auto"/>
              </w:rPr>
            </w:pPr>
            <w:r>
              <w:rPr>
                <w:rFonts w:ascii="Arial" w:cs="Arial" w:eastAsia="Arial" w:hAnsi="Arial"/>
                <w:sz w:val="12"/>
                <w:szCs w:val="12"/>
                <w:color w:val="auto"/>
              </w:rPr>
              <w:t>Accrued liabilities</w:t>
            </w:r>
          </w:p>
        </w:tc>
        <w:tc>
          <w:tcPr>
            <w:tcW w:w="940" w:type="dxa"/>
            <w:vAlign w:val="bottom"/>
          </w:tcPr>
          <w:p>
            <w:pPr>
              <w:jc w:val="right"/>
              <w:ind w:right="804"/>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245</w:t>
            </w:r>
          </w:p>
        </w:tc>
        <w:tc>
          <w:tcPr>
            <w:tcW w:w="100" w:type="dxa"/>
            <w:vAlign w:val="bottom"/>
          </w:tcPr>
          <w:p>
            <w:pPr>
              <w:spacing w:after="0"/>
              <w:rPr>
                <w:sz w:val="14"/>
                <w:szCs w:val="14"/>
                <w:color w:val="auto"/>
              </w:rPr>
            </w:pPr>
          </w:p>
        </w:tc>
        <w:tc>
          <w:tcPr>
            <w:tcW w:w="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3"/>
              <w:spacing w:after="0"/>
              <w:rPr>
                <w:sz w:val="20"/>
                <w:szCs w:val="20"/>
                <w:color w:val="auto"/>
              </w:rPr>
            </w:pPr>
            <w:r>
              <w:rPr>
                <w:rFonts w:ascii="Arial" w:cs="Arial" w:eastAsia="Arial" w:hAnsi="Arial"/>
                <w:sz w:val="12"/>
                <w:szCs w:val="12"/>
                <w:color w:val="auto"/>
              </w:rPr>
              <w:t>245</w:t>
            </w:r>
          </w:p>
        </w:tc>
      </w:tr>
      <w:tr>
        <w:trPr>
          <w:trHeight w:val="180"/>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Asbestos related liabilities</w:t>
            </w:r>
          </w:p>
        </w:tc>
        <w:tc>
          <w:tcPr>
            <w:tcW w:w="9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9"/>
              </w:rPr>
              <w:t>2,246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2,269</w:t>
            </w:r>
          </w:p>
        </w:tc>
      </w:tr>
      <w:tr>
        <w:trPr>
          <w:trHeight w:val="172"/>
        </w:trPr>
        <w:tc>
          <w:tcPr>
            <w:tcW w:w="8600" w:type="dxa"/>
            <w:vAlign w:val="bottom"/>
          </w:tcPr>
          <w:p>
            <w:pPr>
              <w:spacing w:after="0"/>
              <w:rPr>
                <w:sz w:val="14"/>
                <w:szCs w:val="14"/>
                <w:color w:val="auto"/>
              </w:rPr>
            </w:pPr>
          </w:p>
        </w:tc>
        <w:tc>
          <w:tcPr>
            <w:tcW w:w="940" w:type="dxa"/>
            <w:vAlign w:val="bottom"/>
            <w:tcBorders>
              <w:bottom w:val="single" w:sz="8" w:color="auto"/>
            </w:tcBorders>
          </w:tcPr>
          <w:p>
            <w:pPr>
              <w:jc w:val="right"/>
              <w:ind w:right="80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9"/>
              </w:rPr>
              <w:t>2,491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2,514</w:t>
            </w:r>
          </w:p>
        </w:tc>
      </w:tr>
    </w:tbl>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b w:val="1"/>
          <w:bCs w:val="1"/>
          <w:i w:val="1"/>
          <w:iCs w:val="1"/>
          <w:color w:val="auto"/>
        </w:rPr>
        <w:t xml:space="preserve">NARCO Products </w:t>
      </w:r>
      <w:r>
        <w:rPr>
          <w:rFonts w:ascii="Arial" w:cs="Arial" w:eastAsia="Arial" w:hAnsi="Arial"/>
          <w:sz w:val="12"/>
          <w:szCs w:val="12"/>
          <w:color w:val="auto"/>
        </w:rPr>
        <w:t>– Honeywell’s predecessor, Allied Corporation owned NARCO from 1979 to 1986. When the NARCO business was sold, Honeywell’s predecessor entered into a cross-indemnity agreement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NARCO which included an obligation to indemnify the purchaser for asbestos claims. Such claims arise primarily from alleged occupational exposure to asbestos-containing refractory brick and mortar for high-temperature applications. NARCO ceased manufacturing these products in 1980, and the first asbestos claims were filed in the tort system against NARCO in 1983. Claims filings and related costs increased dramatically in the late 1990s through 2001, which led to NARCO filing for bankruptcy in January 2002. Once NARCO filed for bankruptcy, all then current and future NARCO asbestos claims were stayed against both NARCO and Honeywell pending the reorganization of NARCO.</w:t>
      </w:r>
    </w:p>
    <w:p>
      <w:pPr>
        <w:spacing w:after="0" w:line="13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Following the bankruptcy filing, in December 2002 Honeywell recorded a total NARCO asbestos liability of $3.2 billion, which was comprised of three components: (i) the estimated liability to settle pre-bankruptcy petition NARCO claims and certain post-petition settlements ($2.2 billion, referred to as “Pre-bankruptcy NARCO Liability”), (ii) the estimated liability related to then unasserted NARCO claims for the period 2004 through 2018 ($950 million, referred to as “NARCO Trust Liability”), and (iii) other NARCO bankruptcy-related obligations totaling $73 million.</w:t>
      </w:r>
    </w:p>
    <w:p>
      <w:pPr>
        <w:spacing w:after="0" w:line="1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When the NARCO Trust Liability of $950 million was established in 2002, the methodology for estimating the potential liability was based primarily on: (a) epidemiological projections of the future incidence of disease for the period 2004 through 2018, a fifteen-year period; (b) historical claims rates in the tort system for the five-year period prior to the bankruptcy filing date; and (c) anticipated NARCO Trust payment values set forth in the then current draft of the NARCO Trust Distribution Procedures. The methodology required estimating, by disease, three critical inputs: (i) likely number of claims to be asserted against the NARCO Trust in the future, (ii) percentage of those claims likely to receive payment, and (iii) payment values. The Company utilized outside asbestos liability valuation specialists to support its preparation of the NARCO Trust Liability estimate, which was based on a commonly accepted methodology used by numerous bankruptcy courts addressing 524(g) trusts.</w:t>
      </w:r>
    </w:p>
    <w:p>
      <w:pPr>
        <w:spacing w:after="0" w:line="13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2"/>
          <w:szCs w:val="12"/>
          <w:color w:val="auto"/>
        </w:rPr>
        <w:t>In 2002, when we first established our initial liability, NARCO asbestos claims resolution shifted from the tort system to an anticipated NARCO Trust framework, where claims would be processed in accordance with established NARCO Trust Distribution Procedures, including strict medical and exposure criteria for a plaintiff to receive compensation. We believed at the time that the NARCO Trust’s claims filing and resolution experience after the NARCO Trust became operational would be significantly different from pre-bankruptcy tort system experience in light of these more rigorous claims processing requirements in the NARCO Trust Distribution Procedures and Honeywell’s active oversight of claims processing and approval. Given these anticipated differences, we believed that a 15-year time period was the appropriate horizon for establishing a probable and reasonably estimable liability for then unasserted NARCO claims as it represented our best estimate of the time period it would take for the NARCO Trust to be approved by the Bankruptcy Court, become fully operational and generate sufficiently reliable claims data (i.e., a data set which is statistically representative) to enable us to update our NARCO Trust Liability.</w:t>
      </w:r>
    </w:p>
    <w:p>
      <w:pPr>
        <w:spacing w:after="0" w:line="13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NARCO Trust Distribution Procedures were finalized in 2006, and the Company updated its NARCO Trust Liability to reflect the final terms and payment values. The original 15-year period (from 2004 through 2018) for unasserted claims did not change as asbestos claims filings continued to be stayed against both Honeywell and NARCO. The 2006 update resulted in a range of the estimated liability for unasserted claims of $743 million to $961 million, and we believed that no amount within this range was a better estimate than any other amount. In accordance with ASC 450 – Contingencies (“ASC 450”), we recorded the low end of the range of $743 million which resulted in a reduction of $207 million in our NARCO Trust Liability.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125" w:right="199" w:bottom="1440" w:gutter="0" w:footer="0" w:header="0"/>
        </w:sectPr>
      </w:pPr>
    </w:p>
    <w:bookmarkStart w:id="26" w:name="page27"/>
    <w:bookmarkEnd w:id="26"/>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31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NARCO emerged from bankruptcy on April 30, 2013, at which time a federally authorized 524(g)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w:t>
      </w:r>
    </w:p>
    <w:p>
      <w:pPr>
        <w:spacing w:after="0" w:line="135"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2"/>
          <w:szCs w:val="12"/>
          <w:color w:val="auto"/>
        </w:rPr>
        <w:t>The NARCO Trust Agreement and the NARCO Trust Distribution Procedures are the principal documents setting forth the structure of the NARCO Trust. These documents establish Honeywell’s evergreen funding obligations. Honeywell is obligated to fund NARCO asbestos claims submitted to the NARCO Trust which qualify for payment under the Trust Distribution Procedures (Annual Contribution Claims), subject to an annual cap of $145 million. However, the initial $100 million of claims processed through the NARCO Trust (the Initial Claims Amount) will not count against the annual cap and any unused portion of the Initial Claims Amount will roll over to subsequent years until fully utilized. These documents also establish the material operating rules for the NARCO Trust, including Honeywell audit rights and the criteria claimants must meet to have a valid claim paid. These claims payment criteria include providing the NARCO Trust with adequate medical evidence of the claimant’s asbestos-related condition and credible evidence of exposure to a specific NARCO asbestos-containing product. Further, the NARCO Trust is eligible to receive cash dividends from Harbison-Walker International Inc (“HWI”), the reorganized and renamed entity that emerged, fully operational, from the NARCO bankruptcy. The NARCO Trust is required to use any funding received from HWI to pay Annual Contribution Claims until those funds are exhausted. It is only at this point that Honeywell’s funding obligation to the Trust is triggered. Thus, there is an unrelated primary source for funding that affects Honeywell’s funding of the NARCO Trust Liability.</w:t>
      </w:r>
    </w:p>
    <w:p>
      <w:pPr>
        <w:spacing w:after="0" w:line="13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2"/>
          <w:szCs w:val="12"/>
          <w:color w:val="auto"/>
        </w:rPr>
        <w:t>Once operational, the NARCO Trust began to receive, process and pay claims that had been previously stayed pending the Trust becoming operational. As the NARCO Trust began to pay claims in 2014, we began to assert our on-going audit rights to review and monitor the claims processor’s adherence to the established requirements of the NARCO Trust Distribution Procedures. While doing so, we identified several issues with the way the Trust was implementing the NARCO Trust Distribution Procedures. In 2015, Honeywell filed suit against the NARCO Trust in Bankruptcy Court alleging breach of certain provisions of the NARCO Trust Agreement and NARCO Trust Distribution Procedures. The parties agreed to dismiss the proceeding without prejudice pursuant to an 18-month Standstill Agreement, which expired in October 2017. Notwithstanding its expiration, claims processing continues, and Honeywell continues to negotiate and attempt to resolve remaining disputed issues (that is, instances where Honeywell believes the NARCO Trust is not processing claims in accordance with established NARCO Trust Distribution Procedures). Honeywell reserves its right to seek judicial intervention should negotiations fail.</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After the NARCO Trust became effective in 2013, the $743 million NARCO Trust Liability was then comprised of:</w:t>
      </w:r>
    </w:p>
    <w:p>
      <w:pPr>
        <w:spacing w:after="0" w:line="150" w:lineRule="exact"/>
        <w:rPr>
          <w:sz w:val="20"/>
          <w:szCs w:val="20"/>
          <w:color w:val="auto"/>
        </w:rPr>
      </w:pPr>
    </w:p>
    <w:p>
      <w:pPr>
        <w:ind w:left="540" w:hanging="215"/>
        <w:spacing w:after="0"/>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color w:val="auto"/>
        </w:rPr>
        <w:t>liability for unasserted claims; and</w:t>
      </w:r>
    </w:p>
    <w:p>
      <w:pPr>
        <w:spacing w:after="0" w:line="6" w:lineRule="exact"/>
        <w:rPr>
          <w:rFonts w:ascii="Arial" w:cs="Arial" w:eastAsia="Arial" w:hAnsi="Arial"/>
          <w:sz w:val="12"/>
          <w:szCs w:val="12"/>
          <w:color w:val="auto"/>
        </w:rPr>
      </w:pPr>
    </w:p>
    <w:p>
      <w:pPr>
        <w:ind w:left="540" w:hanging="215"/>
        <w:spacing w:after="0"/>
        <w:tabs>
          <w:tab w:leader="none" w:pos="540" w:val="left"/>
        </w:tabs>
        <w:numPr>
          <w:ilvl w:val="0"/>
          <w:numId w:val="3"/>
        </w:numPr>
        <w:rPr>
          <w:rFonts w:ascii="Arial" w:cs="Arial" w:eastAsia="Arial" w:hAnsi="Arial"/>
          <w:sz w:val="12"/>
          <w:szCs w:val="12"/>
          <w:color w:val="auto"/>
        </w:rPr>
      </w:pPr>
      <w:r>
        <w:rPr>
          <w:rFonts w:ascii="Arial" w:cs="Arial" w:eastAsia="Arial" w:hAnsi="Arial"/>
          <w:sz w:val="12"/>
          <w:szCs w:val="12"/>
          <w:color w:val="auto"/>
        </w:rPr>
        <w:t>liability for claims asserted after the NARCO Trust became operational but not yet paid.</w:t>
      </w:r>
    </w:p>
    <w:p>
      <w:pPr>
        <w:spacing w:after="0" w:line="15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Although we know the number of claims filed with the NARCO Trust each year, we are not able to determine at this time the portion of the NARCO Trust Liability which represents asserted versus unasserted claims due to the lack of sufficiently reliable claims data because of the claims processing issues described previously.</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Honeywell maintained the $743 million accrual for NARCO Trust Liability, as there has not been sufficiently reliable claims data history to enable us to update that liability.</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As of March 31, 2019, our total NARCO asbestos liability of $897 million reflects Pre-bankruptcy NARCO liability of $154 million and NARCO Trust Liability of $743 million. Through March 31, 2019, Pre-bankruptcy NARCO Liability has been reduced by approximately $2 billion since first established in 2002, largely related to settlement payments. The remaining Pre-bankruptcy NARCO Liability principally represents estimated amounts owed pursuant to settlement agreements reached during the pendency of the NARCO bankruptcy proceedings that provide for the right to submit claims to the NARCO Trust subject to qualification under the terms of the settlement agreements and Trust Distribution Procedures. The other NARCO bankruptcy-related obligations were paid in 2013 and no further liability is recorded.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125" w:right="199" w:bottom="1440" w:gutter="0" w:footer="0" w:header="0"/>
        </w:sectPr>
      </w:pPr>
    </w:p>
    <w:bookmarkStart w:id="27" w:name="page28"/>
    <w:bookmarkEnd w:id="27"/>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312"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As of March 31, 2019, Honeywell has not made any payments to the NARCO Trust for Annual Contribution Claims as any Annual Contribution Claims which have been paid since the Trust became operational have been funded by cash dividends from HWI.</w:t>
      </w:r>
    </w:p>
    <w:p>
      <w:pPr>
        <w:spacing w:after="0" w:line="13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Honeywell continues to evaluate the appropriateness of the $743 million NARCO Trust Liability. Despite becoming effective in 2013, the NARCO Trust has experienced delays in becoming fully operational. Violations of the Trust Distribution Procedures and the resulting disputes and challenges, a standstill pending dispute resolution, and limited claims payments, have all contributed to the lack of sufficient normalized data based on actual claims processing experience in the Trust since it became operational. As a result, we have not been able to further update the NARCO Trust Liability. The $743 million NARCO Trust Liability continues to be appropriate because of the unresolved pending claims in the Trust, some portion of which will result in payouts in the future, and because new claims continue to be filed with the NARCO Trust. When sufficiently reliable claims data exists, we will update our estimate of the NARCO Trust Liability and it is possible that a material change may need to be recognized.</w:t>
      </w:r>
    </w:p>
    <w:p>
      <w:pPr>
        <w:spacing w:after="0" w:line="13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Our insurance receivable of $301 million as of March 31, 2019, corresponding to the estimated liability for asserted and unasserted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2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2"/>
          <w:szCs w:val="12"/>
          <w:b w:val="1"/>
          <w:bCs w:val="1"/>
          <w:i w:val="1"/>
          <w:iCs w:val="1"/>
          <w:color w:val="auto"/>
        </w:rPr>
        <w:t>Bendix Products</w:t>
      </w:r>
      <w:r>
        <w:rPr>
          <w:rFonts w:ascii="Arial" w:cs="Arial" w:eastAsia="Arial" w:hAnsi="Arial"/>
          <w:sz w:val="12"/>
          <w:szCs w:val="12"/>
          <w:color w:val="auto"/>
        </w:rPr>
        <w:t>—Bendix manufactured automotive brake linings that contained chrysotile asbestos in an encapsulated form. Claimants consist largely of individuals who allege exposure to asbestos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brakes from either performing or being in the vicinity of individuals who performed brake replacements. The following tables present information regarding Bendix-related asbestos claims activity: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Years Ended</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7"/>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Borders>
              <w:bottom w:val="single" w:sz="8" w:color="auto"/>
            </w:tcBorders>
          </w:tcPr>
          <w:p>
            <w:pPr>
              <w:jc w:val="center"/>
              <w:ind w:left="449"/>
              <w:spacing w:after="0"/>
              <w:rPr>
                <w:sz w:val="20"/>
                <w:szCs w:val="20"/>
                <w:color w:val="auto"/>
              </w:rPr>
            </w:pPr>
            <w:r>
              <w:rPr>
                <w:rFonts w:ascii="Arial" w:cs="Arial" w:eastAsia="Arial" w:hAnsi="Arial"/>
                <w:sz w:val="10"/>
                <w:szCs w:val="10"/>
                <w:b w:val="1"/>
                <w:bCs w:val="1"/>
                <w:color w:val="auto"/>
                <w:w w:val="95"/>
              </w:rPr>
              <w:t>March 31,</w:t>
            </w: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41"/>
        </w:trPr>
        <w:tc>
          <w:tcPr>
            <w:tcW w:w="5280" w:type="dxa"/>
            <w:vAlign w:val="bottom"/>
            <w:gridSpan w:val="4"/>
          </w:tcPr>
          <w:p>
            <w:pPr>
              <w:ind w:left="20"/>
              <w:spacing w:after="0" w:line="121" w:lineRule="exact"/>
              <w:rPr>
                <w:sz w:val="20"/>
                <w:szCs w:val="20"/>
                <w:color w:val="auto"/>
              </w:rPr>
            </w:pPr>
            <w:r>
              <w:rPr>
                <w:rFonts w:ascii="Arial" w:cs="Arial" w:eastAsia="Arial" w:hAnsi="Arial"/>
                <w:sz w:val="12"/>
                <w:szCs w:val="12"/>
                <w:b w:val="1"/>
                <w:bCs w:val="1"/>
                <w:color w:val="auto"/>
              </w:rPr>
              <w:t>Claims Activity</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center"/>
              <w:ind w:left="469"/>
              <w:spacing w:after="0"/>
              <w:rPr>
                <w:sz w:val="20"/>
                <w:szCs w:val="20"/>
                <w:color w:val="auto"/>
              </w:rPr>
            </w:pPr>
            <w:r>
              <w:rPr>
                <w:rFonts w:ascii="Arial" w:cs="Arial" w:eastAsia="Arial" w:hAnsi="Arial"/>
                <w:sz w:val="10"/>
                <w:szCs w:val="10"/>
                <w:b w:val="1"/>
                <w:bCs w:val="1"/>
                <w:color w:val="auto"/>
                <w:w w:val="98"/>
              </w:rPr>
              <w:t>2019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jc w:val="center"/>
              <w:ind w:right="46"/>
              <w:spacing w:after="0"/>
              <w:rPr>
                <w:sz w:val="20"/>
                <w:szCs w:val="20"/>
                <w:color w:val="auto"/>
              </w:rPr>
            </w:pPr>
            <w:r>
              <w:rPr>
                <w:rFonts w:ascii="Arial" w:cs="Arial" w:eastAsia="Arial" w:hAnsi="Arial"/>
                <w:sz w:val="10"/>
                <w:szCs w:val="10"/>
                <w:b w:val="1"/>
                <w:bCs w:val="1"/>
                <w:color w:val="auto"/>
                <w:w w:val="98"/>
              </w:rPr>
              <w:t>2018</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563"/>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52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Claims unresolved at the beginning of period</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6,209</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6,280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7,724</w:t>
            </w:r>
          </w:p>
        </w:tc>
      </w:tr>
      <w:tr>
        <w:trPr>
          <w:trHeight w:val="176"/>
        </w:trPr>
        <w:tc>
          <w:tcPr>
            <w:tcW w:w="5280" w:type="dxa"/>
            <w:vAlign w:val="bottom"/>
            <w:gridSpan w:val="4"/>
          </w:tcPr>
          <w:p>
            <w:pPr>
              <w:ind w:left="20"/>
              <w:spacing w:after="0"/>
              <w:rPr>
                <w:sz w:val="20"/>
                <w:szCs w:val="20"/>
                <w:color w:val="auto"/>
              </w:rPr>
            </w:pPr>
            <w:r>
              <w:rPr>
                <w:rFonts w:ascii="Arial" w:cs="Arial" w:eastAsia="Arial" w:hAnsi="Arial"/>
                <w:sz w:val="12"/>
                <w:szCs w:val="12"/>
                <w:color w:val="auto"/>
              </w:rPr>
              <w:t>Claims filed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631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ind w:right="64"/>
              <w:spacing w:after="0"/>
              <w:rPr>
                <w:sz w:val="20"/>
                <w:szCs w:val="20"/>
                <w:color w:val="auto"/>
              </w:rPr>
            </w:pPr>
            <w:r>
              <w:rPr>
                <w:rFonts w:ascii="Arial" w:cs="Arial" w:eastAsia="Arial" w:hAnsi="Arial"/>
                <w:sz w:val="12"/>
                <w:szCs w:val="12"/>
                <w:color w:val="auto"/>
              </w:rPr>
              <w:t>2,430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43"/>
              <w:spacing w:after="0"/>
              <w:rPr>
                <w:sz w:val="20"/>
                <w:szCs w:val="20"/>
                <w:color w:val="auto"/>
              </w:rPr>
            </w:pPr>
            <w:r>
              <w:rPr>
                <w:rFonts w:ascii="Arial" w:cs="Arial" w:eastAsia="Arial" w:hAnsi="Arial"/>
                <w:sz w:val="12"/>
                <w:szCs w:val="12"/>
                <w:color w:val="auto"/>
              </w:rPr>
              <w:t>2,645</w:t>
            </w:r>
          </w:p>
        </w:tc>
      </w:tr>
      <w:tr>
        <w:trPr>
          <w:trHeight w:val="180"/>
        </w:trPr>
        <w:tc>
          <w:tcPr>
            <w:tcW w:w="52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Claims resolved</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(626)</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(2,501)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(4,089)</w:t>
            </w:r>
          </w:p>
        </w:tc>
      </w:tr>
      <w:tr>
        <w:trPr>
          <w:trHeight w:val="172"/>
        </w:trPr>
        <w:tc>
          <w:tcPr>
            <w:tcW w:w="5280" w:type="dxa"/>
            <w:vAlign w:val="bottom"/>
            <w:gridSpan w:val="4"/>
          </w:tcPr>
          <w:p>
            <w:pPr>
              <w:ind w:left="20"/>
              <w:spacing w:after="0"/>
              <w:rPr>
                <w:sz w:val="20"/>
                <w:szCs w:val="20"/>
                <w:color w:val="auto"/>
              </w:rPr>
            </w:pPr>
            <w:r>
              <w:rPr>
                <w:rFonts w:ascii="Arial" w:cs="Arial" w:eastAsia="Arial" w:hAnsi="Arial"/>
                <w:sz w:val="12"/>
                <w:szCs w:val="12"/>
                <w:color w:val="auto"/>
              </w:rPr>
              <w:t>Claims unresolved at the end of period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6,214</w:t>
            </w: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6,209</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6,280</w:t>
            </w:r>
          </w:p>
        </w:tc>
      </w:tr>
      <w:tr>
        <w:trPr>
          <w:trHeight w:val="378"/>
        </w:trPr>
        <w:tc>
          <w:tcPr>
            <w:tcW w:w="5280" w:type="dxa"/>
            <w:vAlign w:val="bottom"/>
            <w:gridSpan w:val="4"/>
          </w:tcPr>
          <w:p>
            <w:pPr>
              <w:ind w:left="20"/>
              <w:spacing w:after="0"/>
              <w:rPr>
                <w:sz w:val="20"/>
                <w:szCs w:val="20"/>
                <w:color w:val="auto"/>
              </w:rPr>
            </w:pPr>
            <w:r>
              <w:rPr>
                <w:rFonts w:ascii="Arial" w:cs="Arial" w:eastAsia="Arial" w:hAnsi="Arial"/>
                <w:sz w:val="12"/>
                <w:szCs w:val="12"/>
                <w:b w:val="1"/>
                <w:bCs w:val="1"/>
                <w:color w:val="auto"/>
              </w:rPr>
              <w:t>Disease Distribution of Unresolved Claims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center"/>
              <w:ind w:left="449"/>
              <w:spacing w:after="0"/>
              <w:rPr>
                <w:sz w:val="20"/>
                <w:szCs w:val="20"/>
                <w:color w:val="auto"/>
              </w:rPr>
            </w:pPr>
            <w:r>
              <w:rPr>
                <w:rFonts w:ascii="Arial" w:cs="Arial" w:eastAsia="Arial" w:hAnsi="Arial"/>
                <w:sz w:val="10"/>
                <w:szCs w:val="10"/>
                <w:b w:val="1"/>
                <w:bCs w:val="1"/>
                <w:color w:val="auto"/>
                <w:w w:val="95"/>
              </w:rPr>
              <w:t>March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1"/>
        </w:trPr>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469"/>
              <w:spacing w:after="0"/>
              <w:rPr>
                <w:sz w:val="20"/>
                <w:szCs w:val="20"/>
                <w:color w:val="auto"/>
              </w:rPr>
            </w:pPr>
            <w:r>
              <w:rPr>
                <w:rFonts w:ascii="Arial" w:cs="Arial" w:eastAsia="Arial" w:hAnsi="Arial"/>
                <w:sz w:val="10"/>
                <w:szCs w:val="10"/>
                <w:b w:val="1"/>
                <w:bCs w:val="1"/>
                <w:color w:val="auto"/>
                <w:w w:val="98"/>
              </w:rPr>
              <w:t>2019</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ind w:right="46"/>
              <w:spacing w:after="0"/>
              <w:rPr>
                <w:sz w:val="20"/>
                <w:szCs w:val="20"/>
                <w:color w:val="auto"/>
              </w:rPr>
            </w:pPr>
            <w:r>
              <w:rPr>
                <w:rFonts w:ascii="Arial" w:cs="Arial" w:eastAsia="Arial" w:hAnsi="Arial"/>
                <w:sz w:val="10"/>
                <w:szCs w:val="10"/>
                <w:b w:val="1"/>
                <w:bCs w:val="1"/>
                <w:color w:val="auto"/>
                <w:w w:val="98"/>
              </w:rPr>
              <w:t>2018</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2017</w:t>
            </w:r>
          </w:p>
        </w:tc>
      </w:tr>
      <w:tr>
        <w:trPr>
          <w:trHeight w:val="164"/>
        </w:trPr>
        <w:tc>
          <w:tcPr>
            <w:tcW w:w="52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Mesothelioma and other cancer claims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3,028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2,949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3,062</w:t>
            </w:r>
          </w:p>
        </w:tc>
      </w:tr>
      <w:tr>
        <w:trPr>
          <w:trHeight w:val="176"/>
        </w:trPr>
        <w:tc>
          <w:tcPr>
            <w:tcW w:w="5280" w:type="dxa"/>
            <w:vAlign w:val="bottom"/>
            <w:tcBorders>
              <w:bottom w:val="single" w:sz="8" w:color="CCEEFF"/>
            </w:tcBorders>
            <w:gridSpan w:val="4"/>
          </w:tcPr>
          <w:p>
            <w:pPr>
              <w:ind w:left="20"/>
              <w:spacing w:after="0"/>
              <w:rPr>
                <w:sz w:val="20"/>
                <w:szCs w:val="20"/>
                <w:color w:val="auto"/>
              </w:rPr>
            </w:pPr>
            <w:r>
              <w:rPr>
                <w:rFonts w:ascii="Arial" w:cs="Arial" w:eastAsia="Arial" w:hAnsi="Arial"/>
                <w:sz w:val="12"/>
                <w:szCs w:val="12"/>
                <w:color w:val="auto"/>
              </w:rPr>
              <w:t>Nonmalignant claims</w:t>
            </w: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3,186</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3,260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3,218</w:t>
            </w:r>
          </w:p>
        </w:tc>
      </w:tr>
      <w:tr>
        <w:trPr>
          <w:trHeight w:val="185"/>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Total claims</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6,214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6,209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6,280</w:t>
            </w:r>
          </w:p>
        </w:tc>
      </w:tr>
      <w:tr>
        <w:trPr>
          <w:trHeight w:val="275"/>
        </w:trPr>
        <w:tc>
          <w:tcPr>
            <w:tcW w:w="5280" w:type="dxa"/>
            <w:vAlign w:val="bottom"/>
            <w:gridSpan w:val="4"/>
          </w:tcPr>
          <w:p>
            <w:pPr>
              <w:spacing w:after="0"/>
              <w:rPr>
                <w:sz w:val="20"/>
                <w:szCs w:val="20"/>
                <w:color w:val="auto"/>
              </w:rPr>
            </w:pPr>
            <w:r>
              <w:rPr>
                <w:rFonts w:ascii="Arial" w:cs="Arial" w:eastAsia="Arial" w:hAnsi="Arial"/>
                <w:sz w:val="12"/>
                <w:szCs w:val="12"/>
                <w:color w:val="auto"/>
              </w:rPr>
              <w:t>Honeywell has experienced average resolution values per claim excluding legal costs as follows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w w:val="94"/>
              </w:rPr>
              <w:t>Years Ended December 31,</w:t>
            </w: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2018</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69"/>
              <w:spacing w:after="0"/>
              <w:rPr>
                <w:sz w:val="20"/>
                <w:szCs w:val="20"/>
                <w:color w:val="auto"/>
              </w:rPr>
            </w:pPr>
            <w:r>
              <w:rPr>
                <w:rFonts w:ascii="Arial" w:cs="Arial" w:eastAsia="Arial" w:hAnsi="Arial"/>
                <w:sz w:val="10"/>
                <w:szCs w:val="10"/>
                <w:b w:val="1"/>
                <w:bCs w:val="1"/>
                <w:color w:val="auto"/>
              </w:rPr>
              <w:t>2017</w:t>
            </w: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0"/>
                <w:szCs w:val="10"/>
                <w:b w:val="1"/>
                <w:bCs w:val="1"/>
                <w:color w:val="auto"/>
                <w:w w:val="98"/>
              </w:rPr>
              <w:t>2016</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2014</w:t>
            </w:r>
          </w:p>
        </w:tc>
      </w:tr>
      <w:tr>
        <w:trPr>
          <w:trHeight w:val="133"/>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(in whole dollars)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4"/>
        </w:trPr>
        <w:tc>
          <w:tcPr>
            <w:tcW w:w="52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Malignant claims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55,300</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2"/>
                <w:szCs w:val="12"/>
                <w:color w:val="auto"/>
              </w:rPr>
              <w:t>56,000</w:t>
            </w:r>
          </w:p>
        </w:tc>
        <w:tc>
          <w:tcPr>
            <w:tcW w:w="52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44,000</w:t>
            </w:r>
          </w:p>
        </w:tc>
        <w:tc>
          <w:tcPr>
            <w:tcW w:w="320" w:type="dxa"/>
            <w:vAlign w:val="bottom"/>
            <w:shd w:val="clear" w:color="auto" w:fill="CCEEFF"/>
          </w:tcPr>
          <w:p>
            <w:pPr>
              <w:jc w:val="center"/>
              <w:ind w:right="6"/>
              <w:spacing w:after="0"/>
              <w:rPr>
                <w:sz w:val="20"/>
                <w:szCs w:val="20"/>
                <w:color w:val="auto"/>
              </w:rPr>
            </w:pPr>
            <w:r>
              <w:rPr>
                <w:rFonts w:ascii="Arial" w:cs="Arial" w:eastAsia="Arial" w:hAnsi="Arial"/>
                <w:sz w:val="12"/>
                <w:szCs w:val="12"/>
                <w:color w:val="auto"/>
                <w:w w:val="89"/>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44,000</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53,500</w:t>
            </w:r>
          </w:p>
        </w:tc>
      </w:tr>
      <w:tr>
        <w:trPr>
          <w:trHeight w:val="171"/>
        </w:trPr>
        <w:tc>
          <w:tcPr>
            <w:tcW w:w="5280" w:type="dxa"/>
            <w:vAlign w:val="bottom"/>
            <w:gridSpan w:val="4"/>
          </w:tcPr>
          <w:p>
            <w:pPr>
              <w:ind w:left="20"/>
              <w:spacing w:after="0"/>
              <w:rPr>
                <w:sz w:val="20"/>
                <w:szCs w:val="20"/>
                <w:color w:val="auto"/>
              </w:rPr>
            </w:pPr>
            <w:r>
              <w:rPr>
                <w:rFonts w:ascii="Arial" w:cs="Arial" w:eastAsia="Arial" w:hAnsi="Arial"/>
                <w:sz w:val="12"/>
                <w:szCs w:val="12"/>
                <w:color w:val="auto"/>
              </w:rPr>
              <w:t>Nonmalignant claims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84"/>
              <w:spacing w:after="0"/>
              <w:rPr>
                <w:sz w:val="20"/>
                <w:szCs w:val="20"/>
                <w:color w:val="auto"/>
              </w:rPr>
            </w:pPr>
            <w:r>
              <w:rPr>
                <w:rFonts w:ascii="Arial" w:cs="Arial" w:eastAsia="Arial" w:hAnsi="Arial"/>
                <w:sz w:val="12"/>
                <w:szCs w:val="12"/>
                <w:color w:val="auto"/>
              </w:rPr>
              <w:t>4,700</w:t>
            </w:r>
          </w:p>
        </w:tc>
        <w:tc>
          <w:tcPr>
            <w:tcW w:w="3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09"/>
              <w:spacing w:after="0"/>
              <w:rPr>
                <w:sz w:val="20"/>
                <w:szCs w:val="20"/>
                <w:color w:val="auto"/>
              </w:rPr>
            </w:pPr>
            <w:r>
              <w:rPr>
                <w:rFonts w:ascii="Arial" w:cs="Arial" w:eastAsia="Arial" w:hAnsi="Arial"/>
                <w:sz w:val="12"/>
                <w:szCs w:val="12"/>
                <w:color w:val="auto"/>
              </w:rPr>
              <w:t>2,800</w:t>
            </w:r>
          </w:p>
        </w:tc>
        <w:tc>
          <w:tcPr>
            <w:tcW w:w="52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4,485</w:t>
            </w:r>
          </w:p>
        </w:tc>
        <w:tc>
          <w:tcPr>
            <w:tcW w:w="320" w:type="dxa"/>
            <w:vAlign w:val="bottom"/>
          </w:tcPr>
          <w:p>
            <w:pPr>
              <w:jc w:val="center"/>
              <w:ind w:right="6"/>
              <w:spacing w:after="0"/>
              <w:rPr>
                <w:sz w:val="20"/>
                <w:szCs w:val="20"/>
                <w:color w:val="auto"/>
              </w:rPr>
            </w:pPr>
            <w:r>
              <w:rPr>
                <w:rFonts w:ascii="Arial" w:cs="Arial" w:eastAsia="Arial" w:hAnsi="Arial"/>
                <w:sz w:val="12"/>
                <w:szCs w:val="12"/>
                <w:color w:val="auto"/>
                <w:w w:val="89"/>
              </w:rPr>
              <w:t>$</w:t>
            </w:r>
          </w:p>
        </w:tc>
        <w:tc>
          <w:tcPr>
            <w:tcW w:w="960" w:type="dxa"/>
            <w:vAlign w:val="bottom"/>
            <w:gridSpan w:val="3"/>
          </w:tcPr>
          <w:p>
            <w:pPr>
              <w:jc w:val="right"/>
              <w:ind w:right="180"/>
              <w:spacing w:after="0"/>
              <w:rPr>
                <w:sz w:val="20"/>
                <w:szCs w:val="20"/>
                <w:color w:val="auto"/>
              </w:rPr>
            </w:pPr>
            <w:r>
              <w:rPr>
                <w:rFonts w:ascii="Arial" w:cs="Arial" w:eastAsia="Arial" w:hAnsi="Arial"/>
                <w:sz w:val="12"/>
                <w:szCs w:val="12"/>
                <w:color w:val="auto"/>
              </w:rPr>
              <w:t>100</w:t>
            </w:r>
          </w:p>
        </w:tc>
        <w:tc>
          <w:tcPr>
            <w:tcW w:w="2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43"/>
              <w:spacing w:after="0"/>
              <w:rPr>
                <w:sz w:val="20"/>
                <w:szCs w:val="20"/>
                <w:color w:val="auto"/>
              </w:rPr>
            </w:pPr>
            <w:r>
              <w:rPr>
                <w:rFonts w:ascii="Arial" w:cs="Arial" w:eastAsia="Arial" w:hAnsi="Arial"/>
                <w:sz w:val="12"/>
                <w:szCs w:val="12"/>
                <w:color w:val="auto"/>
              </w:rPr>
              <w:t>120</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It is not possible to predict whether resolution values for Bendix-related asbestos claims will increase, decrease or stabilize in the future.</w:t>
      </w:r>
    </w:p>
    <w:p>
      <w:pPr>
        <w:spacing w:after="0" w:line="168"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125" w:right="199" w:bottom="1440" w:gutter="0" w:footer="0" w:header="0"/>
        </w:sectPr>
      </w:pPr>
    </w:p>
    <w:bookmarkStart w:id="28" w:name="page29"/>
    <w:bookmarkEnd w:id="28"/>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00" w:lineRule="exact"/>
        <w:rPr>
          <w:sz w:val="20"/>
          <w:szCs w:val="20"/>
          <w:color w:val="auto"/>
        </w:rPr>
      </w:pPr>
    </w:p>
    <w:p>
      <w:pPr>
        <w:spacing w:after="0" w:line="25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Our consolidated financial statements reflect an estimated liability for resolution of asserted (claims filed as of the financial statement date) and unasserted Bendix-related asbestos claims and excludes the Company’s legal fees to defend such asbestos claims which will continue to be expensed by the Company as they are incurred. We have valued Bendix asserted and unasserted claims using average resolution values for the previous five years. We update the resolution values used to estimate the cost of Bendix asserted and unasserted claims during the fourth quarter each year.</w:t>
      </w:r>
    </w:p>
    <w:p>
      <w:pPr>
        <w:spacing w:after="0" w:line="135"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2"/>
          <w:szCs w:val="12"/>
          <w:color w:val="auto"/>
        </w:rPr>
        <w:t>Honeywell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w:t>
      </w:r>
    </w:p>
    <w:p>
      <w:pPr>
        <w:spacing w:after="0" w:line="13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Our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13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Reimbursements associated with the indemnification and reimbursement agreement with a Garrett subsidiary (the "Agreement") were $39 million for the quarter ended March 31, 2019 and offset operating cash outflows incurred by the Company. As the Company records the accruals for matters covered by the indemnification and reimbursement agreement, a corresponding receivable from Garrett for 90 percent of such accrual is also recorded. This receivable amount was $13 million in the quarter ended March 31, 2019. As of March 31, 2019, Other Current Assets and Other Assets includes $169 million and $1,022 million representing the short-term and long-term portion of the receivable amount due from Garrett under the indemnification and reimbursement agreement.</w:t>
      </w:r>
    </w:p>
    <w:p>
      <w:pPr>
        <w:spacing w:after="0" w:line="13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our ongoing communications with Garrett with respect to the Agreement and Garrett’s associated material weakness disclosure in its Form 10-K for the year ended December 31, 2018, Garrett has taken the position that (i) Honeywell has not satisfied all of its obligations under the Agreement, and (ii) the Agreement is unenforceable either in whole or in part. We strongly believe that Garrett’s allegations have no merit, nor are they material to Honeywell. We believe we have fully complied with our obligations under the Agreement and that the Agreement is enforceable in its entirety. We intend to continue to have ongoing discussions with Garrett to try to resolve this matter.</w:t>
      </w:r>
    </w:p>
    <w:p>
      <w:pPr>
        <w:spacing w:after="0" w:line="13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On September 13, 2018, following completion of the Securities and Exchange Commission (SEC) Division of Corporation Finance’s review of our prior accounting for liabilities for unasserted Bendix-related asbestos claims, the SEC Division of Enforcement advised that it has opened an investigation related to this matter. Honeywell intends to provide requested information and otherwise fully cooperate with the SEC staff. On October 31, 2018, David Kanefsky, a Honeywell shareholder, filed a putative class action complaint alleging violations of the Securities Exchange Act of 1934 and Rule 10b-5 related to the prior accounting for Bendix asbestos claims. We believe the Complaint has no merit.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Matters</w:t>
      </w:r>
    </w:p>
    <w:p>
      <w:pPr>
        <w:spacing w:after="0" w:line="16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125" w:right="199" w:bottom="1440" w:gutter="0" w:footer="0" w:header="0"/>
        </w:sectPr>
      </w:pPr>
    </w:p>
    <w:bookmarkStart w:id="29" w:name="page30"/>
    <w:bookmarkEnd w:id="29"/>
    <w:p>
      <w:pPr>
        <w:jc w:val="center"/>
        <w:spacing w:after="0"/>
        <w:rPr>
          <w:sz w:val="20"/>
          <w:szCs w:val="20"/>
          <w:color w:val="auto"/>
        </w:rPr>
      </w:pPr>
      <w:r>
        <w:rPr>
          <w:rFonts w:ascii="Arial" w:cs="Arial" w:eastAsia="Arial" w:hAnsi="Arial"/>
          <w:sz w:val="12"/>
          <w:szCs w:val="12"/>
          <w:b w:val="1"/>
          <w:bCs w:val="1"/>
          <w:color w:val="auto"/>
        </w:rPr>
        <w:t>Honeywell International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millions, except per share amounts)</w:t>
      </w:r>
    </w:p>
    <w:p>
      <w:pPr>
        <w:spacing w:after="0" w:line="298"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b w:val="1"/>
          <w:bCs w:val="1"/>
          <w:i w:val="1"/>
          <w:iCs w:val="1"/>
          <w:color w:val="auto"/>
        </w:rPr>
        <w:t>Honeywell v. United Auto Workers (UAW) et. al</w:t>
      </w:r>
      <w:r>
        <w:rPr>
          <w:rFonts w:ascii="Arial" w:cs="Arial" w:eastAsia="Arial" w:hAnsi="Arial"/>
          <w:sz w:val="12"/>
          <w:szCs w:val="12"/>
          <w:color w:val="auto"/>
        </w:rPr>
        <w:t>—In September 2011, the UAW and certain Honeywell retirees (Plaintiffs) filed a suit in the Eastern District of Michigan (the District Court) alleging that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132"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2"/>
          <w:szCs w:val="12"/>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131"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2"/>
          <w:szCs w:val="12"/>
          <w:color w:val="auto"/>
        </w:rPr>
        <w:t>On March 29, 2018, the District Court issued its opinion resolving all pending summary judgment motions, except for Honeywell’s counterclaim for breach of implied warranty, which has since been dismissed without prejudice.</w:t>
      </w:r>
    </w:p>
    <w:p>
      <w:pPr>
        <w:spacing w:after="0" w:line="13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the opinion, the District Court held that the MCBAs do not promise retirees vested, lifetime benefits that survive expiration of the MCBAs. Based on this ruling, Honeywell terminated the retirees healthcare coverage benefits altogether as of July 31, 2018. In response, the UAW filed a motion to enjoin Honeywell from completely terminating coverage as of July 31, 2018, arguing that the CAPS themselves are vested and that Honeywell must continue to provide retiree medical benefits at the capped level. On July 28, 2018, the District Court denied the UAW’s motion and entered a final judgment consistent with its March 2018 ruling. The UAW has appealed this decision to the Sixth Circuit Court of Appeals. Honeywell believes the District Court’s ruling will be upheld.</w:t>
      </w:r>
    </w:p>
    <w:p>
      <w:pPr>
        <w:spacing w:after="0" w:line="13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In the March 2018 opinion,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three-year period ending when the 2016 MCBA expired, and Honeywell would have no ongoing obligation to continue funding healthcare coverage for subsequent periods. Honeywell has appealed the District Court’s ruling on this “full premium” damages issue, and believes that the Sixth Circuit Court of Appeals will reverse the District Court on that issue. In the event the Sixth Circuit were to sustain the District Court’s ruling on this issue, Honeywell would be liable for damages of at least $12 million.</w:t>
      </w:r>
    </w:p>
    <w:p>
      <w:pPr>
        <w:spacing w:after="0" w:line="13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Given the uncertainty inherent in litigation and investigations (including the specific matter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126" w:right="199" w:bottom="1440" w:gutter="0" w:footer="0" w:header="0"/>
        </w:sectPr>
      </w:pPr>
    </w:p>
    <w:bookmarkStart w:id="30" w:name="page31"/>
    <w:bookmarkEnd w:id="30"/>
    <w:tbl>
      <w:tblPr>
        <w:tblLayout w:type="fixed"/>
        <w:tblInd w:w="20" w:type="dxa"/>
        <w:tblCellMar>
          <w:top w:w="0" w:type="dxa"/>
          <w:left w:w="0" w:type="dxa"/>
          <w:bottom w:w="0" w:type="dxa"/>
          <w:right w:w="0" w:type="dxa"/>
        </w:tblCellMar>
      </w:tblPr>
      <w:tr>
        <w:trPr>
          <w:trHeight w:val="159"/>
        </w:trPr>
        <w:tc>
          <w:tcPr>
            <w:tcW w:w="244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2040" w:type="dxa"/>
            <w:vAlign w:val="bottom"/>
          </w:tcPr>
          <w:p>
            <w:pPr>
              <w:spacing w:after="0"/>
              <w:rPr>
                <w:sz w:val="13"/>
                <w:szCs w:val="13"/>
                <w:color w:val="auto"/>
              </w:rPr>
            </w:pPr>
          </w:p>
        </w:tc>
        <w:tc>
          <w:tcPr>
            <w:tcW w:w="3740" w:type="dxa"/>
            <w:vAlign w:val="bottom"/>
          </w:tcPr>
          <w:p>
            <w:pPr>
              <w:jc w:val="center"/>
              <w:spacing w:after="0"/>
              <w:rPr>
                <w:sz w:val="20"/>
                <w:szCs w:val="20"/>
                <w:color w:val="auto"/>
              </w:rPr>
            </w:pPr>
            <w:r>
              <w:rPr>
                <w:rFonts w:ascii="Arial" w:cs="Arial" w:eastAsia="Arial" w:hAnsi="Arial"/>
                <w:sz w:val="12"/>
                <w:szCs w:val="12"/>
                <w:b w:val="1"/>
                <w:bCs w:val="1"/>
                <w:color w:val="auto"/>
                <w:w w:val="99"/>
              </w:rPr>
              <w:t>MANAGEMENT’S DISCUSSION AND ANALYSIS OF</w:t>
            </w:r>
          </w:p>
        </w:tc>
      </w:tr>
      <w:tr>
        <w:trPr>
          <w:trHeight w:val="144"/>
        </w:trPr>
        <w:tc>
          <w:tcPr>
            <w:tcW w:w="2440" w:type="dxa"/>
            <w:vAlign w:val="bottom"/>
          </w:tcPr>
          <w:p>
            <w:pPr>
              <w:spacing w:after="0"/>
              <w:rPr>
                <w:sz w:val="12"/>
                <w:szCs w:val="12"/>
                <w:color w:val="auto"/>
              </w:rPr>
            </w:pPr>
          </w:p>
        </w:tc>
        <w:tc>
          <w:tcPr>
            <w:tcW w:w="5780" w:type="dxa"/>
            <w:vAlign w:val="bottom"/>
            <w:gridSpan w:val="2"/>
          </w:tcPr>
          <w:p>
            <w:pPr>
              <w:jc w:val="center"/>
              <w:ind w:left="1980"/>
              <w:spacing w:after="0"/>
              <w:rPr>
                <w:sz w:val="20"/>
                <w:szCs w:val="20"/>
                <w:color w:val="auto"/>
              </w:rPr>
            </w:pPr>
            <w:r>
              <w:rPr>
                <w:rFonts w:ascii="Arial" w:cs="Arial" w:eastAsia="Arial" w:hAnsi="Arial"/>
                <w:sz w:val="12"/>
                <w:szCs w:val="12"/>
                <w:b w:val="1"/>
                <w:bCs w:val="1"/>
                <w:color w:val="auto"/>
                <w:w w:val="99"/>
              </w:rPr>
              <w:t>FINANCIAL CONDITION AND RESULTS OF OPERATIONS (MD&amp;A)</w:t>
            </w:r>
          </w:p>
        </w:tc>
      </w:tr>
      <w:tr>
        <w:trPr>
          <w:trHeight w:val="178"/>
        </w:trPr>
        <w:tc>
          <w:tcPr>
            <w:tcW w:w="2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(Dollars in millions, except per share amounts)</w:t>
            </w:r>
          </w:p>
        </w:tc>
      </w:tr>
    </w:tbl>
    <w:p>
      <w:pPr>
        <w:spacing w:after="0" w:line="200" w:lineRule="exact"/>
        <w:rPr>
          <w:sz w:val="20"/>
          <w:szCs w:val="20"/>
          <w:color w:val="auto"/>
        </w:rPr>
      </w:pPr>
    </w:p>
    <w:p>
      <w:pPr>
        <w:spacing w:after="0" w:line="24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following Management Discussion &amp; Analysis is intended to help the reader understand the results of operations and financial condition of Honeywell International Inc. and its consolidated subsidiaries (“Honeywell” or “the Company”) for the three months ended March 31, 2019. The financial information as of March 31, 2019 should be read in conjunction with the consolidated financial statements for the year ended December 31, 2018 contained in our 2018 Annual Report on Form 10-K.</w:t>
      </w:r>
    </w:p>
    <w:p>
      <w:pPr>
        <w:spacing w:after="0" w:line="13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On October 1, 2018, the Company completed the tax-free spin-off to Honeywell shareowners of its Transportation Systems business, previously part of Aerospace, into a standalone publicly-traded company, Garrett Motion Inc. (“Garrett”). The assets and liabilities associated with Garrett have been removed from the Company’s Consolidated Balance Sheet as of the effective date of the spin-off. The results of operations for Garrett are included in the Consolidated Statement of Operations through the effective date of the spin-off.</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On October 29, 2018, the Company completed the tax-free spin-off to Honeywell shareowners of its Homes and Global Distribution business, previously part of Home and Building Technologies (renamed Honeywell Building Technologies following the spin-off), into a standalone publicly-traded company, Resideo Technologies, Inc. (“Resideo”). The assets and liabilities associated with Resideo have been removed from the Company’s Consolidated Balance Sheet as of the effective date of the spin-off. The results of operations for Resideo are included in the Consolidated Statement of Operations through the effective date of the spin-off.</w:t>
      </w:r>
    </w:p>
    <w:p>
      <w:pPr>
        <w:spacing w:after="0" w:line="230" w:lineRule="exact"/>
        <w:rPr>
          <w:sz w:val="20"/>
          <w:szCs w:val="20"/>
          <w:color w:val="auto"/>
        </w:rPr>
      </w:pPr>
    </w:p>
    <w:p>
      <w:pPr>
        <w:ind w:left="20" w:right="4540" w:hanging="10"/>
        <w:spacing w:after="0" w:line="380" w:lineRule="auto"/>
        <w:tabs>
          <w:tab w:leader="none" w:pos="371"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Results of Operations – three months ended March 31, 2019 compared with the three months ended March 31, 2018 </w:t>
      </w:r>
      <w:r>
        <w:rPr>
          <w:rFonts w:ascii="Arial" w:cs="Arial" w:eastAsia="Arial" w:hAnsi="Arial"/>
          <w:sz w:val="12"/>
          <w:szCs w:val="12"/>
          <w:b w:val="1"/>
          <w:bCs w:val="1"/>
          <w:color w:val="auto"/>
        </w:rPr>
        <w:t>Net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580" w:type="dxa"/>
            <w:vAlign w:val="bottom"/>
          </w:tcPr>
          <w:p>
            <w:pPr>
              <w:spacing w:after="0"/>
              <w:rPr>
                <w:sz w:val="11"/>
                <w:szCs w:val="11"/>
                <w:color w:val="auto"/>
              </w:rPr>
            </w:pPr>
          </w:p>
        </w:tc>
        <w:tc>
          <w:tcPr>
            <w:tcW w:w="238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0"/>
                <w:szCs w:val="10"/>
                <w:b w:val="1"/>
                <w:bCs w:val="1"/>
                <w:color w:val="auto"/>
              </w:rPr>
              <w:t>Three Months Ended March 31,</w:t>
            </w:r>
          </w:p>
        </w:tc>
        <w:tc>
          <w:tcPr>
            <w:tcW w:w="520" w:type="dxa"/>
            <w:vAlign w:val="bottom"/>
            <w:tcBorders>
              <w:bottom w:val="single" w:sz="8" w:color="auto"/>
            </w:tcBorders>
          </w:tcPr>
          <w:p>
            <w:pPr>
              <w:spacing w:after="0"/>
              <w:rPr>
                <w:sz w:val="11"/>
                <w:szCs w:val="11"/>
                <w:color w:val="auto"/>
              </w:rPr>
            </w:pPr>
          </w:p>
        </w:tc>
      </w:tr>
      <w:tr>
        <w:trPr>
          <w:trHeight w:val="169"/>
        </w:trPr>
        <w:tc>
          <w:tcPr>
            <w:tcW w:w="85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2019</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2018</w:t>
            </w:r>
          </w:p>
        </w:tc>
        <w:tc>
          <w:tcPr>
            <w:tcW w:w="520" w:type="dxa"/>
            <w:vAlign w:val="bottom"/>
            <w:tcBorders>
              <w:bottom w:val="single" w:sz="8" w:color="auto"/>
            </w:tcBorders>
          </w:tcPr>
          <w:p>
            <w:pPr>
              <w:spacing w:after="0"/>
              <w:rPr>
                <w:sz w:val="14"/>
                <w:szCs w:val="14"/>
                <w:color w:val="auto"/>
              </w:rPr>
            </w:pPr>
          </w:p>
        </w:tc>
      </w:tr>
      <w:tr>
        <w:trPr>
          <w:trHeight w:val="164"/>
        </w:trPr>
        <w:tc>
          <w:tcPr>
            <w:tcW w:w="8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880" w:type="dxa"/>
            <w:vAlign w:val="bottom"/>
            <w:shd w:val="clear" w:color="auto" w:fill="CCEEFF"/>
          </w:tcPr>
          <w:p>
            <w:pPr>
              <w:jc w:val="right"/>
              <w:ind w:right="748"/>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8,884</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06"/>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10,392</w:t>
            </w:r>
          </w:p>
        </w:tc>
      </w:tr>
      <w:tr>
        <w:trPr>
          <w:trHeight w:val="171"/>
        </w:trPr>
        <w:tc>
          <w:tcPr>
            <w:tcW w:w="8580" w:type="dxa"/>
            <w:vAlign w:val="bottom"/>
          </w:tcPr>
          <w:p>
            <w:pPr>
              <w:ind w:left="20"/>
              <w:spacing w:after="0"/>
              <w:rPr>
                <w:sz w:val="20"/>
                <w:szCs w:val="20"/>
                <w:color w:val="auto"/>
              </w:rPr>
            </w:pPr>
            <w:r>
              <w:rPr>
                <w:rFonts w:ascii="Arial" w:cs="Arial" w:eastAsia="Arial" w:hAnsi="Arial"/>
                <w:sz w:val="12"/>
                <w:szCs w:val="12"/>
                <w:color w:val="auto"/>
              </w:rPr>
              <w:t>% change compared with prior period</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The change in net sales compared to the prior year period is attributable to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04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Three Months</w:t>
            </w:r>
          </w:p>
        </w:tc>
      </w:tr>
      <w:tr>
        <w:trPr>
          <w:trHeight w:val="164"/>
        </w:trPr>
        <w:tc>
          <w:tcPr>
            <w:tcW w:w="10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Volume</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w:t>
            </w:r>
          </w:p>
        </w:tc>
      </w:tr>
      <w:tr>
        <w:trPr>
          <w:trHeight w:val="167"/>
        </w:trPr>
        <w:tc>
          <w:tcPr>
            <w:tcW w:w="10040" w:type="dxa"/>
            <w:vAlign w:val="bottom"/>
          </w:tcPr>
          <w:p>
            <w:pPr>
              <w:ind w:left="20"/>
              <w:spacing w:after="0"/>
              <w:rPr>
                <w:sz w:val="20"/>
                <w:szCs w:val="20"/>
                <w:color w:val="auto"/>
              </w:rPr>
            </w:pPr>
            <w:r>
              <w:rPr>
                <w:rFonts w:ascii="Arial" w:cs="Arial" w:eastAsia="Arial" w:hAnsi="Arial"/>
                <w:sz w:val="12"/>
                <w:szCs w:val="12"/>
                <w:color w:val="auto"/>
              </w:rPr>
              <w:t>Price</w:t>
            </w:r>
          </w:p>
        </w:tc>
        <w:tc>
          <w:tcPr>
            <w:tcW w:w="1440" w:type="dxa"/>
            <w:vAlign w:val="bottom"/>
          </w:tcPr>
          <w:p>
            <w:pPr>
              <w:jc w:val="right"/>
              <w:spacing w:after="0"/>
              <w:rPr>
                <w:sz w:val="20"/>
                <w:szCs w:val="20"/>
                <w:color w:val="auto"/>
              </w:rPr>
            </w:pPr>
            <w:r>
              <w:rPr>
                <w:rFonts w:ascii="Arial" w:cs="Arial" w:eastAsia="Arial" w:hAnsi="Arial"/>
                <w:sz w:val="12"/>
                <w:szCs w:val="12"/>
                <w:color w:val="auto"/>
              </w:rPr>
              <w:t>2 %</w:t>
            </w:r>
          </w:p>
        </w:tc>
      </w:tr>
      <w:tr>
        <w:trPr>
          <w:trHeight w:val="176"/>
        </w:trPr>
        <w:tc>
          <w:tcPr>
            <w:tcW w:w="10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Foreign Currency Translation</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67"/>
        </w:trPr>
        <w:tc>
          <w:tcPr>
            <w:tcW w:w="100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Acquisitions/Divestitures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r>
      <w:tr>
        <w:trPr>
          <w:trHeight w:val="172"/>
        </w:trPr>
        <w:tc>
          <w:tcPr>
            <w:tcW w:w="100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r>
    </w:tbl>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discussion of net sales by segment can be found in the Review of Business Segments section of this Management Discussion &amp; Analysis.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foreign currency translation impact in the quarter is driven by the strengthening of the U.S. Dollar in the majority of our international markets, primarily the Euro and British Pound.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acquisitions/divestitures impact is driven by the spin-off of the Transportation Systems and Homes businesses.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683" w:right="199" w:bottom="1440" w:gutter="0" w:footer="0" w:header="0"/>
        </w:sectPr>
      </w:pPr>
    </w:p>
    <w:bookmarkStart w:id="31" w:name="page32"/>
    <w:bookmarkEnd w:id="31"/>
    <w:p>
      <w:pPr>
        <w:ind w:left="20"/>
        <w:spacing w:after="0"/>
        <w:rPr>
          <w:sz w:val="20"/>
          <w:szCs w:val="20"/>
          <w:color w:val="auto"/>
        </w:rPr>
      </w:pPr>
      <w:r>
        <w:rPr>
          <w:rFonts w:ascii="Arial" w:cs="Arial" w:eastAsia="Arial" w:hAnsi="Arial"/>
          <w:sz w:val="12"/>
          <w:szCs w:val="12"/>
          <w:b w:val="1"/>
          <w:bCs w:val="1"/>
          <w:color w:val="auto"/>
        </w:rPr>
        <w:t>Cost of Products and Services Sold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560" w:type="dxa"/>
            <w:vAlign w:val="bottom"/>
          </w:tcPr>
          <w:p>
            <w:pPr>
              <w:spacing w:after="0"/>
              <w:rPr>
                <w:sz w:val="11"/>
                <w:szCs w:val="11"/>
                <w:color w:val="auto"/>
              </w:rPr>
            </w:pPr>
          </w:p>
        </w:tc>
        <w:tc>
          <w:tcPr>
            <w:tcW w:w="2420" w:type="dxa"/>
            <w:vAlign w:val="bottom"/>
            <w:tcBorders>
              <w:bottom w:val="single" w:sz="8" w:color="auto"/>
            </w:tcBorders>
            <w:gridSpan w:val="4"/>
          </w:tcPr>
          <w:p>
            <w:pPr>
              <w:jc w:val="right"/>
              <w:ind w:right="186"/>
              <w:spacing w:after="0"/>
              <w:rPr>
                <w:sz w:val="20"/>
                <w:szCs w:val="20"/>
                <w:color w:val="auto"/>
              </w:rPr>
            </w:pPr>
            <w:r>
              <w:rPr>
                <w:rFonts w:ascii="Arial" w:cs="Arial" w:eastAsia="Arial" w:hAnsi="Arial"/>
                <w:sz w:val="10"/>
                <w:szCs w:val="10"/>
                <w:b w:val="1"/>
                <w:bCs w:val="1"/>
                <w:color w:val="auto"/>
              </w:rPr>
              <w:t>Three Months Ended March 31,</w:t>
            </w:r>
          </w:p>
        </w:tc>
        <w:tc>
          <w:tcPr>
            <w:tcW w:w="500" w:type="dxa"/>
            <w:vAlign w:val="bottom"/>
            <w:tcBorders>
              <w:bottom w:val="single" w:sz="8" w:color="auto"/>
            </w:tcBorders>
          </w:tcPr>
          <w:p>
            <w:pPr>
              <w:spacing w:after="0"/>
              <w:rPr>
                <w:sz w:val="11"/>
                <w:szCs w:val="11"/>
                <w:color w:val="auto"/>
              </w:rPr>
            </w:pPr>
          </w:p>
        </w:tc>
      </w:tr>
      <w:tr>
        <w:trPr>
          <w:trHeight w:val="169"/>
        </w:trPr>
        <w:tc>
          <w:tcPr>
            <w:tcW w:w="85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2018</w:t>
            </w:r>
          </w:p>
        </w:tc>
        <w:tc>
          <w:tcPr>
            <w:tcW w:w="500" w:type="dxa"/>
            <w:vAlign w:val="bottom"/>
            <w:tcBorders>
              <w:bottom w:val="single" w:sz="8" w:color="auto"/>
            </w:tcBorders>
          </w:tcPr>
          <w:p>
            <w:pPr>
              <w:spacing w:after="0"/>
              <w:rPr>
                <w:sz w:val="14"/>
                <w:szCs w:val="14"/>
                <w:color w:val="auto"/>
              </w:rPr>
            </w:pPr>
          </w:p>
        </w:tc>
      </w:tr>
      <w:tr>
        <w:trPr>
          <w:trHeight w:val="164"/>
        </w:trPr>
        <w:tc>
          <w:tcPr>
            <w:tcW w:w="8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products and services sold</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5,879</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7,191</w:t>
            </w:r>
          </w:p>
        </w:tc>
      </w:tr>
      <w:tr>
        <w:trPr>
          <w:trHeight w:val="176"/>
        </w:trPr>
        <w:tc>
          <w:tcPr>
            <w:tcW w:w="8560" w:type="dxa"/>
            <w:vAlign w:val="bottom"/>
          </w:tcPr>
          <w:p>
            <w:pPr>
              <w:ind w:left="20"/>
              <w:spacing w:after="0"/>
              <w:rPr>
                <w:sz w:val="20"/>
                <w:szCs w:val="20"/>
                <w:color w:val="auto"/>
              </w:rPr>
            </w:pPr>
            <w:r>
              <w:rPr>
                <w:rFonts w:ascii="Arial" w:cs="Arial" w:eastAsia="Arial" w:hAnsi="Arial"/>
                <w:sz w:val="12"/>
                <w:szCs w:val="12"/>
                <w:color w:val="auto"/>
              </w:rPr>
              <w:t>% change compared with prior period</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5"/>
        </w:trPr>
        <w:tc>
          <w:tcPr>
            <w:tcW w:w="8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margin percentage</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33.8 %</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w:t>
            </w:r>
          </w:p>
        </w:tc>
      </w:tr>
    </w:tbl>
    <w:p>
      <w:pPr>
        <w:spacing w:after="0" w:line="1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Cost of products and services sold decreased in the quarter primarily due to lower direct material costs of approximately $950 million (driven by the spin-off of the Transportation Systems and Homes businesses and productivity, partially offset by higher sales and inflation), lower labor costs of approximately $150 million (driven by the spin-off of the Transportation Systems and Homes businesses partially offset by higher sales and inflation) and lower repositioning and other charges of approximately $70 million.</w:t>
      </w:r>
    </w:p>
    <w:p>
      <w:pPr>
        <w:spacing w:after="0" w:line="13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Gross margin percentage increased in the quarter primarily due to higher gross margin in the segments (approximately 2.0 percentage points), with higher Aerospace, Honeywell Building Technologies and Performance Materials and Technologies gross margins partially offset by lower Safety and Productivity Solutions segment gross margin, and due to the lower costs within cost of products and services sold for repositioning and other charges (approximately 0.8 percentage point impact) and pension service costs (approximately 0.2 percentage point impact).</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 Expenses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20" w:type="dxa"/>
            <w:vAlign w:val="bottom"/>
          </w:tcPr>
          <w:p>
            <w:pPr>
              <w:spacing w:after="0"/>
              <w:rPr>
                <w:sz w:val="11"/>
                <w:szCs w:val="11"/>
                <w:color w:val="auto"/>
              </w:rPr>
            </w:pPr>
          </w:p>
        </w:tc>
        <w:tc>
          <w:tcPr>
            <w:tcW w:w="236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0"/>
                <w:szCs w:val="10"/>
                <w:b w:val="1"/>
                <w:bCs w:val="1"/>
                <w:color w:val="auto"/>
              </w:rPr>
              <w:t>Three Months Ended March 31,</w:t>
            </w:r>
          </w:p>
        </w:tc>
        <w:tc>
          <w:tcPr>
            <w:tcW w:w="500" w:type="dxa"/>
            <w:vAlign w:val="bottom"/>
            <w:tcBorders>
              <w:bottom w:val="single" w:sz="8" w:color="auto"/>
            </w:tcBorders>
          </w:tcPr>
          <w:p>
            <w:pPr>
              <w:spacing w:after="0"/>
              <w:rPr>
                <w:sz w:val="11"/>
                <w:szCs w:val="11"/>
                <w:color w:val="auto"/>
              </w:rPr>
            </w:pPr>
          </w:p>
        </w:tc>
      </w:tr>
      <w:tr>
        <w:trPr>
          <w:trHeight w:val="169"/>
        </w:trPr>
        <w:tc>
          <w:tcPr>
            <w:tcW w:w="86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2018</w:t>
            </w:r>
          </w:p>
        </w:tc>
        <w:tc>
          <w:tcPr>
            <w:tcW w:w="500" w:type="dxa"/>
            <w:vAlign w:val="bottom"/>
            <w:tcBorders>
              <w:bottom w:val="single" w:sz="8" w:color="auto"/>
            </w:tcBorders>
          </w:tcPr>
          <w:p>
            <w:pPr>
              <w:spacing w:after="0"/>
              <w:rPr>
                <w:sz w:val="14"/>
                <w:szCs w:val="14"/>
                <w:color w:val="auto"/>
              </w:rPr>
            </w:pPr>
          </w:p>
        </w:tc>
      </w:tr>
      <w:tr>
        <w:trPr>
          <w:trHeight w:val="16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 expense</w:t>
            </w:r>
          </w:p>
        </w:tc>
        <w:tc>
          <w:tcPr>
            <w:tcW w:w="860" w:type="dxa"/>
            <w:vAlign w:val="bottom"/>
            <w:shd w:val="clear" w:color="auto" w:fill="CCEEFF"/>
          </w:tcPr>
          <w:p>
            <w:pPr>
              <w:jc w:val="right"/>
              <w:ind w:right="728"/>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1,363</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1,475</w:t>
            </w:r>
          </w:p>
        </w:tc>
      </w:tr>
      <w:tr>
        <w:trPr>
          <w:trHeight w:val="171"/>
        </w:trPr>
        <w:tc>
          <w:tcPr>
            <w:tcW w:w="8620" w:type="dxa"/>
            <w:vAlign w:val="bottom"/>
          </w:tcPr>
          <w:p>
            <w:pPr>
              <w:ind w:left="20"/>
              <w:spacing w:after="0"/>
              <w:rPr>
                <w:sz w:val="20"/>
                <w:szCs w:val="20"/>
                <w:color w:val="auto"/>
              </w:rPr>
            </w:pPr>
            <w:r>
              <w:rPr>
                <w:rFonts w:ascii="Arial" w:cs="Arial" w:eastAsia="Arial" w:hAnsi="Arial"/>
                <w:sz w:val="12"/>
                <w:szCs w:val="12"/>
                <w:color w:val="auto"/>
              </w:rPr>
              <w:t>% of sales</w:t>
            </w: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15.3%</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14.2%</w:t>
            </w:r>
          </w:p>
        </w:tc>
      </w:tr>
    </w:tbl>
    <w:p>
      <w:pPr>
        <w:spacing w:after="0" w:line="153" w:lineRule="exact"/>
        <w:rPr>
          <w:sz w:val="20"/>
          <w:szCs w:val="20"/>
          <w:color w:val="auto"/>
        </w:rPr>
      </w:pPr>
    </w:p>
    <w:p>
      <w:pPr>
        <w:ind w:right="200" w:firstLine="432"/>
        <w:spacing w:after="0" w:line="262" w:lineRule="auto"/>
        <w:rPr>
          <w:sz w:val="20"/>
          <w:szCs w:val="20"/>
          <w:color w:val="auto"/>
        </w:rPr>
      </w:pPr>
      <w:r>
        <w:rPr>
          <w:rFonts w:ascii="Arial" w:cs="Arial" w:eastAsia="Arial" w:hAnsi="Arial"/>
          <w:sz w:val="12"/>
          <w:szCs w:val="12"/>
          <w:color w:val="auto"/>
        </w:rPr>
        <w:t>Selling, general and administrative expenses decreased in the quarter primarily due to the absence of costs of the Transportation Systems and Homes businesses following their spin-offs, and the favorable foreign currency translation impact, partially offset by inflation.</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Other (Income) Expense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20" w:type="dxa"/>
            <w:vAlign w:val="bottom"/>
          </w:tcPr>
          <w:p>
            <w:pPr>
              <w:spacing w:after="0"/>
              <w:rPr>
                <w:sz w:val="11"/>
                <w:szCs w:val="11"/>
                <w:color w:val="auto"/>
              </w:rPr>
            </w:pPr>
          </w:p>
        </w:tc>
        <w:tc>
          <w:tcPr>
            <w:tcW w:w="240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10"/>
                <w:szCs w:val="10"/>
                <w:b w:val="1"/>
                <w:bCs w:val="1"/>
                <w:color w:val="auto"/>
              </w:rPr>
              <w:t>Three Months Ended March 31,</w:t>
            </w:r>
          </w:p>
        </w:tc>
        <w:tc>
          <w:tcPr>
            <w:tcW w:w="460" w:type="dxa"/>
            <w:vAlign w:val="bottom"/>
            <w:tcBorders>
              <w:bottom w:val="single" w:sz="8" w:color="auto"/>
            </w:tcBorders>
          </w:tcPr>
          <w:p>
            <w:pPr>
              <w:spacing w:after="0"/>
              <w:rPr>
                <w:sz w:val="11"/>
                <w:szCs w:val="11"/>
                <w:color w:val="auto"/>
              </w:rPr>
            </w:pPr>
          </w:p>
        </w:tc>
      </w:tr>
      <w:tr>
        <w:trPr>
          <w:trHeight w:val="169"/>
        </w:trPr>
        <w:tc>
          <w:tcPr>
            <w:tcW w:w="86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2018</w:t>
            </w:r>
          </w:p>
        </w:tc>
        <w:tc>
          <w:tcPr>
            <w:tcW w:w="460" w:type="dxa"/>
            <w:vAlign w:val="bottom"/>
            <w:tcBorders>
              <w:bottom w:val="single" w:sz="8" w:color="auto"/>
            </w:tcBorders>
          </w:tcPr>
          <w:p>
            <w:pPr>
              <w:spacing w:after="0"/>
              <w:rPr>
                <w:sz w:val="14"/>
                <w:szCs w:val="14"/>
                <w:color w:val="auto"/>
              </w:rPr>
            </w:pPr>
          </w:p>
        </w:tc>
      </w:tr>
      <w:tr>
        <w:trPr>
          <w:trHeight w:val="16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expense</w:t>
            </w:r>
          </w:p>
        </w:tc>
        <w:tc>
          <w:tcPr>
            <w:tcW w:w="900" w:type="dxa"/>
            <w:vAlign w:val="bottom"/>
            <w:shd w:val="clear" w:color="auto" w:fill="CCEEFF"/>
          </w:tcPr>
          <w:p>
            <w:pPr>
              <w:jc w:val="right"/>
              <w:ind w:right="768"/>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(285)</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(268)</w:t>
            </w:r>
          </w:p>
        </w:tc>
      </w:tr>
    </w:tbl>
    <w:p>
      <w:pPr>
        <w:spacing w:after="0" w:line="144" w:lineRule="exact"/>
        <w:rPr>
          <w:sz w:val="20"/>
          <w:szCs w:val="20"/>
          <w:color w:val="auto"/>
        </w:rPr>
      </w:pPr>
    </w:p>
    <w:p>
      <w:pPr>
        <w:jc w:val="both"/>
        <w:ind w:right="20" w:firstLine="475"/>
        <w:spacing w:after="0" w:line="262" w:lineRule="auto"/>
        <w:rPr>
          <w:sz w:val="20"/>
          <w:szCs w:val="20"/>
          <w:color w:val="auto"/>
        </w:rPr>
      </w:pPr>
      <w:r>
        <w:rPr>
          <w:rFonts w:ascii="Arial" w:cs="Arial" w:eastAsia="Arial" w:hAnsi="Arial"/>
          <w:sz w:val="12"/>
          <w:szCs w:val="12"/>
          <w:color w:val="auto"/>
        </w:rPr>
        <w:t>Other (income) expense increased for the quarter primarily due to the absence of separation costs, higher interest income, and favorable impacts of foreign currency, partially offset by lower pension non-service income.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Expense (Benefit)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20" w:type="dxa"/>
            <w:vAlign w:val="bottom"/>
          </w:tcPr>
          <w:p>
            <w:pPr>
              <w:spacing w:after="0"/>
              <w:rPr>
                <w:sz w:val="11"/>
                <w:szCs w:val="11"/>
                <w:color w:val="auto"/>
              </w:rPr>
            </w:pPr>
          </w:p>
        </w:tc>
        <w:tc>
          <w:tcPr>
            <w:tcW w:w="2380" w:type="dxa"/>
            <w:vAlign w:val="bottom"/>
            <w:tcBorders>
              <w:bottom w:val="single" w:sz="8" w:color="auto"/>
            </w:tcBorders>
            <w:gridSpan w:val="4"/>
          </w:tcPr>
          <w:p>
            <w:pPr>
              <w:jc w:val="right"/>
              <w:ind w:right="186"/>
              <w:spacing w:after="0"/>
              <w:rPr>
                <w:sz w:val="20"/>
                <w:szCs w:val="20"/>
                <w:color w:val="auto"/>
              </w:rPr>
            </w:pPr>
            <w:r>
              <w:rPr>
                <w:rFonts w:ascii="Arial" w:cs="Arial" w:eastAsia="Arial" w:hAnsi="Arial"/>
                <w:sz w:val="10"/>
                <w:szCs w:val="10"/>
                <w:b w:val="1"/>
                <w:bCs w:val="1"/>
                <w:color w:val="auto"/>
              </w:rPr>
              <w:t>Three Months Ended March 31,</w:t>
            </w:r>
          </w:p>
        </w:tc>
        <w:tc>
          <w:tcPr>
            <w:tcW w:w="480" w:type="dxa"/>
            <w:vAlign w:val="bottom"/>
            <w:tcBorders>
              <w:bottom w:val="single" w:sz="8" w:color="auto"/>
            </w:tcBorders>
          </w:tcPr>
          <w:p>
            <w:pPr>
              <w:spacing w:after="0"/>
              <w:rPr>
                <w:sz w:val="11"/>
                <w:szCs w:val="11"/>
                <w:color w:val="auto"/>
              </w:rPr>
            </w:pPr>
          </w:p>
        </w:tc>
      </w:tr>
      <w:tr>
        <w:trPr>
          <w:trHeight w:val="169"/>
        </w:trPr>
        <w:tc>
          <w:tcPr>
            <w:tcW w:w="86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2019</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2018</w:t>
            </w:r>
          </w:p>
        </w:tc>
        <w:tc>
          <w:tcPr>
            <w:tcW w:w="480" w:type="dxa"/>
            <w:vAlign w:val="bottom"/>
            <w:tcBorders>
              <w:bottom w:val="single" w:sz="8" w:color="auto"/>
            </w:tcBorders>
          </w:tcPr>
          <w:p>
            <w:pPr>
              <w:spacing w:after="0"/>
              <w:rPr>
                <w:sz w:val="14"/>
                <w:szCs w:val="14"/>
                <w:color w:val="auto"/>
              </w:rPr>
            </w:pPr>
          </w:p>
        </w:tc>
      </w:tr>
      <w:tr>
        <w:trPr>
          <w:trHeight w:val="16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Tax expense (benefit)</w:t>
            </w:r>
          </w:p>
        </w:tc>
        <w:tc>
          <w:tcPr>
            <w:tcW w:w="900" w:type="dxa"/>
            <w:vAlign w:val="bottom"/>
            <w:shd w:val="clear" w:color="auto" w:fill="CCEEFF"/>
          </w:tcPr>
          <w:p>
            <w:pPr>
              <w:jc w:val="right"/>
              <w:ind w:right="768"/>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406</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66"/>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459</w:t>
            </w:r>
          </w:p>
        </w:tc>
      </w:tr>
      <w:tr>
        <w:trPr>
          <w:trHeight w:val="171"/>
        </w:trPr>
        <w:tc>
          <w:tcPr>
            <w:tcW w:w="8620" w:type="dxa"/>
            <w:vAlign w:val="bottom"/>
          </w:tcPr>
          <w:p>
            <w:pPr>
              <w:ind w:left="20"/>
              <w:spacing w:after="0"/>
              <w:rPr>
                <w:sz w:val="20"/>
                <w:szCs w:val="20"/>
                <w:color w:val="auto"/>
              </w:rPr>
            </w:pPr>
            <w:r>
              <w:rPr>
                <w:rFonts w:ascii="Arial" w:cs="Arial" w:eastAsia="Arial" w:hAnsi="Arial"/>
                <w:sz w:val="12"/>
                <w:szCs w:val="12"/>
                <w:color w:val="auto"/>
              </w:rPr>
              <w:t>Effective tax rate</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22.0%</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24.0%</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effective tax rate decreased for the quarter primarily from increased tax benefits for employee share-based compensation, fewer tax reserves and lower tax costs related to the 2018 spin-offs.</w:t>
      </w:r>
    </w:p>
    <w:p>
      <w:pPr>
        <w:spacing w:after="0" w:line="15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The effective tax rate for the three months ended March 31, 2019 was higher than the U.S. federal statutory rate of 21% primarily due to incremental tax reserves and state taxes, partially offset by foreign earnings taxed at lower foreign tax rates.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692" w:right="199" w:bottom="1440" w:gutter="0" w:footer="0" w:header="0"/>
        </w:sectPr>
      </w:pPr>
    </w:p>
    <w:bookmarkStart w:id="32" w:name="page33"/>
    <w:bookmarkEnd w:id="32"/>
    <w:p>
      <w:pPr>
        <w:jc w:val="both"/>
        <w:ind w:firstLine="432"/>
        <w:spacing w:after="0" w:line="262" w:lineRule="auto"/>
        <w:rPr>
          <w:sz w:val="20"/>
          <w:szCs w:val="20"/>
          <w:color w:val="auto"/>
        </w:rPr>
      </w:pPr>
      <w:r>
        <w:rPr>
          <w:rFonts w:ascii="Arial" w:cs="Arial" w:eastAsia="Arial" w:hAnsi="Arial"/>
          <w:sz w:val="12"/>
          <w:szCs w:val="12"/>
          <w:color w:val="auto"/>
        </w:rPr>
        <w:t>The effective tax rate for the three months ended March 31, 2018 was higher than the U.S. federal statutory rate of 21% primarily from anti-deferral rules that impose U.S. taxes on foreign earnings, tax reserves and state taxes, partially offset by foreign earnings taxed at lower foreign tax rates.</w:t>
      </w: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Income Attributable to Honeywell</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20" w:type="dxa"/>
            <w:vAlign w:val="bottom"/>
          </w:tcPr>
          <w:p>
            <w:pPr>
              <w:spacing w:after="0"/>
              <w:rPr>
                <w:sz w:val="11"/>
                <w:szCs w:val="11"/>
                <w:color w:val="auto"/>
              </w:rPr>
            </w:pPr>
          </w:p>
        </w:tc>
        <w:tc>
          <w:tcPr>
            <w:tcW w:w="236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0"/>
                <w:szCs w:val="10"/>
                <w:b w:val="1"/>
                <w:bCs w:val="1"/>
                <w:color w:val="auto"/>
              </w:rPr>
              <w:t>Three Months Ended March 31,</w:t>
            </w:r>
          </w:p>
        </w:tc>
        <w:tc>
          <w:tcPr>
            <w:tcW w:w="500" w:type="dxa"/>
            <w:vAlign w:val="bottom"/>
            <w:tcBorders>
              <w:bottom w:val="single" w:sz="8" w:color="auto"/>
            </w:tcBorders>
          </w:tcPr>
          <w:p>
            <w:pPr>
              <w:spacing w:after="0"/>
              <w:rPr>
                <w:sz w:val="11"/>
                <w:szCs w:val="11"/>
                <w:color w:val="auto"/>
              </w:rPr>
            </w:pPr>
          </w:p>
        </w:tc>
      </w:tr>
      <w:tr>
        <w:trPr>
          <w:trHeight w:val="169"/>
        </w:trPr>
        <w:tc>
          <w:tcPr>
            <w:tcW w:w="86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2018</w:t>
            </w:r>
          </w:p>
        </w:tc>
        <w:tc>
          <w:tcPr>
            <w:tcW w:w="500" w:type="dxa"/>
            <w:vAlign w:val="bottom"/>
            <w:tcBorders>
              <w:bottom w:val="single" w:sz="8" w:color="auto"/>
            </w:tcBorders>
          </w:tcPr>
          <w:p>
            <w:pPr>
              <w:spacing w:after="0"/>
              <w:rPr>
                <w:sz w:val="14"/>
                <w:szCs w:val="14"/>
                <w:color w:val="auto"/>
              </w:rPr>
            </w:pPr>
          </w:p>
        </w:tc>
      </w:tr>
      <w:tr>
        <w:trPr>
          <w:trHeight w:val="16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attributable to Honeywell</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1,416</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1,439</w:t>
            </w:r>
          </w:p>
        </w:tc>
      </w:tr>
      <w:tr>
        <w:trPr>
          <w:trHeight w:val="162"/>
        </w:trPr>
        <w:tc>
          <w:tcPr>
            <w:tcW w:w="8620" w:type="dxa"/>
            <w:vAlign w:val="bottom"/>
          </w:tcPr>
          <w:p>
            <w:pPr>
              <w:ind w:left="20"/>
              <w:spacing w:after="0"/>
              <w:rPr>
                <w:sz w:val="20"/>
                <w:szCs w:val="20"/>
                <w:color w:val="auto"/>
              </w:rPr>
            </w:pPr>
            <w:r>
              <w:rPr>
                <w:rFonts w:ascii="Arial" w:cs="Arial" w:eastAsia="Arial" w:hAnsi="Arial"/>
                <w:sz w:val="12"/>
                <w:szCs w:val="12"/>
                <w:color w:val="auto"/>
              </w:rPr>
              <w:t>Earnings per share of common stock – assuming dilution</w:t>
            </w:r>
          </w:p>
        </w:tc>
        <w:tc>
          <w:tcPr>
            <w:tcW w:w="880" w:type="dxa"/>
            <w:vAlign w:val="bottom"/>
          </w:tcPr>
          <w:p>
            <w:pPr>
              <w:jc w:val="right"/>
              <w:ind w:right="746"/>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1.92</w:t>
            </w:r>
          </w:p>
        </w:tc>
        <w:tc>
          <w:tcPr>
            <w:tcW w:w="120" w:type="dxa"/>
            <w:vAlign w:val="bottom"/>
          </w:tcPr>
          <w:p>
            <w:pPr>
              <w:spacing w:after="0"/>
              <w:rPr>
                <w:sz w:val="14"/>
                <w:szCs w:val="14"/>
                <w:color w:val="auto"/>
              </w:rPr>
            </w:pPr>
          </w:p>
        </w:tc>
        <w:tc>
          <w:tcPr>
            <w:tcW w:w="860" w:type="dxa"/>
            <w:vAlign w:val="bottom"/>
          </w:tcPr>
          <w:p>
            <w:pPr>
              <w:jc w:val="right"/>
              <w:ind w:right="724"/>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1.89</w:t>
            </w:r>
          </w:p>
        </w:tc>
      </w:tr>
    </w:tbl>
    <w:p>
      <w:pPr>
        <w:spacing w:after="0" w:line="16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Earnings per share of common stock – assuming dilution increased in the quarter primarily driven by increased operational segment profit, lower repositioning and other charges, absence of separation costs during the quarter, and the favorable impact of lower share count, partially offset by lower segment profit associated with the spin-off of the Transportation Systems and Homes businesses and lower pension ongoing income.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589" w:right="1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Review of Business Segments</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Three Months Ended March 31,</w:t>
            </w:r>
          </w:p>
        </w:tc>
        <w:tc>
          <w:tcPr>
            <w:tcW w:w="960" w:type="dxa"/>
            <w:vAlign w:val="bottom"/>
            <w:tcBorders>
              <w:bottom w:val="single" w:sz="8" w:color="auto"/>
            </w:tcBorders>
          </w:tcPr>
          <w:p>
            <w:pPr>
              <w:spacing w:after="0"/>
              <w:rPr>
                <w:sz w:val="11"/>
                <w:szCs w:val="11"/>
                <w:color w:val="auto"/>
              </w:rPr>
            </w:pPr>
          </w:p>
        </w:tc>
      </w:tr>
      <w:tr>
        <w:trPr>
          <w:trHeight w:val="110"/>
        </w:trPr>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jc w:val="right"/>
              <w:ind w:right="502"/>
              <w:spacing w:after="0" w:line="111" w:lineRule="exact"/>
              <w:rPr>
                <w:sz w:val="20"/>
                <w:szCs w:val="20"/>
                <w:color w:val="auto"/>
              </w:rPr>
            </w:pPr>
            <w:r>
              <w:rPr>
                <w:rFonts w:ascii="Arial" w:cs="Arial" w:eastAsia="Arial" w:hAnsi="Arial"/>
                <w:sz w:val="10"/>
                <w:szCs w:val="10"/>
                <w:b w:val="1"/>
                <w:bCs w:val="1"/>
                <w:color w:val="auto"/>
              </w:rPr>
              <w:t>%</w:t>
            </w:r>
          </w:p>
        </w:tc>
      </w:tr>
      <w:tr>
        <w:trPr>
          <w:trHeight w:val="131"/>
        </w:trPr>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20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2019</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40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62"/>
              <w:spacing w:after="0"/>
              <w:rPr>
                <w:sz w:val="20"/>
                <w:szCs w:val="20"/>
                <w:color w:val="auto"/>
              </w:rPr>
            </w:pPr>
            <w:r>
              <w:rPr>
                <w:rFonts w:ascii="Arial" w:cs="Arial" w:eastAsia="Arial" w:hAnsi="Arial"/>
                <w:sz w:val="10"/>
                <w:szCs w:val="10"/>
                <w:b w:val="1"/>
                <w:bCs w:val="1"/>
                <w:color w:val="auto"/>
              </w:rPr>
              <w:t>Change</w:t>
            </w:r>
          </w:p>
        </w:tc>
      </w:tr>
      <w:tr>
        <w:trPr>
          <w:trHeight w:val="137"/>
        </w:trPr>
        <w:tc>
          <w:tcPr>
            <w:tcW w:w="4300" w:type="dxa"/>
            <w:vAlign w:val="bottom"/>
            <w:tcBorders>
              <w:top w:val="single" w:sz="8" w:color="CCEEFF"/>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Aerospace sales</w:t>
            </w:r>
          </w:p>
        </w:tc>
        <w:tc>
          <w:tcPr>
            <w:tcW w:w="35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r>
      <w:tr>
        <w:trPr>
          <w:trHeight w:val="36"/>
        </w:trPr>
        <w:tc>
          <w:tcPr>
            <w:tcW w:w="900" w:type="dxa"/>
            <w:vAlign w:val="bottom"/>
            <w:tcBorders>
              <w:left w:val="single" w:sz="8" w:color="CCEEFF"/>
            </w:tcBorders>
            <w:shd w:val="clear" w:color="auto" w:fill="000000"/>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35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r>
        <w:trPr>
          <w:trHeight w:val="176"/>
        </w:trPr>
        <w:tc>
          <w:tcPr>
            <w:tcW w:w="4300" w:type="dxa"/>
            <w:vAlign w:val="bottom"/>
            <w:gridSpan w:val="4"/>
          </w:tcPr>
          <w:p>
            <w:pPr>
              <w:ind w:left="100"/>
              <w:spacing w:after="0"/>
              <w:rPr>
                <w:sz w:val="20"/>
                <w:szCs w:val="20"/>
                <w:color w:val="auto"/>
              </w:rPr>
            </w:pPr>
            <w:r>
              <w:rPr>
                <w:rFonts w:ascii="Arial" w:cs="Arial" w:eastAsia="Arial" w:hAnsi="Arial"/>
                <w:sz w:val="12"/>
                <w:szCs w:val="12"/>
                <w:color w:val="auto"/>
              </w:rPr>
              <w:t>Commercial Aviation Original Equipment</w:t>
            </w:r>
          </w:p>
        </w:tc>
        <w:tc>
          <w:tcPr>
            <w:tcW w:w="4200" w:type="dxa"/>
            <w:vAlign w:val="bottom"/>
            <w:gridSpan w:val="2"/>
          </w:tcPr>
          <w:p>
            <w:pPr>
              <w:jc w:val="right"/>
              <w:ind w:right="62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40"/>
              <w:spacing w:after="0"/>
              <w:rPr>
                <w:sz w:val="20"/>
                <w:szCs w:val="20"/>
                <w:color w:val="auto"/>
              </w:rPr>
            </w:pPr>
            <w:r>
              <w:rPr>
                <w:rFonts w:ascii="Arial" w:cs="Arial" w:eastAsia="Arial" w:hAnsi="Arial"/>
                <w:sz w:val="12"/>
                <w:szCs w:val="12"/>
                <w:color w:val="auto"/>
              </w:rPr>
              <w:t>759</w:t>
            </w: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41"/>
              <w:spacing w:after="0"/>
              <w:rPr>
                <w:sz w:val="20"/>
                <w:szCs w:val="20"/>
                <w:color w:val="auto"/>
              </w:rPr>
            </w:pPr>
            <w:r>
              <w:rPr>
                <w:rFonts w:ascii="Arial" w:cs="Arial" w:eastAsia="Arial" w:hAnsi="Arial"/>
                <w:sz w:val="12"/>
                <w:szCs w:val="12"/>
                <w:color w:val="auto"/>
              </w:rPr>
              <w:t>695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9 %</w:t>
            </w:r>
          </w:p>
        </w:tc>
      </w:tr>
      <w:tr>
        <w:trPr>
          <w:trHeight w:val="185"/>
        </w:trPr>
        <w:tc>
          <w:tcPr>
            <w:tcW w:w="4300" w:type="dxa"/>
            <w:vAlign w:val="bottom"/>
            <w:tcBorders>
              <w:left w:val="single" w:sz="8" w:color="CCEEFF"/>
            </w:tcBorders>
            <w:gridSpan w:val="4"/>
            <w:shd w:val="clear" w:color="auto" w:fill="CCEEFF"/>
          </w:tcPr>
          <w:p>
            <w:pPr>
              <w:ind w:left="100"/>
              <w:spacing w:after="0"/>
              <w:rPr>
                <w:sz w:val="20"/>
                <w:szCs w:val="20"/>
                <w:color w:val="auto"/>
              </w:rPr>
            </w:pPr>
            <w:r>
              <w:rPr>
                <w:rFonts w:ascii="Arial" w:cs="Arial" w:eastAsia="Arial" w:hAnsi="Arial"/>
                <w:sz w:val="12"/>
                <w:szCs w:val="12"/>
                <w:color w:val="auto"/>
              </w:rPr>
              <w:t>Commercial Aviation Aftermarket</w:t>
            </w:r>
          </w:p>
        </w:tc>
        <w:tc>
          <w:tcPr>
            <w:tcW w:w="3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9"/>
              </w:rPr>
              <w:t>1,361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1,268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r>
      <w:tr>
        <w:trPr>
          <w:trHeight w:val="176"/>
        </w:trPr>
        <w:tc>
          <w:tcPr>
            <w:tcW w:w="4300" w:type="dxa"/>
            <w:vAlign w:val="bottom"/>
            <w:gridSpan w:val="4"/>
          </w:tcPr>
          <w:p>
            <w:pPr>
              <w:ind w:left="100"/>
              <w:spacing w:after="0"/>
              <w:rPr>
                <w:sz w:val="20"/>
                <w:szCs w:val="20"/>
                <w:color w:val="auto"/>
              </w:rPr>
            </w:pPr>
            <w:r>
              <w:rPr>
                <w:rFonts w:ascii="Arial" w:cs="Arial" w:eastAsia="Arial" w:hAnsi="Arial"/>
                <w:sz w:val="12"/>
                <w:szCs w:val="12"/>
                <w:color w:val="auto"/>
              </w:rPr>
              <w:t>Defense and Space</w:t>
            </w:r>
          </w:p>
        </w:tc>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99"/>
              </w:rPr>
              <w:t>1,221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41"/>
              <w:spacing w:after="0"/>
              <w:rPr>
                <w:sz w:val="20"/>
                <w:szCs w:val="20"/>
                <w:color w:val="auto"/>
              </w:rPr>
            </w:pPr>
            <w:r>
              <w:rPr>
                <w:rFonts w:ascii="Arial" w:cs="Arial" w:eastAsia="Arial" w:hAnsi="Arial"/>
                <w:sz w:val="12"/>
                <w:szCs w:val="12"/>
                <w:color w:val="auto"/>
              </w:rPr>
              <w:t>1,086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12 %</w:t>
            </w:r>
          </w:p>
        </w:tc>
      </w:tr>
      <w:tr>
        <w:trPr>
          <w:trHeight w:val="180"/>
        </w:trPr>
        <w:tc>
          <w:tcPr>
            <w:tcW w:w="4300" w:type="dxa"/>
            <w:vAlign w:val="bottom"/>
            <w:tcBorders>
              <w:left w:val="single" w:sz="8" w:color="CCEEFF"/>
            </w:tcBorders>
            <w:gridSpan w:val="4"/>
            <w:shd w:val="clear" w:color="auto" w:fill="CCEEFF"/>
          </w:tcPr>
          <w:p>
            <w:pPr>
              <w:ind w:left="100"/>
              <w:spacing w:after="0"/>
              <w:rPr>
                <w:sz w:val="20"/>
                <w:szCs w:val="20"/>
                <w:color w:val="auto"/>
              </w:rPr>
            </w:pPr>
            <w:r>
              <w:rPr>
                <w:rFonts w:ascii="Arial" w:cs="Arial" w:eastAsia="Arial" w:hAnsi="Arial"/>
                <w:sz w:val="12"/>
                <w:szCs w:val="12"/>
                <w:color w:val="auto"/>
              </w:rPr>
              <w:t>Transportation Systems</w:t>
            </w:r>
          </w:p>
        </w:tc>
        <w:tc>
          <w:tcPr>
            <w:tcW w:w="35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928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r>
      <w:tr>
        <w:trPr>
          <w:trHeight w:val="160"/>
        </w:trPr>
        <w:tc>
          <w:tcPr>
            <w:tcW w:w="4300" w:type="dxa"/>
            <w:vAlign w:val="bottom"/>
            <w:gridSpan w:val="4"/>
          </w:tcPr>
          <w:p>
            <w:pPr>
              <w:ind w:left="180"/>
              <w:spacing w:after="0"/>
              <w:rPr>
                <w:sz w:val="20"/>
                <w:szCs w:val="20"/>
                <w:color w:val="auto"/>
              </w:rPr>
            </w:pPr>
            <w:r>
              <w:rPr>
                <w:rFonts w:ascii="Arial" w:cs="Arial" w:eastAsia="Arial" w:hAnsi="Arial"/>
                <w:sz w:val="12"/>
                <w:szCs w:val="12"/>
                <w:color w:val="auto"/>
              </w:rPr>
              <w:t>Total Aerospace sales</w:t>
            </w:r>
          </w:p>
        </w:tc>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99"/>
              </w:rPr>
              <w:t>3,341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1"/>
              <w:spacing w:after="0"/>
              <w:rPr>
                <w:sz w:val="20"/>
                <w:szCs w:val="20"/>
                <w:color w:val="auto"/>
              </w:rPr>
            </w:pPr>
            <w:r>
              <w:rPr>
                <w:rFonts w:ascii="Arial" w:cs="Arial" w:eastAsia="Arial" w:hAnsi="Arial"/>
                <w:sz w:val="12"/>
                <w:szCs w:val="12"/>
                <w:color w:val="auto"/>
              </w:rPr>
              <w:t>3,977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5"/>
        </w:trPr>
        <w:tc>
          <w:tcPr>
            <w:tcW w:w="4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Honeywell Building Technologies sales</w:t>
            </w:r>
          </w:p>
        </w:tc>
        <w:tc>
          <w:tcPr>
            <w:tcW w:w="3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6"/>
        </w:trPr>
        <w:tc>
          <w:tcPr>
            <w:tcW w:w="2080" w:type="dxa"/>
            <w:vAlign w:val="bottom"/>
            <w:tcBorders>
              <w:top w:val="single" w:sz="8" w:color="auto"/>
            </w:tcBorders>
            <w:gridSpan w:val="2"/>
          </w:tcPr>
          <w:p>
            <w:pPr>
              <w:ind w:left="100"/>
              <w:spacing w:after="0"/>
              <w:rPr>
                <w:sz w:val="20"/>
                <w:szCs w:val="20"/>
                <w:color w:val="auto"/>
              </w:rPr>
            </w:pPr>
            <w:r>
              <w:rPr>
                <w:rFonts w:ascii="Arial" w:cs="Arial" w:eastAsia="Arial" w:hAnsi="Arial"/>
                <w:sz w:val="12"/>
                <w:szCs w:val="12"/>
                <w:color w:val="auto"/>
              </w:rPr>
              <w:t>Homes</w:t>
            </w:r>
          </w:p>
        </w:tc>
        <w:tc>
          <w:tcPr>
            <w:tcW w:w="2220" w:type="dxa"/>
            <w:vAlign w:val="bottom"/>
            <w:tcBorders>
              <w:top w:val="single" w:sz="8" w:color="CCEEFF"/>
            </w:tcBorders>
            <w:gridSpan w:val="2"/>
          </w:tcPr>
          <w:p>
            <w:pPr>
              <w:spacing w:after="0"/>
              <w:rPr>
                <w:sz w:val="15"/>
                <w:szCs w:val="15"/>
                <w:color w:val="auto"/>
              </w:rPr>
            </w:pPr>
          </w:p>
        </w:tc>
        <w:tc>
          <w:tcPr>
            <w:tcW w:w="35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ind w:right="41"/>
              <w:spacing w:after="0"/>
              <w:rPr>
                <w:sz w:val="20"/>
                <w:szCs w:val="20"/>
                <w:color w:val="auto"/>
              </w:rPr>
            </w:pPr>
            <w:r>
              <w:rPr>
                <w:rFonts w:ascii="Arial" w:cs="Arial" w:eastAsia="Arial" w:hAnsi="Arial"/>
                <w:sz w:val="12"/>
                <w:szCs w:val="12"/>
                <w:color w:val="auto"/>
              </w:rPr>
              <w:t>1,157</w:t>
            </w: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(100)%</w:t>
            </w:r>
          </w:p>
        </w:tc>
      </w:tr>
      <w:tr>
        <w:trPr>
          <w:trHeight w:val="180"/>
        </w:trPr>
        <w:tc>
          <w:tcPr>
            <w:tcW w:w="4300" w:type="dxa"/>
            <w:vAlign w:val="bottom"/>
            <w:tcBorders>
              <w:left w:val="single" w:sz="8" w:color="CCEEFF"/>
            </w:tcBorders>
            <w:gridSpan w:val="4"/>
            <w:shd w:val="clear" w:color="auto" w:fill="CCEEFF"/>
          </w:tcPr>
          <w:p>
            <w:pPr>
              <w:ind w:left="100"/>
              <w:spacing w:after="0"/>
              <w:rPr>
                <w:sz w:val="20"/>
                <w:szCs w:val="20"/>
                <w:color w:val="auto"/>
              </w:rPr>
            </w:pPr>
            <w:r>
              <w:rPr>
                <w:rFonts w:ascii="Arial" w:cs="Arial" w:eastAsia="Arial" w:hAnsi="Arial"/>
                <w:sz w:val="12"/>
                <w:szCs w:val="12"/>
                <w:color w:val="auto"/>
              </w:rPr>
              <w:t>Buildings</w:t>
            </w:r>
          </w:p>
        </w:tc>
        <w:tc>
          <w:tcPr>
            <w:tcW w:w="35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99"/>
              </w:rPr>
              <w:t>1,389</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1,276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60"/>
        </w:trPr>
        <w:tc>
          <w:tcPr>
            <w:tcW w:w="4300" w:type="dxa"/>
            <w:vAlign w:val="bottom"/>
            <w:gridSpan w:val="4"/>
          </w:tcPr>
          <w:p>
            <w:pPr>
              <w:ind w:left="180"/>
              <w:spacing w:after="0"/>
              <w:rPr>
                <w:sz w:val="20"/>
                <w:szCs w:val="20"/>
                <w:color w:val="auto"/>
              </w:rPr>
            </w:pPr>
            <w:r>
              <w:rPr>
                <w:rFonts w:ascii="Arial" w:cs="Arial" w:eastAsia="Arial" w:hAnsi="Arial"/>
                <w:sz w:val="12"/>
                <w:szCs w:val="12"/>
                <w:color w:val="auto"/>
              </w:rPr>
              <w:t>Total Honeywell Building Technologies sales</w:t>
            </w:r>
          </w:p>
        </w:tc>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99"/>
              </w:rPr>
              <w:t>1,389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1"/>
              <w:spacing w:after="0"/>
              <w:rPr>
                <w:sz w:val="20"/>
                <w:szCs w:val="20"/>
                <w:color w:val="auto"/>
              </w:rPr>
            </w:pPr>
            <w:r>
              <w:rPr>
                <w:rFonts w:ascii="Arial" w:cs="Arial" w:eastAsia="Arial" w:hAnsi="Arial"/>
                <w:sz w:val="12"/>
                <w:szCs w:val="12"/>
                <w:color w:val="auto"/>
              </w:rPr>
              <w:t>2,433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5"/>
        </w:trPr>
        <w:tc>
          <w:tcPr>
            <w:tcW w:w="430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Performance Materials and Technologies sales</w:t>
            </w:r>
          </w:p>
        </w:tc>
        <w:tc>
          <w:tcPr>
            <w:tcW w:w="3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6"/>
        </w:trPr>
        <w:tc>
          <w:tcPr>
            <w:tcW w:w="2500" w:type="dxa"/>
            <w:vAlign w:val="bottom"/>
            <w:tcBorders>
              <w:top w:val="single" w:sz="8" w:color="auto"/>
            </w:tcBorders>
            <w:gridSpan w:val="3"/>
          </w:tcPr>
          <w:p>
            <w:pPr>
              <w:ind w:left="100"/>
              <w:spacing w:after="0"/>
              <w:rPr>
                <w:sz w:val="20"/>
                <w:szCs w:val="20"/>
                <w:color w:val="auto"/>
              </w:rPr>
            </w:pPr>
            <w:r>
              <w:rPr>
                <w:rFonts w:ascii="Arial" w:cs="Arial" w:eastAsia="Arial" w:hAnsi="Arial"/>
                <w:sz w:val="12"/>
                <w:szCs w:val="12"/>
                <w:color w:val="auto"/>
              </w:rPr>
              <w:t>UOP</w:t>
            </w:r>
          </w:p>
        </w:tc>
        <w:tc>
          <w:tcPr>
            <w:tcW w:w="1800" w:type="dxa"/>
            <w:vAlign w:val="bottom"/>
            <w:tcBorders>
              <w:top w:val="single" w:sz="8" w:color="CCEEFF"/>
            </w:tcBorders>
          </w:tcPr>
          <w:p>
            <w:pPr>
              <w:spacing w:after="0"/>
              <w:rPr>
                <w:sz w:val="15"/>
                <w:szCs w:val="15"/>
                <w:color w:val="auto"/>
              </w:rPr>
            </w:pPr>
          </w:p>
        </w:tc>
        <w:tc>
          <w:tcPr>
            <w:tcW w:w="35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jc w:val="right"/>
              <w:ind w:right="40"/>
              <w:spacing w:after="0"/>
              <w:rPr>
                <w:sz w:val="20"/>
                <w:szCs w:val="20"/>
                <w:color w:val="auto"/>
              </w:rPr>
            </w:pPr>
            <w:r>
              <w:rPr>
                <w:rFonts w:ascii="Arial" w:cs="Arial" w:eastAsia="Arial" w:hAnsi="Arial"/>
                <w:sz w:val="12"/>
                <w:szCs w:val="12"/>
                <w:color w:val="auto"/>
              </w:rPr>
              <w:t>610</w:t>
            </w: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jc w:val="right"/>
              <w:ind w:right="41"/>
              <w:spacing w:after="0"/>
              <w:rPr>
                <w:sz w:val="20"/>
                <w:szCs w:val="20"/>
                <w:color w:val="auto"/>
              </w:rPr>
            </w:pPr>
            <w:r>
              <w:rPr>
                <w:rFonts w:ascii="Arial" w:cs="Arial" w:eastAsia="Arial" w:hAnsi="Arial"/>
                <w:sz w:val="12"/>
                <w:szCs w:val="12"/>
                <w:color w:val="auto"/>
              </w:rPr>
              <w:t>612</w:t>
            </w: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 %</w:t>
            </w:r>
          </w:p>
        </w:tc>
      </w:tr>
      <w:tr>
        <w:trPr>
          <w:trHeight w:val="185"/>
        </w:trPr>
        <w:tc>
          <w:tcPr>
            <w:tcW w:w="4300" w:type="dxa"/>
            <w:vAlign w:val="bottom"/>
            <w:tcBorders>
              <w:left w:val="single" w:sz="8" w:color="CCEEFF"/>
            </w:tcBorders>
            <w:gridSpan w:val="4"/>
            <w:shd w:val="clear" w:color="auto" w:fill="CCEEFF"/>
          </w:tcPr>
          <w:p>
            <w:pPr>
              <w:ind w:left="100"/>
              <w:spacing w:after="0"/>
              <w:rPr>
                <w:sz w:val="20"/>
                <w:szCs w:val="20"/>
                <w:color w:val="auto"/>
              </w:rPr>
            </w:pPr>
            <w:r>
              <w:rPr>
                <w:rFonts w:ascii="Arial" w:cs="Arial" w:eastAsia="Arial" w:hAnsi="Arial"/>
                <w:sz w:val="12"/>
                <w:szCs w:val="12"/>
                <w:color w:val="auto"/>
              </w:rPr>
              <w:t>Process Solutions</w:t>
            </w:r>
          </w:p>
        </w:tc>
        <w:tc>
          <w:tcPr>
            <w:tcW w:w="3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9"/>
              </w:rPr>
              <w:t>1,246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1,214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3 %</w:t>
            </w:r>
          </w:p>
        </w:tc>
      </w:tr>
      <w:tr>
        <w:trPr>
          <w:trHeight w:val="176"/>
        </w:trPr>
        <w:tc>
          <w:tcPr>
            <w:tcW w:w="4300" w:type="dxa"/>
            <w:vAlign w:val="bottom"/>
            <w:tcBorders>
              <w:bottom w:val="single" w:sz="8" w:color="CCEEFF"/>
            </w:tcBorders>
            <w:gridSpan w:val="4"/>
          </w:tcPr>
          <w:p>
            <w:pPr>
              <w:ind w:left="100"/>
              <w:spacing w:after="0"/>
              <w:rPr>
                <w:sz w:val="20"/>
                <w:szCs w:val="20"/>
                <w:color w:val="auto"/>
              </w:rPr>
            </w:pPr>
            <w:r>
              <w:rPr>
                <w:rFonts w:ascii="Arial" w:cs="Arial" w:eastAsia="Arial" w:hAnsi="Arial"/>
                <w:sz w:val="12"/>
                <w:szCs w:val="12"/>
                <w:color w:val="auto"/>
              </w:rPr>
              <w:t>Advanced Materials</w:t>
            </w:r>
          </w:p>
        </w:tc>
        <w:tc>
          <w:tcPr>
            <w:tcW w:w="35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716</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708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1 %</w:t>
            </w:r>
          </w:p>
        </w:tc>
      </w:tr>
      <w:tr>
        <w:trPr>
          <w:trHeight w:val="165"/>
        </w:trPr>
        <w:tc>
          <w:tcPr>
            <w:tcW w:w="4300" w:type="dxa"/>
            <w:vAlign w:val="bottom"/>
            <w:tcBorders>
              <w:left w:val="single" w:sz="8" w:color="CCEEFF"/>
            </w:tcBorders>
            <w:gridSpan w:val="4"/>
            <w:shd w:val="clear" w:color="auto" w:fill="CCEEFF"/>
          </w:tcPr>
          <w:p>
            <w:pPr>
              <w:ind w:left="180"/>
              <w:spacing w:after="0"/>
              <w:rPr>
                <w:sz w:val="20"/>
                <w:szCs w:val="20"/>
                <w:color w:val="auto"/>
              </w:rPr>
            </w:pPr>
            <w:r>
              <w:rPr>
                <w:rFonts w:ascii="Arial" w:cs="Arial" w:eastAsia="Arial" w:hAnsi="Arial"/>
                <w:sz w:val="12"/>
                <w:szCs w:val="12"/>
                <w:color w:val="auto"/>
              </w:rPr>
              <w:t>Total Performance Materials and Technologies sales</w:t>
            </w:r>
          </w:p>
        </w:tc>
        <w:tc>
          <w:tcPr>
            <w:tcW w:w="3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9"/>
              </w:rPr>
              <w:t>2,572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2,534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2"/>
        </w:trPr>
        <w:tc>
          <w:tcPr>
            <w:tcW w:w="4300" w:type="dxa"/>
            <w:vAlign w:val="bottom"/>
            <w:gridSpan w:val="4"/>
          </w:tcPr>
          <w:p>
            <w:pPr>
              <w:ind w:left="20"/>
              <w:spacing w:after="0"/>
              <w:rPr>
                <w:sz w:val="20"/>
                <w:szCs w:val="20"/>
                <w:color w:val="auto"/>
              </w:rPr>
            </w:pPr>
            <w:r>
              <w:rPr>
                <w:rFonts w:ascii="Arial" w:cs="Arial" w:eastAsia="Arial" w:hAnsi="Arial"/>
                <w:sz w:val="12"/>
                <w:szCs w:val="12"/>
                <w:color w:val="auto"/>
              </w:rPr>
              <w:t>Safety and Productivity Solutions sales</w:t>
            </w:r>
          </w:p>
        </w:tc>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8"/>
        </w:trPr>
        <w:tc>
          <w:tcPr>
            <w:tcW w:w="2080" w:type="dxa"/>
            <w:vAlign w:val="bottom"/>
            <w:tcBorders>
              <w:top w:val="single" w:sz="8" w:color="auto"/>
              <w:left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Safety</w:t>
            </w:r>
          </w:p>
        </w:tc>
        <w:tc>
          <w:tcPr>
            <w:tcW w:w="2220" w:type="dxa"/>
            <w:vAlign w:val="bottom"/>
            <w:gridSpan w:val="2"/>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551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76"/>
        </w:trPr>
        <w:tc>
          <w:tcPr>
            <w:tcW w:w="4300" w:type="dxa"/>
            <w:vAlign w:val="bottom"/>
            <w:tcBorders>
              <w:bottom w:val="single" w:sz="8" w:color="CCEEFF"/>
            </w:tcBorders>
            <w:gridSpan w:val="4"/>
          </w:tcPr>
          <w:p>
            <w:pPr>
              <w:ind w:left="100"/>
              <w:spacing w:after="0"/>
              <w:rPr>
                <w:sz w:val="20"/>
                <w:szCs w:val="20"/>
                <w:color w:val="auto"/>
              </w:rPr>
            </w:pPr>
            <w:r>
              <w:rPr>
                <w:rFonts w:ascii="Arial" w:cs="Arial" w:eastAsia="Arial" w:hAnsi="Arial"/>
                <w:sz w:val="12"/>
                <w:szCs w:val="12"/>
                <w:color w:val="auto"/>
              </w:rPr>
              <w:t>Productivity Solutions</w:t>
            </w:r>
          </w:p>
        </w:tc>
        <w:tc>
          <w:tcPr>
            <w:tcW w:w="35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9"/>
              </w:rPr>
              <w:t>1,044</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897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16 %</w:t>
            </w:r>
          </w:p>
        </w:tc>
      </w:tr>
      <w:tr>
        <w:trPr>
          <w:trHeight w:val="160"/>
        </w:trPr>
        <w:tc>
          <w:tcPr>
            <w:tcW w:w="4300" w:type="dxa"/>
            <w:vAlign w:val="bottom"/>
            <w:tcBorders>
              <w:left w:val="single" w:sz="8" w:color="CCEEFF"/>
            </w:tcBorders>
            <w:gridSpan w:val="4"/>
            <w:shd w:val="clear" w:color="auto" w:fill="CCEEFF"/>
          </w:tcPr>
          <w:p>
            <w:pPr>
              <w:ind w:left="180"/>
              <w:spacing w:after="0"/>
              <w:rPr>
                <w:sz w:val="20"/>
                <w:szCs w:val="20"/>
                <w:color w:val="auto"/>
              </w:rPr>
            </w:pPr>
            <w:r>
              <w:rPr>
                <w:rFonts w:ascii="Arial" w:cs="Arial" w:eastAsia="Arial" w:hAnsi="Arial"/>
                <w:sz w:val="12"/>
                <w:szCs w:val="12"/>
                <w:color w:val="auto"/>
              </w:rPr>
              <w:t>Total Safety and Productivity Solutions sales</w:t>
            </w:r>
          </w:p>
        </w:tc>
        <w:tc>
          <w:tcPr>
            <w:tcW w:w="35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99"/>
              </w:rPr>
              <w:t>1,582</w:t>
            </w:r>
          </w:p>
        </w:tc>
        <w:tc>
          <w:tcPr>
            <w:tcW w:w="12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1,448</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2"/>
        </w:trPr>
        <w:tc>
          <w:tcPr>
            <w:tcW w:w="4300" w:type="dxa"/>
            <w:vAlign w:val="bottom"/>
            <w:gridSpan w:val="4"/>
          </w:tcPr>
          <w:p>
            <w:pPr>
              <w:ind w:left="20"/>
              <w:spacing w:after="0"/>
              <w:rPr>
                <w:sz w:val="20"/>
                <w:szCs w:val="20"/>
                <w:color w:val="auto"/>
              </w:rPr>
            </w:pPr>
            <w:r>
              <w:rPr>
                <w:rFonts w:ascii="Arial" w:cs="Arial" w:eastAsia="Arial" w:hAnsi="Arial"/>
                <w:sz w:val="12"/>
                <w:szCs w:val="12"/>
                <w:color w:val="auto"/>
              </w:rPr>
              <w:t>Net sales</w:t>
            </w:r>
          </w:p>
        </w:tc>
        <w:tc>
          <w:tcPr>
            <w:tcW w:w="4200" w:type="dxa"/>
            <w:vAlign w:val="bottom"/>
            <w:gridSpan w:val="2"/>
          </w:tcPr>
          <w:p>
            <w:pPr>
              <w:jc w:val="right"/>
              <w:ind w:right="62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99"/>
              </w:rPr>
              <w:t>8,884</w:t>
            </w: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41"/>
              <w:spacing w:after="0"/>
              <w:rPr>
                <w:sz w:val="20"/>
                <w:szCs w:val="20"/>
                <w:color w:val="auto"/>
              </w:rPr>
            </w:pPr>
            <w:r>
              <w:rPr>
                <w:rFonts w:ascii="Arial" w:cs="Arial" w:eastAsia="Arial" w:hAnsi="Arial"/>
                <w:sz w:val="12"/>
                <w:szCs w:val="12"/>
                <w:color w:val="auto"/>
              </w:rPr>
              <w:t>10,392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50"/>
        </w:trPr>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00" w:type="dxa"/>
            <w:vAlign w:val="bottom"/>
          </w:tcPr>
          <w:p>
            <w:pPr>
              <w:jc w:val="right"/>
              <w:ind w:right="1943"/>
              <w:spacing w:after="0"/>
              <w:rPr>
                <w:sz w:val="20"/>
                <w:szCs w:val="20"/>
                <w:color w:val="auto"/>
              </w:rPr>
            </w:pPr>
            <w:r>
              <w:rPr>
                <w:rFonts w:ascii="Arial" w:cs="Arial" w:eastAsia="Arial" w:hAnsi="Arial"/>
                <w:sz w:val="12"/>
                <w:szCs w:val="12"/>
                <w:color w:val="auto"/>
              </w:rPr>
              <w:t>34</w:t>
            </w:r>
          </w:p>
        </w:tc>
        <w:tc>
          <w:tcPr>
            <w:tcW w:w="7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80"/>
          </w:cols>
          <w:pgMar w:left="220" w:top="575" w:right="1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Aerospace</w:t>
      </w:r>
    </w:p>
    <w:p>
      <w:pPr>
        <w:spacing w:after="0" w:line="264" w:lineRule="exact"/>
        <w:rPr>
          <w:sz w:val="20"/>
          <w:szCs w:val="20"/>
          <w:color w:val="auto"/>
        </w:rPr>
      </w:pPr>
    </w:p>
    <w:p>
      <w:pPr>
        <w:jc w:val="center"/>
        <w:ind w:left="8060"/>
        <w:spacing w:after="0"/>
        <w:rPr>
          <w:sz w:val="20"/>
          <w:szCs w:val="20"/>
          <w:color w:val="auto"/>
        </w:rPr>
      </w:pPr>
      <w:r>
        <w:rPr>
          <w:rFonts w:ascii="Arial" w:cs="Arial" w:eastAsia="Arial" w:hAnsi="Arial"/>
          <w:sz w:val="10"/>
          <w:szCs w:val="10"/>
          <w:b w:val="1"/>
          <w:bCs w:val="1"/>
          <w:color w:val="auto"/>
        </w:rPr>
        <w:t>Three Months Ended</w:t>
      </w:r>
    </w:p>
    <w:p>
      <w:pPr>
        <w:spacing w:after="0" w:line="5" w:lineRule="exact"/>
        <w:rPr>
          <w:sz w:val="20"/>
          <w:szCs w:val="20"/>
          <w:color w:val="auto"/>
        </w:rPr>
      </w:pPr>
    </w:p>
    <w:p>
      <w:pPr>
        <w:jc w:val="center"/>
        <w:ind w:left="8060"/>
        <w:spacing w:after="0"/>
        <w:rPr>
          <w:sz w:val="20"/>
          <w:szCs w:val="20"/>
          <w:color w:val="auto"/>
        </w:rPr>
      </w:pPr>
      <w:r>
        <w:rPr>
          <w:rFonts w:ascii="Arial" w:cs="Arial" w:eastAsia="Arial" w:hAnsi="Arial"/>
          <w:sz w:val="10"/>
          <w:szCs w:val="10"/>
          <w:b w:val="1"/>
          <w:bCs w:val="1"/>
          <w:color w:val="auto"/>
        </w:rPr>
        <w:t>March 31,</w:t>
      </w:r>
    </w:p>
    <w:tbl>
      <w:tblPr>
        <w:tblLayout w:type="fixed"/>
        <w:tblInd w:w="0" w:type="dxa"/>
        <w:tblCellMar>
          <w:top w:w="0" w:type="dxa"/>
          <w:left w:w="0" w:type="dxa"/>
          <w:bottom w:w="0" w:type="dxa"/>
          <w:right w:w="0" w:type="dxa"/>
        </w:tblCellMar>
      </w:tblPr>
      <w:tr>
        <w:trPr>
          <w:trHeight w:val="146"/>
        </w:trPr>
        <w:tc>
          <w:tcPr>
            <w:tcW w:w="32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w:t>
            </w:r>
          </w:p>
        </w:tc>
      </w:tr>
      <w:tr>
        <w:trPr>
          <w:trHeight w:val="171"/>
        </w:trPr>
        <w:tc>
          <w:tcPr>
            <w:tcW w:w="322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w w:val="99"/>
              </w:rPr>
              <w:t>Change</w:t>
            </w:r>
          </w:p>
        </w:tc>
      </w:tr>
      <w:tr>
        <w:trPr>
          <w:trHeight w:val="16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5500" w:type="dxa"/>
            <w:vAlign w:val="bottom"/>
            <w:gridSpan w:val="2"/>
            <w:shd w:val="clear" w:color="auto" w:fill="CCEEFF"/>
          </w:tcPr>
          <w:p>
            <w:pPr>
              <w:jc w:val="right"/>
              <w:ind w:right="566"/>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3,341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3,977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76"/>
        </w:trPr>
        <w:tc>
          <w:tcPr>
            <w:tcW w:w="3220" w:type="dxa"/>
            <w:vAlign w:val="bottom"/>
          </w:tcPr>
          <w:p>
            <w:pPr>
              <w:ind w:left="120"/>
              <w:spacing w:after="0"/>
              <w:rPr>
                <w:sz w:val="20"/>
                <w:szCs w:val="20"/>
                <w:color w:val="auto"/>
              </w:rPr>
            </w:pPr>
            <w:r>
              <w:rPr>
                <w:rFonts w:ascii="Arial" w:cs="Arial" w:eastAsia="Arial" w:hAnsi="Arial"/>
                <w:sz w:val="12"/>
                <w:szCs w:val="12"/>
                <w:color w:val="auto"/>
              </w:rPr>
              <w:t>Cost of products and services sold</w:t>
            </w:r>
          </w:p>
        </w:tc>
        <w:tc>
          <w:tcPr>
            <w:tcW w:w="4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2,232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2,790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Selling, general and administrative and other expenses</w:t>
            </w:r>
          </w:p>
        </w:tc>
        <w:tc>
          <w:tcPr>
            <w:tcW w:w="48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294</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2"/>
        </w:trPr>
        <w:tc>
          <w:tcPr>
            <w:tcW w:w="3220" w:type="dxa"/>
            <w:vAlign w:val="bottom"/>
          </w:tcPr>
          <w:p>
            <w:pPr>
              <w:ind w:left="20"/>
              <w:spacing w:after="0"/>
              <w:rPr>
                <w:sz w:val="20"/>
                <w:szCs w:val="20"/>
                <w:color w:val="auto"/>
              </w:rPr>
            </w:pPr>
            <w:r>
              <w:rPr>
                <w:rFonts w:ascii="Arial" w:cs="Arial" w:eastAsia="Arial" w:hAnsi="Arial"/>
                <w:sz w:val="12"/>
                <w:szCs w:val="12"/>
                <w:color w:val="auto"/>
              </w:rPr>
              <w:t>Segment profit</w:t>
            </w:r>
          </w:p>
        </w:tc>
        <w:tc>
          <w:tcPr>
            <w:tcW w:w="4800" w:type="dxa"/>
            <w:vAlign w:val="bottom"/>
          </w:tcPr>
          <w:p>
            <w:pPr>
              <w:spacing w:after="0"/>
              <w:rPr>
                <w:sz w:val="14"/>
                <w:szCs w:val="14"/>
                <w:color w:val="auto"/>
              </w:rPr>
            </w:pPr>
          </w:p>
        </w:tc>
        <w:tc>
          <w:tcPr>
            <w:tcW w:w="70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838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893</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374"/>
        </w:trPr>
        <w:tc>
          <w:tcPr>
            <w:tcW w:w="32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left="265"/>
              <w:spacing w:after="0"/>
              <w:rPr>
                <w:sz w:val="20"/>
                <w:szCs w:val="20"/>
                <w:color w:val="auto"/>
              </w:rPr>
            </w:pPr>
            <w:r>
              <w:rPr>
                <w:rFonts w:ascii="Arial" w:cs="Arial" w:eastAsia="Arial" w:hAnsi="Arial"/>
                <w:sz w:val="10"/>
                <w:szCs w:val="10"/>
                <w:b w:val="1"/>
                <w:bCs w:val="1"/>
                <w:color w:val="auto"/>
                <w:w w:val="96"/>
              </w:rPr>
              <w:t>2019 vs. 2018</w:t>
            </w:r>
          </w:p>
        </w:tc>
        <w:tc>
          <w:tcPr>
            <w:tcW w:w="760" w:type="dxa"/>
            <w:vAlign w:val="bottom"/>
            <w:tcBorders>
              <w:bottom w:val="single" w:sz="8" w:color="auto"/>
            </w:tcBorders>
          </w:tcPr>
          <w:p>
            <w:pPr>
              <w:spacing w:after="0"/>
              <w:rPr>
                <w:sz w:val="24"/>
                <w:szCs w:val="24"/>
                <w:color w:val="auto"/>
              </w:rPr>
            </w:pPr>
          </w:p>
        </w:tc>
      </w:tr>
      <w:tr>
        <w:trPr>
          <w:trHeight w:val="110"/>
        </w:trPr>
        <w:tc>
          <w:tcPr>
            <w:tcW w:w="32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5"/>
          </w:tcPr>
          <w:p>
            <w:pPr>
              <w:jc w:val="center"/>
              <w:ind w:left="265"/>
              <w:spacing w:after="0" w:line="111" w:lineRule="exact"/>
              <w:rPr>
                <w:sz w:val="20"/>
                <w:szCs w:val="20"/>
                <w:color w:val="auto"/>
              </w:rPr>
            </w:pPr>
            <w:r>
              <w:rPr>
                <w:rFonts w:ascii="Arial" w:cs="Arial" w:eastAsia="Arial" w:hAnsi="Arial"/>
                <w:sz w:val="10"/>
                <w:szCs w:val="10"/>
                <w:b w:val="1"/>
                <w:bCs w:val="1"/>
                <w:color w:val="auto"/>
                <w:w w:val="94"/>
              </w:rPr>
              <w:t>Three Months Ended</w:t>
            </w:r>
          </w:p>
        </w:tc>
        <w:tc>
          <w:tcPr>
            <w:tcW w:w="760" w:type="dxa"/>
            <w:vAlign w:val="bottom"/>
          </w:tcPr>
          <w:p>
            <w:pPr>
              <w:spacing w:after="0"/>
              <w:rPr>
                <w:sz w:val="9"/>
                <w:szCs w:val="9"/>
                <w:color w:val="auto"/>
              </w:rPr>
            </w:pPr>
          </w:p>
        </w:tc>
      </w:tr>
      <w:tr>
        <w:trPr>
          <w:trHeight w:val="131"/>
        </w:trPr>
        <w:tc>
          <w:tcPr>
            <w:tcW w:w="32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5"/>
          </w:tcPr>
          <w:p>
            <w:pPr>
              <w:jc w:val="center"/>
              <w:ind w:left="285"/>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tcBorders>
              <w:bottom w:val="single" w:sz="8" w:color="auto"/>
            </w:tcBorders>
          </w:tcPr>
          <w:p>
            <w:pPr>
              <w:spacing w:after="0"/>
              <w:rPr>
                <w:sz w:val="11"/>
                <w:szCs w:val="11"/>
                <w:color w:val="auto"/>
              </w:rPr>
            </w:pPr>
          </w:p>
        </w:tc>
      </w:tr>
      <w:tr>
        <w:trPr>
          <w:trHeight w:val="110"/>
        </w:trPr>
        <w:tc>
          <w:tcPr>
            <w:tcW w:w="32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jc w:val="right"/>
              <w:ind w:right="282"/>
              <w:spacing w:after="0" w:line="111" w:lineRule="exact"/>
              <w:rPr>
                <w:sz w:val="20"/>
                <w:szCs w:val="20"/>
                <w:color w:val="auto"/>
              </w:rPr>
            </w:pPr>
            <w:r>
              <w:rPr>
                <w:rFonts w:ascii="Arial" w:cs="Arial" w:eastAsia="Arial" w:hAnsi="Arial"/>
                <w:sz w:val="10"/>
                <w:szCs w:val="10"/>
                <w:b w:val="1"/>
                <w:bCs w:val="1"/>
                <w:color w:val="auto"/>
                <w:w w:val="94"/>
              </w:rPr>
              <w:t>Segment</w:t>
            </w:r>
          </w:p>
        </w:tc>
      </w:tr>
      <w:tr>
        <w:trPr>
          <w:trHeight w:val="131"/>
        </w:trPr>
        <w:tc>
          <w:tcPr>
            <w:tcW w:w="3220" w:type="dxa"/>
            <w:vAlign w:val="bottom"/>
          </w:tcPr>
          <w:p>
            <w:pPr>
              <w:spacing w:after="0"/>
              <w:rPr>
                <w:sz w:val="11"/>
                <w:szCs w:val="11"/>
                <w:color w:val="auto"/>
              </w:rPr>
            </w:pPr>
          </w:p>
        </w:tc>
        <w:tc>
          <w:tcPr>
            <w:tcW w:w="5500" w:type="dxa"/>
            <w:vAlign w:val="bottom"/>
            <w:gridSpan w:val="2"/>
          </w:tcPr>
          <w:p>
            <w:pPr>
              <w:jc w:val="right"/>
              <w:ind w:right="3106"/>
              <w:spacing w:after="0"/>
              <w:rPr>
                <w:sz w:val="20"/>
                <w:szCs w:val="20"/>
                <w:color w:val="auto"/>
              </w:rPr>
            </w:pPr>
            <w:r>
              <w:rPr>
                <w:rFonts w:ascii="Arial" w:cs="Arial" w:eastAsia="Arial" w:hAnsi="Arial"/>
                <w:sz w:val="10"/>
                <w:szCs w:val="10"/>
                <w:b w:val="1"/>
                <w:bCs w:val="1"/>
                <w:color w:val="auto"/>
              </w:rPr>
              <w:t>Factors Contributing to Year-Over-Year Change</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5"/>
          </w:tcPr>
          <w:p>
            <w:pPr>
              <w:ind w:left="80"/>
              <w:spacing w:after="0"/>
              <w:rPr>
                <w:sz w:val="20"/>
                <w:szCs w:val="20"/>
                <w:color w:val="auto"/>
              </w:rPr>
            </w:pPr>
            <w:r>
              <w:rPr>
                <w:rFonts w:ascii="Arial" w:cs="Arial" w:eastAsia="Arial" w:hAnsi="Arial"/>
                <w:sz w:val="10"/>
                <w:szCs w:val="10"/>
                <w:b w:val="1"/>
                <w:bCs w:val="1"/>
                <w:color w:val="auto"/>
              </w:rPr>
              <w:t>Sales</w:t>
            </w:r>
          </w:p>
        </w:tc>
        <w:tc>
          <w:tcPr>
            <w:tcW w:w="760" w:type="dxa"/>
            <w:vAlign w:val="bottom"/>
          </w:tcPr>
          <w:p>
            <w:pPr>
              <w:jc w:val="right"/>
              <w:ind w:right="362"/>
              <w:spacing w:after="0"/>
              <w:rPr>
                <w:sz w:val="20"/>
                <w:szCs w:val="20"/>
                <w:color w:val="auto"/>
              </w:rPr>
            </w:pPr>
            <w:r>
              <w:rPr>
                <w:rFonts w:ascii="Arial" w:cs="Arial" w:eastAsia="Arial" w:hAnsi="Arial"/>
                <w:sz w:val="10"/>
                <w:szCs w:val="10"/>
                <w:b w:val="1"/>
                <w:bCs w:val="1"/>
                <w:color w:val="auto"/>
              </w:rPr>
              <w:t>Profit</w:t>
            </w:r>
          </w:p>
        </w:tc>
      </w:tr>
      <w:tr>
        <w:trPr>
          <w:trHeight w:val="164"/>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Organic growth/ Operational segment profit</w:t>
            </w:r>
          </w:p>
        </w:tc>
        <w:tc>
          <w:tcPr>
            <w:tcW w:w="48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19 %</w:t>
            </w:r>
          </w:p>
        </w:tc>
      </w:tr>
      <w:tr>
        <w:trPr>
          <w:trHeight w:val="176"/>
        </w:trPr>
        <w:tc>
          <w:tcPr>
            <w:tcW w:w="3220" w:type="dxa"/>
            <w:vAlign w:val="bottom"/>
          </w:tcPr>
          <w:p>
            <w:pPr>
              <w:ind w:left="20"/>
              <w:spacing w:after="0"/>
              <w:rPr>
                <w:sz w:val="20"/>
                <w:szCs w:val="20"/>
                <w:color w:val="auto"/>
              </w:rPr>
            </w:pPr>
            <w:r>
              <w:rPr>
                <w:rFonts w:ascii="Arial" w:cs="Arial" w:eastAsia="Arial" w:hAnsi="Arial"/>
                <w:sz w:val="12"/>
                <w:szCs w:val="12"/>
                <w:color w:val="auto"/>
              </w:rPr>
              <w:t>Foreign currency translation</w:t>
            </w:r>
          </w:p>
        </w:tc>
        <w:tc>
          <w:tcPr>
            <w:tcW w:w="4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5"/>
          </w:tcPr>
          <w:p>
            <w:pPr>
              <w:jc w:val="right"/>
              <w:ind w:right="480"/>
              <w:spacing w:after="0"/>
              <w:rPr>
                <w:sz w:val="20"/>
                <w:szCs w:val="20"/>
                <w:color w:val="auto"/>
              </w:rPr>
            </w:pPr>
            <w:r>
              <w:rPr>
                <w:rFonts w:ascii="Arial" w:cs="Arial" w:eastAsia="Arial" w:hAnsi="Arial"/>
                <w:sz w:val="12"/>
                <w:szCs w:val="12"/>
                <w:color w:val="auto"/>
              </w:rPr>
              <w:t>— %</w:t>
            </w: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80"/>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Acquisitions, divestitures and other, net</w:t>
            </w:r>
          </w:p>
        </w:tc>
        <w:tc>
          <w:tcPr>
            <w:tcW w:w="4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r>
      <w:tr>
        <w:trPr>
          <w:trHeight w:val="172"/>
        </w:trPr>
        <w:tc>
          <w:tcPr>
            <w:tcW w:w="3220" w:type="dxa"/>
            <w:vAlign w:val="bottom"/>
          </w:tcPr>
          <w:p>
            <w:pPr>
              <w:ind w:left="20"/>
              <w:spacing w:after="0"/>
              <w:rPr>
                <w:sz w:val="20"/>
                <w:szCs w:val="20"/>
                <w:color w:val="auto"/>
              </w:rPr>
            </w:pPr>
            <w:r>
              <w:rPr>
                <w:rFonts w:ascii="Arial" w:cs="Arial" w:eastAsia="Arial" w:hAnsi="Arial"/>
                <w:sz w:val="12"/>
                <w:szCs w:val="12"/>
                <w:color w:val="auto"/>
              </w:rPr>
              <w:t>Total % change</w:t>
            </w:r>
          </w:p>
        </w:tc>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r>
    </w:tbl>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Aerospace sales decreased due to the divestiture impacts following the spin-off of the Transportation Systems business, partially offset by an increase in organic sales growth.</w:t>
      </w:r>
    </w:p>
    <w:p>
      <w:pPr>
        <w:spacing w:after="0" w:line="150" w:lineRule="exact"/>
        <w:rPr>
          <w:sz w:val="20"/>
          <w:szCs w:val="20"/>
          <w:color w:val="auto"/>
        </w:rPr>
      </w:pPr>
    </w:p>
    <w:p>
      <w:pPr>
        <w:ind w:left="540" w:hanging="215"/>
        <w:spacing w:after="0"/>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Commercial Aviation Original Equipment sales increased 9% (increased 10% organic) primarily due to increased demand from business aviation customers.</w:t>
      </w:r>
    </w:p>
    <w:p>
      <w:pPr>
        <w:spacing w:after="0" w:line="150" w:lineRule="exact"/>
        <w:rPr>
          <w:rFonts w:ascii="Arial" w:cs="Arial" w:eastAsia="Arial" w:hAnsi="Arial"/>
          <w:sz w:val="12"/>
          <w:szCs w:val="12"/>
          <w:color w:val="auto"/>
        </w:rPr>
      </w:pPr>
    </w:p>
    <w:p>
      <w:pPr>
        <w:ind w:left="540" w:hanging="215"/>
        <w:spacing w:after="0"/>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Commercial Aviation Aftermarket sales increased 7% (increased 8% organic) with growth in both air transport and regional, and business aviation.</w:t>
      </w:r>
    </w:p>
    <w:p>
      <w:pPr>
        <w:spacing w:after="0" w:line="150" w:lineRule="exact"/>
        <w:rPr>
          <w:rFonts w:ascii="Arial" w:cs="Arial" w:eastAsia="Arial" w:hAnsi="Arial"/>
          <w:sz w:val="12"/>
          <w:szCs w:val="12"/>
          <w:color w:val="auto"/>
        </w:rPr>
      </w:pPr>
    </w:p>
    <w:p>
      <w:pPr>
        <w:ind w:left="540" w:hanging="215"/>
        <w:spacing w:after="0"/>
        <w:tabs>
          <w:tab w:leader="none" w:pos="540" w:val="left"/>
        </w:tabs>
        <w:numPr>
          <w:ilvl w:val="0"/>
          <w:numId w:val="5"/>
        </w:numPr>
        <w:rPr>
          <w:rFonts w:ascii="Arial" w:cs="Arial" w:eastAsia="Arial" w:hAnsi="Arial"/>
          <w:sz w:val="12"/>
          <w:szCs w:val="12"/>
          <w:color w:val="auto"/>
        </w:rPr>
      </w:pPr>
      <w:r>
        <w:rPr>
          <w:rFonts w:ascii="Arial" w:cs="Arial" w:eastAsia="Arial" w:hAnsi="Arial"/>
          <w:sz w:val="12"/>
          <w:szCs w:val="12"/>
          <w:color w:val="auto"/>
        </w:rPr>
        <w:t>Defense and Space sales increased 12% (increased 13% organic) primarily driven by growth in U.S. and international defense.</w:t>
      </w:r>
    </w:p>
    <w:p>
      <w:pPr>
        <w:spacing w:after="0" w:line="150" w:lineRule="exact"/>
        <w:rPr>
          <w:sz w:val="20"/>
          <w:szCs w:val="20"/>
          <w:color w:val="auto"/>
        </w:rPr>
      </w:pPr>
    </w:p>
    <w:p>
      <w:pPr>
        <w:ind w:right="100" w:firstLine="432"/>
        <w:spacing w:after="0" w:line="262" w:lineRule="auto"/>
        <w:rPr>
          <w:sz w:val="20"/>
          <w:szCs w:val="20"/>
          <w:color w:val="auto"/>
        </w:rPr>
      </w:pPr>
      <w:r>
        <w:rPr>
          <w:rFonts w:ascii="Arial" w:cs="Arial" w:eastAsia="Arial" w:hAnsi="Arial"/>
          <w:sz w:val="12"/>
          <w:szCs w:val="12"/>
          <w:color w:val="auto"/>
        </w:rPr>
        <w:t>Aerospace segment profit decreased due to the divestiture impacts following the spin-off of the Transportation Systems business, partially offset by an increase in operational segment profit, driven by volume and price. Cost of products and services sold decreased due to the spin-off of the Transportation Systems business and productivity, net of inflation, partially offset by higher sales volumes.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575" w:right="19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color w:val="auto"/>
        </w:rPr>
        <w:t>Honeywell Building Technologies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6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6"/>
          </w:tcPr>
          <w:p>
            <w:pPr>
              <w:ind w:left="20"/>
              <w:spacing w:after="0"/>
              <w:rPr>
                <w:sz w:val="20"/>
                <w:szCs w:val="20"/>
                <w:color w:val="auto"/>
              </w:rPr>
            </w:pPr>
            <w:r>
              <w:rPr>
                <w:rFonts w:ascii="Arial" w:cs="Arial" w:eastAsia="Arial" w:hAnsi="Arial"/>
                <w:sz w:val="10"/>
                <w:szCs w:val="10"/>
                <w:b w:val="1"/>
                <w:bCs w:val="1"/>
                <w:color w:val="auto"/>
              </w:rPr>
              <w:t>Three Months Ended</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316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5"/>
          </w:tcPr>
          <w:p>
            <w:pPr>
              <w:ind w:left="140"/>
              <w:spacing w:after="0"/>
              <w:rPr>
                <w:sz w:val="20"/>
                <w:szCs w:val="20"/>
                <w:color w:val="auto"/>
              </w:rPr>
            </w:pPr>
            <w:r>
              <w:rPr>
                <w:rFonts w:ascii="Arial" w:cs="Arial" w:eastAsia="Arial" w:hAnsi="Arial"/>
                <w:sz w:val="10"/>
                <w:szCs w:val="10"/>
                <w:b w:val="1"/>
                <w:bCs w:val="1"/>
                <w:color w:val="auto"/>
              </w:rPr>
              <w:t>March 31,</w:t>
            </w:r>
          </w:p>
        </w:tc>
        <w:tc>
          <w:tcPr>
            <w:tcW w:w="8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9"/>
        </w:trPr>
        <w:tc>
          <w:tcPr>
            <w:tcW w:w="3160" w:type="dxa"/>
            <w:vAlign w:val="bottom"/>
            <w:tcBorders>
              <w:bottom w:val="single" w:sz="8" w:color="CCEEFF"/>
            </w:tcBorders>
          </w:tcPr>
          <w:p>
            <w:pPr>
              <w:spacing w:after="0"/>
              <w:rPr>
                <w:sz w:val="14"/>
                <w:szCs w:val="14"/>
                <w:color w:val="auto"/>
              </w:rPr>
            </w:pPr>
          </w:p>
        </w:tc>
        <w:tc>
          <w:tcPr>
            <w:tcW w:w="5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4"/>
              <w:spacing w:after="0"/>
              <w:rPr>
                <w:sz w:val="20"/>
                <w:szCs w:val="20"/>
                <w:color w:val="auto"/>
              </w:rPr>
            </w:pPr>
            <w:r>
              <w:rPr>
                <w:rFonts w:ascii="Arial" w:cs="Arial" w:eastAsia="Arial" w:hAnsi="Arial"/>
                <w:sz w:val="10"/>
                <w:szCs w:val="10"/>
                <w:b w:val="1"/>
                <w:bCs w:val="1"/>
                <w:color w:val="auto"/>
              </w:rPr>
              <w:t>% Change</w:t>
            </w:r>
          </w:p>
        </w:tc>
        <w:tc>
          <w:tcPr>
            <w:tcW w:w="40" w:type="dxa"/>
            <w:vAlign w:val="bottom"/>
          </w:tcPr>
          <w:p>
            <w:pPr>
              <w:spacing w:after="0"/>
              <w:rPr>
                <w:sz w:val="14"/>
                <w:szCs w:val="14"/>
                <w:color w:val="auto"/>
              </w:rPr>
            </w:pPr>
          </w:p>
        </w:tc>
      </w:tr>
      <w:tr>
        <w:trPr>
          <w:trHeight w:val="164"/>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5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1,389</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2,433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40" w:type="dxa"/>
            <w:vAlign w:val="bottom"/>
          </w:tcPr>
          <w:p>
            <w:pPr>
              <w:spacing w:after="0"/>
              <w:rPr>
                <w:sz w:val="14"/>
                <w:szCs w:val="14"/>
                <w:color w:val="auto"/>
              </w:rPr>
            </w:pPr>
          </w:p>
        </w:tc>
      </w:tr>
      <w:tr>
        <w:trPr>
          <w:trHeight w:val="176"/>
        </w:trPr>
        <w:tc>
          <w:tcPr>
            <w:tcW w:w="3160" w:type="dxa"/>
            <w:vAlign w:val="bottom"/>
          </w:tcPr>
          <w:p>
            <w:pPr>
              <w:ind w:left="120"/>
              <w:spacing w:after="0"/>
              <w:rPr>
                <w:sz w:val="20"/>
                <w:szCs w:val="20"/>
                <w:color w:val="auto"/>
              </w:rPr>
            </w:pPr>
            <w:r>
              <w:rPr>
                <w:rFonts w:ascii="Arial" w:cs="Arial" w:eastAsia="Arial" w:hAnsi="Arial"/>
                <w:sz w:val="12"/>
                <w:szCs w:val="12"/>
                <w:color w:val="auto"/>
              </w:rPr>
              <w:t>Cost of products and services sold</w:t>
            </w:r>
          </w:p>
        </w:tc>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2"/>
                <w:szCs w:val="12"/>
                <w:color w:val="auto"/>
              </w:rPr>
              <w:t>1,586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3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Selling, general and administrative and other expenses</w:t>
            </w:r>
          </w:p>
        </w:tc>
        <w:tc>
          <w:tcPr>
            <w:tcW w:w="53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431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2"/>
        </w:trPr>
        <w:tc>
          <w:tcPr>
            <w:tcW w:w="3160" w:type="dxa"/>
            <w:vAlign w:val="bottom"/>
          </w:tcPr>
          <w:p>
            <w:pPr>
              <w:ind w:left="20"/>
              <w:spacing w:after="0"/>
              <w:rPr>
                <w:sz w:val="20"/>
                <w:szCs w:val="20"/>
                <w:color w:val="auto"/>
              </w:rPr>
            </w:pPr>
            <w:r>
              <w:rPr>
                <w:rFonts w:ascii="Arial" w:cs="Arial" w:eastAsia="Arial" w:hAnsi="Arial"/>
                <w:sz w:val="12"/>
                <w:szCs w:val="12"/>
                <w:color w:val="auto"/>
              </w:rPr>
              <w:t>Segment profit</w:t>
            </w:r>
          </w:p>
        </w:tc>
        <w:tc>
          <w:tcPr>
            <w:tcW w:w="5300" w:type="dxa"/>
            <w:vAlign w:val="bottom"/>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color w:val="auto"/>
              </w:rPr>
              <w:t>416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(35)%</w:t>
            </w:r>
          </w:p>
        </w:tc>
        <w:tc>
          <w:tcPr>
            <w:tcW w:w="40" w:type="dxa"/>
            <w:vAlign w:val="bottom"/>
          </w:tcPr>
          <w:p>
            <w:pPr>
              <w:spacing w:after="0"/>
              <w:rPr>
                <w:sz w:val="14"/>
                <w:szCs w:val="14"/>
                <w:color w:val="auto"/>
              </w:rPr>
            </w:pPr>
          </w:p>
        </w:tc>
      </w:tr>
      <w:tr>
        <w:trPr>
          <w:trHeight w:val="545"/>
        </w:trPr>
        <w:tc>
          <w:tcPr>
            <w:tcW w:w="31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3"/>
              </w:rPr>
              <w:t>2019 vs. 2018</w:t>
            </w: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47"/>
        </w:trPr>
        <w:tc>
          <w:tcPr>
            <w:tcW w:w="3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5"/>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5"/>
        </w:trPr>
        <w:tc>
          <w:tcPr>
            <w:tcW w:w="31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5"/>
              </w:rPr>
              <w:t>March 31,</w:t>
            </w:r>
          </w:p>
        </w:tc>
        <w:tc>
          <w:tcPr>
            <w:tcW w:w="8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10"/>
        </w:trPr>
        <w:tc>
          <w:tcPr>
            <w:tcW w:w="316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right"/>
              <w:ind w:right="460"/>
              <w:spacing w:after="0" w:line="111" w:lineRule="exact"/>
              <w:rPr>
                <w:sz w:val="20"/>
                <w:szCs w:val="20"/>
                <w:color w:val="auto"/>
              </w:rPr>
            </w:pPr>
            <w:r>
              <w:rPr>
                <w:rFonts w:ascii="Arial" w:cs="Arial" w:eastAsia="Arial" w:hAnsi="Arial"/>
                <w:sz w:val="10"/>
                <w:szCs w:val="10"/>
                <w:b w:val="1"/>
                <w:bCs w:val="1"/>
                <w:color w:val="auto"/>
                <w:w w:val="94"/>
              </w:rPr>
              <w:t>Segment</w:t>
            </w:r>
          </w:p>
        </w:tc>
      </w:tr>
      <w:tr>
        <w:trPr>
          <w:trHeight w:val="131"/>
        </w:trPr>
        <w:tc>
          <w:tcPr>
            <w:tcW w:w="3160" w:type="dxa"/>
            <w:vAlign w:val="bottom"/>
            <w:tcBorders>
              <w:bottom w:val="single" w:sz="8" w:color="auto"/>
            </w:tcBorders>
          </w:tcPr>
          <w:p>
            <w:pPr>
              <w:spacing w:after="0"/>
              <w:rPr>
                <w:sz w:val="11"/>
                <w:szCs w:val="11"/>
                <w:color w:val="auto"/>
              </w:rPr>
            </w:pPr>
          </w:p>
        </w:tc>
        <w:tc>
          <w:tcPr>
            <w:tcW w:w="5580" w:type="dxa"/>
            <w:vAlign w:val="bottom"/>
            <w:tcBorders>
              <w:bottom w:val="single" w:sz="8" w:color="auto"/>
            </w:tcBorders>
            <w:gridSpan w:val="2"/>
          </w:tcPr>
          <w:p>
            <w:pPr>
              <w:jc w:val="right"/>
              <w:ind w:right="3240"/>
              <w:spacing w:after="0"/>
              <w:rPr>
                <w:sz w:val="20"/>
                <w:szCs w:val="20"/>
                <w:color w:val="auto"/>
              </w:rPr>
            </w:pPr>
            <w:r>
              <w:rPr>
                <w:rFonts w:ascii="Arial" w:cs="Arial" w:eastAsia="Arial" w:hAnsi="Arial"/>
                <w:sz w:val="10"/>
                <w:szCs w:val="10"/>
                <w:b w:val="1"/>
                <w:bCs w:val="1"/>
                <w:color w:val="auto"/>
                <w:w w:val="99"/>
              </w:rPr>
              <w:t>Factors Contributing to Year-Over-Year Change</w:t>
            </w: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Sales</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0"/>
                <w:szCs w:val="10"/>
                <w:b w:val="1"/>
                <w:bCs w:val="1"/>
                <w:color w:val="auto"/>
              </w:rPr>
              <w:t>Profit</w:t>
            </w:r>
          </w:p>
        </w:tc>
      </w:tr>
      <w:tr>
        <w:trPr>
          <w:trHeight w:val="164"/>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Organic growth/ Operational segment profit</w:t>
            </w:r>
          </w:p>
        </w:tc>
        <w:tc>
          <w:tcPr>
            <w:tcW w:w="5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40" w:type="dxa"/>
            <w:vAlign w:val="bottom"/>
            <w:shd w:val="clear" w:color="auto" w:fill="CCEEFF"/>
          </w:tcPr>
          <w:p>
            <w:pPr>
              <w:spacing w:after="0"/>
              <w:rPr>
                <w:sz w:val="14"/>
                <w:szCs w:val="14"/>
                <w:color w:val="auto"/>
              </w:rPr>
            </w:pPr>
          </w:p>
        </w:tc>
      </w:tr>
      <w:tr>
        <w:trPr>
          <w:trHeight w:val="176"/>
        </w:trPr>
        <w:tc>
          <w:tcPr>
            <w:tcW w:w="3160" w:type="dxa"/>
            <w:vAlign w:val="bottom"/>
          </w:tcPr>
          <w:p>
            <w:pPr>
              <w:ind w:left="20"/>
              <w:spacing w:after="0"/>
              <w:rPr>
                <w:sz w:val="20"/>
                <w:szCs w:val="20"/>
                <w:color w:val="auto"/>
              </w:rPr>
            </w:pPr>
            <w:r>
              <w:rPr>
                <w:rFonts w:ascii="Arial" w:cs="Arial" w:eastAsia="Arial" w:hAnsi="Arial"/>
                <w:sz w:val="12"/>
                <w:szCs w:val="12"/>
                <w:color w:val="auto"/>
              </w:rPr>
              <w:t>Foreign currency translation</w:t>
            </w:r>
          </w:p>
        </w:tc>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r>
      <w:tr>
        <w:trPr>
          <w:trHeight w:val="180"/>
        </w:trPr>
        <w:tc>
          <w:tcPr>
            <w:tcW w:w="3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Acquisitions, divestitures and other, net</w:t>
            </w:r>
          </w:p>
        </w:tc>
        <w:tc>
          <w:tcPr>
            <w:tcW w:w="5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(39)%</w:t>
            </w:r>
          </w:p>
        </w:tc>
      </w:tr>
      <w:tr>
        <w:trPr>
          <w:trHeight w:val="172"/>
        </w:trPr>
        <w:tc>
          <w:tcPr>
            <w:tcW w:w="3160" w:type="dxa"/>
            <w:vAlign w:val="bottom"/>
          </w:tcPr>
          <w:p>
            <w:pPr>
              <w:ind w:left="20"/>
              <w:spacing w:after="0"/>
              <w:rPr>
                <w:sz w:val="20"/>
                <w:szCs w:val="20"/>
                <w:color w:val="auto"/>
              </w:rPr>
            </w:pPr>
            <w:r>
              <w:rPr>
                <w:rFonts w:ascii="Arial" w:cs="Arial" w:eastAsia="Arial" w:hAnsi="Arial"/>
                <w:sz w:val="12"/>
                <w:szCs w:val="12"/>
                <w:color w:val="auto"/>
              </w:rPr>
              <w:t>Total % change</w:t>
            </w:r>
          </w:p>
        </w:tc>
        <w:tc>
          <w:tcPr>
            <w:tcW w:w="5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(35)%</w:t>
            </w:r>
          </w:p>
        </w:tc>
      </w:tr>
    </w:tbl>
    <w:p>
      <w:pPr>
        <w:spacing w:after="0" w:line="14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Honeywell Building Technologies sales decreased due to the divestiture impacts following the spin-off of the Homes business and the unfavorable impact of foreign currency, partially offset by an increase in organic growth.</w:t>
      </w:r>
    </w:p>
    <w:p>
      <w:pPr>
        <w:spacing w:after="0" w:line="131" w:lineRule="exact"/>
        <w:rPr>
          <w:sz w:val="20"/>
          <w:szCs w:val="20"/>
          <w:color w:val="auto"/>
        </w:rPr>
      </w:pPr>
    </w:p>
    <w:p>
      <w:pPr>
        <w:ind w:left="540" w:hanging="215"/>
        <w:spacing w:after="0"/>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Sales in Building Technologies, excluding the Homes divestiture and related impacts, increased 9% (increased 9% organic) primarily due to higher organic sales growth in Building Solutions and Products.</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Honeywell Building Technologies segment profit decreased due to the divestiture impacts following the spin-off of the Homes business and the unfavorable impact of foreign currency translation, partially offset by an increase in operational segment profit. The increase in operational segment profit was primarily driven by volume and price, partially offset by inflation. Cost of products and services sold decreased due to the Homes divestiture and foreign currency translation, partially offset by higher sales volumes.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575" w:right="19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Performance Materials and Technologies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4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7"/>
          </w:tcPr>
          <w:p>
            <w:pPr>
              <w:jc w:val="center"/>
              <w:ind w:right="220"/>
              <w:spacing w:after="0"/>
              <w:rPr>
                <w:sz w:val="20"/>
                <w:szCs w:val="20"/>
                <w:color w:val="auto"/>
              </w:rPr>
            </w:pPr>
            <w:r>
              <w:rPr>
                <w:rFonts w:ascii="Arial" w:cs="Arial" w:eastAsia="Arial" w:hAnsi="Arial"/>
                <w:sz w:val="10"/>
                <w:szCs w:val="10"/>
                <w:b w:val="1"/>
                <w:bCs w:val="1"/>
                <w:color w:val="auto"/>
                <w:w w:val="94"/>
              </w:rPr>
              <w:t>Three Months Ended</w:t>
            </w:r>
          </w:p>
        </w:tc>
        <w:tc>
          <w:tcPr>
            <w:tcW w:w="700" w:type="dxa"/>
            <w:vAlign w:val="bottom"/>
          </w:tcPr>
          <w:p>
            <w:pPr>
              <w:spacing w:after="0"/>
              <w:rPr>
                <w:sz w:val="10"/>
                <w:szCs w:val="10"/>
                <w:color w:val="auto"/>
              </w:rPr>
            </w:pPr>
          </w:p>
        </w:tc>
      </w:tr>
      <w:tr>
        <w:trPr>
          <w:trHeight w:val="131"/>
        </w:trPr>
        <w:tc>
          <w:tcPr>
            <w:tcW w:w="33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0"/>
                <w:szCs w:val="10"/>
                <w:b w:val="1"/>
                <w:bCs w:val="1"/>
                <w:color w:val="auto"/>
                <w:w w:val="95"/>
              </w:rPr>
              <w:t>March 31,</w:t>
            </w:r>
          </w:p>
        </w:tc>
        <w:tc>
          <w:tcPr>
            <w:tcW w:w="700" w:type="dxa"/>
            <w:vAlign w:val="bottom"/>
            <w:tcBorders>
              <w:bottom w:val="single" w:sz="8" w:color="auto"/>
            </w:tcBorders>
          </w:tcPr>
          <w:p>
            <w:pPr>
              <w:spacing w:after="0"/>
              <w:rPr>
                <w:sz w:val="11"/>
                <w:szCs w:val="11"/>
                <w:color w:val="auto"/>
              </w:rPr>
            </w:pPr>
          </w:p>
        </w:tc>
      </w:tr>
      <w:tr>
        <w:trPr>
          <w:trHeight w:val="110"/>
        </w:trPr>
        <w:tc>
          <w:tcPr>
            <w:tcW w:w="334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jc w:val="right"/>
              <w:ind w:right="365"/>
              <w:spacing w:after="0" w:line="111" w:lineRule="exact"/>
              <w:rPr>
                <w:sz w:val="20"/>
                <w:szCs w:val="20"/>
                <w:color w:val="auto"/>
              </w:rPr>
            </w:pPr>
            <w:r>
              <w:rPr>
                <w:rFonts w:ascii="Arial" w:cs="Arial" w:eastAsia="Arial" w:hAnsi="Arial"/>
                <w:sz w:val="10"/>
                <w:szCs w:val="10"/>
                <w:b w:val="1"/>
                <w:bCs w:val="1"/>
                <w:color w:val="auto"/>
              </w:rPr>
              <w:t>%</w:t>
            </w:r>
          </w:p>
        </w:tc>
      </w:tr>
      <w:tr>
        <w:trPr>
          <w:trHeight w:val="131"/>
        </w:trPr>
        <w:tc>
          <w:tcPr>
            <w:tcW w:w="3340" w:type="dxa"/>
            <w:vAlign w:val="bottom"/>
            <w:tcBorders>
              <w:bottom w:val="single" w:sz="8" w:color="CCEEFF"/>
            </w:tcBorders>
          </w:tcPr>
          <w:p>
            <w:pPr>
              <w:spacing w:after="0"/>
              <w:rPr>
                <w:sz w:val="11"/>
                <w:szCs w:val="11"/>
                <w:color w:val="auto"/>
              </w:rPr>
            </w:pPr>
          </w:p>
        </w:tc>
        <w:tc>
          <w:tcPr>
            <w:tcW w:w="5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5"/>
              <w:spacing w:after="0"/>
              <w:rPr>
                <w:sz w:val="20"/>
                <w:szCs w:val="20"/>
                <w:color w:val="auto"/>
              </w:rPr>
            </w:pPr>
            <w:r>
              <w:rPr>
                <w:rFonts w:ascii="Arial" w:cs="Arial" w:eastAsia="Arial" w:hAnsi="Arial"/>
                <w:sz w:val="10"/>
                <w:szCs w:val="10"/>
                <w:b w:val="1"/>
                <w:bCs w:val="1"/>
                <w:color w:val="auto"/>
                <w:w w:val="98"/>
              </w:rPr>
              <w:t>2018</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rPr>
              <w:t>Change</w:t>
            </w:r>
          </w:p>
        </w:tc>
      </w:tr>
      <w:tr>
        <w:trPr>
          <w:trHeight w:val="164"/>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5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2,572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2,534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76"/>
        </w:trPr>
        <w:tc>
          <w:tcPr>
            <w:tcW w:w="3340" w:type="dxa"/>
            <w:vAlign w:val="bottom"/>
          </w:tcPr>
          <w:p>
            <w:pPr>
              <w:ind w:left="120"/>
              <w:spacing w:after="0"/>
              <w:rPr>
                <w:sz w:val="20"/>
                <w:szCs w:val="20"/>
                <w:color w:val="auto"/>
              </w:rPr>
            </w:pPr>
            <w:r>
              <w:rPr>
                <w:rFonts w:ascii="Arial" w:cs="Arial" w:eastAsia="Arial" w:hAnsi="Arial"/>
                <w:sz w:val="12"/>
                <w:szCs w:val="12"/>
                <w:color w:val="auto"/>
              </w:rPr>
              <w:t>Cost of products and services sold</w:t>
            </w:r>
          </w:p>
        </w:tc>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1,648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ind w:right="5"/>
              <w:spacing w:after="0"/>
              <w:rPr>
                <w:sz w:val="20"/>
                <w:szCs w:val="20"/>
                <w:color w:val="auto"/>
              </w:rPr>
            </w:pPr>
            <w:r>
              <w:rPr>
                <w:rFonts w:ascii="Arial" w:cs="Arial" w:eastAsia="Arial" w:hAnsi="Arial"/>
                <w:sz w:val="12"/>
                <w:szCs w:val="12"/>
                <w:color w:val="auto"/>
              </w:rPr>
              <w:t>1,681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33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Selling, general and administrative and other expenses</w:t>
            </w:r>
          </w:p>
        </w:tc>
        <w:tc>
          <w:tcPr>
            <w:tcW w:w="5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360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334</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72"/>
        </w:trPr>
        <w:tc>
          <w:tcPr>
            <w:tcW w:w="3340" w:type="dxa"/>
            <w:vAlign w:val="bottom"/>
          </w:tcPr>
          <w:p>
            <w:pPr>
              <w:ind w:left="20"/>
              <w:spacing w:after="0"/>
              <w:rPr>
                <w:sz w:val="20"/>
                <w:szCs w:val="20"/>
                <w:color w:val="auto"/>
              </w:rPr>
            </w:pPr>
            <w:r>
              <w:rPr>
                <w:rFonts w:ascii="Arial" w:cs="Arial" w:eastAsia="Arial" w:hAnsi="Arial"/>
                <w:sz w:val="12"/>
                <w:szCs w:val="12"/>
                <w:color w:val="auto"/>
              </w:rPr>
              <w:t>Segment profit</w:t>
            </w:r>
          </w:p>
        </w:tc>
        <w:tc>
          <w:tcPr>
            <w:tcW w:w="5160" w:type="dxa"/>
            <w:vAlign w:val="bottom"/>
          </w:tcPr>
          <w:p>
            <w:pPr>
              <w:spacing w:after="0"/>
              <w:rPr>
                <w:sz w:val="14"/>
                <w:szCs w:val="14"/>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564</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519</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374"/>
        </w:trPr>
        <w:tc>
          <w:tcPr>
            <w:tcW w:w="33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center"/>
              <w:ind w:left="385"/>
              <w:spacing w:after="0"/>
              <w:rPr>
                <w:sz w:val="20"/>
                <w:szCs w:val="20"/>
                <w:color w:val="auto"/>
              </w:rPr>
            </w:pPr>
            <w:r>
              <w:rPr>
                <w:rFonts w:ascii="Arial" w:cs="Arial" w:eastAsia="Arial" w:hAnsi="Arial"/>
                <w:sz w:val="10"/>
                <w:szCs w:val="10"/>
                <w:b w:val="1"/>
                <w:bCs w:val="1"/>
                <w:color w:val="auto"/>
                <w:w w:val="93"/>
              </w:rPr>
              <w:t>2019 vs. 2018</w:t>
            </w:r>
          </w:p>
        </w:tc>
        <w:tc>
          <w:tcPr>
            <w:tcW w:w="700" w:type="dxa"/>
            <w:vAlign w:val="bottom"/>
            <w:tcBorders>
              <w:bottom w:val="single" w:sz="8" w:color="auto"/>
            </w:tcBorders>
          </w:tcPr>
          <w:p>
            <w:pPr>
              <w:spacing w:after="0"/>
              <w:rPr>
                <w:sz w:val="24"/>
                <w:szCs w:val="24"/>
                <w:color w:val="auto"/>
              </w:rPr>
            </w:pPr>
          </w:p>
        </w:tc>
      </w:tr>
      <w:tr>
        <w:trPr>
          <w:trHeight w:val="110"/>
        </w:trPr>
        <w:tc>
          <w:tcPr>
            <w:tcW w:w="334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gridSpan w:val="6"/>
          </w:tcPr>
          <w:p>
            <w:pPr>
              <w:jc w:val="center"/>
              <w:ind w:right="205"/>
              <w:spacing w:after="0" w:line="111" w:lineRule="exact"/>
              <w:rPr>
                <w:sz w:val="20"/>
                <w:szCs w:val="20"/>
                <w:color w:val="auto"/>
              </w:rPr>
            </w:pPr>
            <w:r>
              <w:rPr>
                <w:rFonts w:ascii="Arial" w:cs="Arial" w:eastAsia="Arial" w:hAnsi="Arial"/>
                <w:sz w:val="10"/>
                <w:szCs w:val="10"/>
                <w:b w:val="1"/>
                <w:bCs w:val="1"/>
                <w:color w:val="auto"/>
                <w:w w:val="97"/>
              </w:rPr>
              <w:t>Three Months Ended</w:t>
            </w:r>
          </w:p>
        </w:tc>
      </w:tr>
      <w:tr>
        <w:trPr>
          <w:trHeight w:val="131"/>
        </w:trPr>
        <w:tc>
          <w:tcPr>
            <w:tcW w:w="33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5"/>
          </w:tcPr>
          <w:p>
            <w:pPr>
              <w:jc w:val="center"/>
              <w:ind w:left="385"/>
              <w:spacing w:after="0"/>
              <w:rPr>
                <w:sz w:val="20"/>
                <w:szCs w:val="20"/>
                <w:color w:val="auto"/>
              </w:rPr>
            </w:pPr>
            <w:r>
              <w:rPr>
                <w:rFonts w:ascii="Arial" w:cs="Arial" w:eastAsia="Arial" w:hAnsi="Arial"/>
                <w:sz w:val="10"/>
                <w:szCs w:val="10"/>
                <w:b w:val="1"/>
                <w:bCs w:val="1"/>
                <w:color w:val="auto"/>
                <w:w w:val="95"/>
              </w:rPr>
              <w:t>March 31,</w:t>
            </w:r>
          </w:p>
        </w:tc>
        <w:tc>
          <w:tcPr>
            <w:tcW w:w="700" w:type="dxa"/>
            <w:vAlign w:val="bottom"/>
            <w:tcBorders>
              <w:bottom w:val="single" w:sz="8" w:color="auto"/>
            </w:tcBorders>
          </w:tcPr>
          <w:p>
            <w:pPr>
              <w:spacing w:after="0"/>
              <w:rPr>
                <w:sz w:val="11"/>
                <w:szCs w:val="11"/>
                <w:color w:val="auto"/>
              </w:rPr>
            </w:pPr>
          </w:p>
        </w:tc>
      </w:tr>
      <w:tr>
        <w:trPr>
          <w:trHeight w:val="110"/>
        </w:trPr>
        <w:tc>
          <w:tcPr>
            <w:tcW w:w="334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jc w:val="right"/>
              <w:ind w:right="225"/>
              <w:spacing w:after="0" w:line="111" w:lineRule="exact"/>
              <w:rPr>
                <w:sz w:val="20"/>
                <w:szCs w:val="20"/>
                <w:color w:val="auto"/>
              </w:rPr>
            </w:pPr>
            <w:r>
              <w:rPr>
                <w:rFonts w:ascii="Arial" w:cs="Arial" w:eastAsia="Arial" w:hAnsi="Arial"/>
                <w:sz w:val="10"/>
                <w:szCs w:val="10"/>
                <w:b w:val="1"/>
                <w:bCs w:val="1"/>
                <w:color w:val="auto"/>
                <w:w w:val="94"/>
              </w:rPr>
              <w:t>Segment</w:t>
            </w:r>
          </w:p>
        </w:tc>
      </w:tr>
      <w:tr>
        <w:trPr>
          <w:trHeight w:val="131"/>
        </w:trPr>
        <w:tc>
          <w:tcPr>
            <w:tcW w:w="3340" w:type="dxa"/>
            <w:vAlign w:val="bottom"/>
          </w:tcPr>
          <w:p>
            <w:pPr>
              <w:spacing w:after="0"/>
              <w:rPr>
                <w:sz w:val="11"/>
                <w:szCs w:val="11"/>
                <w:color w:val="auto"/>
              </w:rPr>
            </w:pPr>
          </w:p>
        </w:tc>
        <w:tc>
          <w:tcPr>
            <w:tcW w:w="5380" w:type="dxa"/>
            <w:vAlign w:val="bottom"/>
            <w:gridSpan w:val="2"/>
          </w:tcPr>
          <w:p>
            <w:pPr>
              <w:jc w:val="right"/>
              <w:ind w:right="2880"/>
              <w:spacing w:after="0"/>
              <w:rPr>
                <w:sz w:val="20"/>
                <w:szCs w:val="20"/>
                <w:color w:val="auto"/>
              </w:rPr>
            </w:pPr>
            <w:r>
              <w:rPr>
                <w:rFonts w:ascii="Arial" w:cs="Arial" w:eastAsia="Arial" w:hAnsi="Arial"/>
                <w:sz w:val="10"/>
                <w:szCs w:val="10"/>
                <w:b w:val="1"/>
                <w:bCs w:val="1"/>
                <w:color w:val="auto"/>
              </w:rPr>
              <w:t>Factors Contributing to Year-Over-Year Change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5"/>
          </w:tcPr>
          <w:p>
            <w:pPr>
              <w:ind w:left="80"/>
              <w:spacing w:after="0"/>
              <w:rPr>
                <w:sz w:val="20"/>
                <w:szCs w:val="20"/>
                <w:color w:val="auto"/>
              </w:rPr>
            </w:pPr>
            <w:r>
              <w:rPr>
                <w:rFonts w:ascii="Arial" w:cs="Arial" w:eastAsia="Arial" w:hAnsi="Arial"/>
                <w:sz w:val="10"/>
                <w:szCs w:val="10"/>
                <w:b w:val="1"/>
                <w:bCs w:val="1"/>
                <w:color w:val="auto"/>
              </w:rPr>
              <w:t>Sales</w:t>
            </w:r>
          </w:p>
        </w:tc>
        <w:tc>
          <w:tcPr>
            <w:tcW w:w="700" w:type="dxa"/>
            <w:vAlign w:val="bottom"/>
          </w:tcPr>
          <w:p>
            <w:pPr>
              <w:jc w:val="right"/>
              <w:ind w:right="305"/>
              <w:spacing w:after="0"/>
              <w:rPr>
                <w:sz w:val="20"/>
                <w:szCs w:val="20"/>
                <w:color w:val="auto"/>
              </w:rPr>
            </w:pPr>
            <w:r>
              <w:rPr>
                <w:rFonts w:ascii="Arial" w:cs="Arial" w:eastAsia="Arial" w:hAnsi="Arial"/>
                <w:sz w:val="10"/>
                <w:szCs w:val="10"/>
                <w:b w:val="1"/>
                <w:bCs w:val="1"/>
                <w:color w:val="auto"/>
              </w:rPr>
              <w:t>Profit</w:t>
            </w:r>
          </w:p>
        </w:tc>
      </w:tr>
      <w:tr>
        <w:trPr>
          <w:trHeight w:val="164"/>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Organic growth/ Operational segment profit</w:t>
            </w:r>
          </w:p>
        </w:tc>
        <w:tc>
          <w:tcPr>
            <w:tcW w:w="5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5 %</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11 %</w:t>
            </w:r>
          </w:p>
        </w:tc>
      </w:tr>
      <w:tr>
        <w:trPr>
          <w:trHeight w:val="176"/>
        </w:trPr>
        <w:tc>
          <w:tcPr>
            <w:tcW w:w="3340" w:type="dxa"/>
            <w:vAlign w:val="bottom"/>
          </w:tcPr>
          <w:p>
            <w:pPr>
              <w:ind w:left="20"/>
              <w:spacing w:after="0"/>
              <w:rPr>
                <w:sz w:val="20"/>
                <w:szCs w:val="20"/>
                <w:color w:val="auto"/>
              </w:rPr>
            </w:pPr>
            <w:r>
              <w:rPr>
                <w:rFonts w:ascii="Arial" w:cs="Arial" w:eastAsia="Arial" w:hAnsi="Arial"/>
                <w:sz w:val="12"/>
                <w:szCs w:val="12"/>
                <w:color w:val="auto"/>
              </w:rPr>
              <w:t>Foreign currency translation</w:t>
            </w:r>
          </w:p>
        </w:tc>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Acquisitions, divestitures and other, net</w:t>
            </w:r>
          </w:p>
        </w:tc>
        <w:tc>
          <w:tcPr>
            <w:tcW w:w="5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jc w:val="right"/>
              <w:ind w:right="420"/>
              <w:spacing w:after="0"/>
              <w:rPr>
                <w:sz w:val="20"/>
                <w:szCs w:val="20"/>
                <w:color w:val="auto"/>
              </w:rPr>
            </w:pPr>
            <w:r>
              <w:rPr>
                <w:rFonts w:ascii="Arial" w:cs="Arial" w:eastAsia="Arial" w:hAnsi="Arial"/>
                <w:sz w:val="12"/>
                <w:szCs w:val="12"/>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1 %</w:t>
            </w:r>
          </w:p>
        </w:tc>
      </w:tr>
      <w:tr>
        <w:trPr>
          <w:trHeight w:val="172"/>
        </w:trPr>
        <w:tc>
          <w:tcPr>
            <w:tcW w:w="3340" w:type="dxa"/>
            <w:vAlign w:val="bottom"/>
          </w:tcPr>
          <w:p>
            <w:pPr>
              <w:ind w:left="20"/>
              <w:spacing w:after="0"/>
              <w:rPr>
                <w:sz w:val="20"/>
                <w:szCs w:val="20"/>
                <w:color w:val="auto"/>
              </w:rPr>
            </w:pPr>
            <w:r>
              <w:rPr>
                <w:rFonts w:ascii="Arial" w:cs="Arial" w:eastAsia="Arial" w:hAnsi="Arial"/>
                <w:sz w:val="12"/>
                <w:szCs w:val="12"/>
                <w:color w:val="auto"/>
              </w:rPr>
              <w:t>Total % change</w:t>
            </w:r>
          </w:p>
        </w:tc>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9 %</w:t>
            </w:r>
          </w:p>
        </w:tc>
      </w:tr>
    </w:tbl>
    <w:p>
      <w:pPr>
        <w:spacing w:after="0" w:line="2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Performance Materials and Technologies sales increased primarily due to organic growth, partially offset by the unfavorable impact of foreign currency translation.</w:t>
      </w:r>
    </w:p>
    <w:p>
      <w:pPr>
        <w:spacing w:after="0" w:line="150" w:lineRule="exact"/>
        <w:rPr>
          <w:sz w:val="20"/>
          <w:szCs w:val="20"/>
          <w:color w:val="auto"/>
        </w:rPr>
      </w:pPr>
    </w:p>
    <w:p>
      <w:pPr>
        <w:ind w:left="320" w:hanging="211"/>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UOP sales were flat (increased 1% organic) driven primarily by higher gas processing project revenues, offset primarily by decreases in catalyst shipments and in engineering revenues.</w:t>
      </w:r>
    </w:p>
    <w:p>
      <w:pPr>
        <w:spacing w:after="0" w:line="150" w:lineRule="exact"/>
        <w:rPr>
          <w:rFonts w:ascii="Arial" w:cs="Arial" w:eastAsia="Arial" w:hAnsi="Arial"/>
          <w:sz w:val="12"/>
          <w:szCs w:val="12"/>
          <w:color w:val="auto"/>
        </w:rPr>
      </w:pPr>
    </w:p>
    <w:p>
      <w:pPr>
        <w:ind w:left="320" w:hanging="211"/>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Process Solutions sales increased 3% (increased 7% organic) driven primarily by increases in maintenance and migration services and in projects, partially offset by decreases in smart energy.</w:t>
      </w:r>
    </w:p>
    <w:p>
      <w:pPr>
        <w:spacing w:after="0" w:line="150" w:lineRule="exact"/>
        <w:rPr>
          <w:rFonts w:ascii="Arial" w:cs="Arial" w:eastAsia="Arial" w:hAnsi="Arial"/>
          <w:sz w:val="12"/>
          <w:szCs w:val="12"/>
          <w:color w:val="auto"/>
        </w:rPr>
      </w:pPr>
    </w:p>
    <w:p>
      <w:pPr>
        <w:ind w:left="320" w:hanging="211"/>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Advanced Materials sales increased 1% (increased 4% organic) driven primarily by increases in fluorine products, partially offset by decreases in specialty products.</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Performance Materials and Technologies segment profit increased due to an increase in operational segment profit and acquisitions, partially offset by the unfavorable impact of foreign currency translation. The increase in operational segment profit is primarily due to productivity, price, and higher sales volumes, partially offset by inflation. Cost of products and services sold decreased primarily due to foreign currency translation and productivity, partially offset by higher sales volumes and inflation.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575" w:right="19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Safety and Productivity Solutions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4"/>
          </w:tcPr>
          <w:p>
            <w:pPr>
              <w:ind w:left="20"/>
              <w:spacing w:after="0"/>
              <w:rPr>
                <w:sz w:val="20"/>
                <w:szCs w:val="20"/>
                <w:color w:val="auto"/>
              </w:rPr>
            </w:pPr>
            <w:r>
              <w:rPr>
                <w:rFonts w:ascii="Arial" w:cs="Arial" w:eastAsia="Arial" w:hAnsi="Arial"/>
                <w:sz w:val="10"/>
                <w:szCs w:val="10"/>
                <w:b w:val="1"/>
                <w:bCs w:val="1"/>
                <w:color w:val="auto"/>
              </w:rPr>
              <w:t>Three Months Ended</w:t>
            </w:r>
          </w:p>
        </w:tc>
        <w:tc>
          <w:tcPr>
            <w:tcW w:w="880" w:type="dxa"/>
            <w:vAlign w:val="bottom"/>
          </w:tcPr>
          <w:p>
            <w:pPr>
              <w:spacing w:after="0"/>
              <w:rPr>
                <w:sz w:val="10"/>
                <w:szCs w:val="10"/>
                <w:color w:val="auto"/>
              </w:rPr>
            </w:pPr>
          </w:p>
        </w:tc>
      </w:tr>
      <w:tr>
        <w:trPr>
          <w:trHeight w:val="131"/>
        </w:trPr>
        <w:tc>
          <w:tcPr>
            <w:tcW w:w="84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March 31,</w:t>
            </w:r>
          </w:p>
        </w:tc>
        <w:tc>
          <w:tcPr>
            <w:tcW w:w="880" w:type="dxa"/>
            <w:vAlign w:val="bottom"/>
            <w:tcBorders>
              <w:bottom w:val="single" w:sz="8" w:color="auto"/>
            </w:tcBorders>
          </w:tcPr>
          <w:p>
            <w:pPr>
              <w:spacing w:after="0"/>
              <w:rPr>
                <w:sz w:val="11"/>
                <w:szCs w:val="11"/>
                <w:color w:val="auto"/>
              </w:rPr>
            </w:pPr>
          </w:p>
        </w:tc>
      </w:tr>
      <w:tr>
        <w:trPr>
          <w:trHeight w:val="110"/>
        </w:trPr>
        <w:tc>
          <w:tcPr>
            <w:tcW w:w="8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right"/>
              <w:ind w:right="446"/>
              <w:spacing w:after="0" w:line="111" w:lineRule="exact"/>
              <w:rPr>
                <w:sz w:val="20"/>
                <w:szCs w:val="20"/>
                <w:color w:val="auto"/>
              </w:rPr>
            </w:pPr>
            <w:r>
              <w:rPr>
                <w:rFonts w:ascii="Arial" w:cs="Arial" w:eastAsia="Arial" w:hAnsi="Arial"/>
                <w:sz w:val="10"/>
                <w:szCs w:val="10"/>
                <w:b w:val="1"/>
                <w:bCs w:val="1"/>
                <w:color w:val="auto"/>
              </w:rPr>
              <w:t>%</w:t>
            </w:r>
          </w:p>
        </w:tc>
      </w:tr>
      <w:tr>
        <w:trPr>
          <w:trHeight w:val="131"/>
        </w:trPr>
        <w:tc>
          <w:tcPr>
            <w:tcW w:w="84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24"/>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0"/>
                <w:szCs w:val="10"/>
                <w:b w:val="1"/>
                <w:bCs w:val="1"/>
                <w:color w:val="auto"/>
              </w:rPr>
              <w:t>Change</w:t>
            </w:r>
          </w:p>
        </w:tc>
      </w:tr>
      <w:tr>
        <w:trPr>
          <w:trHeight w:val="164"/>
        </w:trPr>
        <w:tc>
          <w:tcPr>
            <w:tcW w:w="8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1,582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1,448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9 %</w:t>
            </w:r>
          </w:p>
        </w:tc>
      </w:tr>
      <w:tr>
        <w:trPr>
          <w:trHeight w:val="176"/>
        </w:trPr>
        <w:tc>
          <w:tcPr>
            <w:tcW w:w="8440" w:type="dxa"/>
            <w:vAlign w:val="bottom"/>
          </w:tcPr>
          <w:p>
            <w:pPr>
              <w:ind w:left="20"/>
              <w:spacing w:after="0"/>
              <w:rPr>
                <w:sz w:val="20"/>
                <w:szCs w:val="20"/>
                <w:color w:val="auto"/>
              </w:rPr>
            </w:pPr>
            <w:r>
              <w:rPr>
                <w:rFonts w:ascii="Arial" w:cs="Arial" w:eastAsia="Arial" w:hAnsi="Arial"/>
                <w:sz w:val="12"/>
                <w:szCs w:val="12"/>
                <w:color w:val="auto"/>
              </w:rPr>
              <w:t>Cost of products and services sold</w:t>
            </w:r>
          </w:p>
        </w:tc>
        <w:tc>
          <w:tcPr>
            <w:tcW w:w="22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1,079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44"/>
              <w:spacing w:after="0"/>
              <w:rPr>
                <w:sz w:val="20"/>
                <w:szCs w:val="20"/>
                <w:color w:val="auto"/>
              </w:rPr>
            </w:pPr>
            <w:r>
              <w:rPr>
                <w:rFonts w:ascii="Arial" w:cs="Arial" w:eastAsia="Arial" w:hAnsi="Arial"/>
                <w:sz w:val="12"/>
                <w:szCs w:val="12"/>
                <w:color w:val="auto"/>
              </w:rPr>
              <w:t>949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general and administrative and other expenses</w:t>
            </w: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291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rPr>
              <w:t>268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2"/>
        </w:trPr>
        <w:tc>
          <w:tcPr>
            <w:tcW w:w="8440" w:type="dxa"/>
            <w:vAlign w:val="bottom"/>
          </w:tcPr>
          <w:p>
            <w:pPr>
              <w:ind w:left="20"/>
              <w:spacing w:after="0"/>
              <w:rPr>
                <w:sz w:val="20"/>
                <w:szCs w:val="20"/>
                <w:color w:val="auto"/>
              </w:rPr>
            </w:pPr>
            <w:r>
              <w:rPr>
                <w:rFonts w:ascii="Arial" w:cs="Arial" w:eastAsia="Arial" w:hAnsi="Arial"/>
                <w:sz w:val="12"/>
                <w:szCs w:val="12"/>
                <w:color w:val="auto"/>
              </w:rPr>
              <w:t>Segment profit</w:t>
            </w: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212</w:t>
            </w:r>
          </w:p>
        </w:tc>
        <w:tc>
          <w:tcPr>
            <w:tcW w:w="100" w:type="dxa"/>
            <w:vAlign w:val="bottom"/>
          </w:tcPr>
          <w:p>
            <w:pPr>
              <w:spacing w:after="0"/>
              <w:rPr>
                <w:sz w:val="14"/>
                <w:szCs w:val="1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color w:val="auto"/>
              </w:rPr>
              <w:t>231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w:t>
            </w:r>
          </w:p>
        </w:tc>
      </w:tr>
    </w:tbl>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9400" w:type="dxa"/>
            <w:vAlign w:val="bottom"/>
          </w:tcPr>
          <w:p>
            <w:pPr>
              <w:spacing w:after="0"/>
              <w:rPr>
                <w:sz w:val="11"/>
                <w:szCs w:val="11"/>
                <w:color w:val="auto"/>
              </w:rPr>
            </w:pPr>
          </w:p>
        </w:tc>
        <w:tc>
          <w:tcPr>
            <w:tcW w:w="1340" w:type="dxa"/>
            <w:vAlign w:val="bottom"/>
            <w:tcBorders>
              <w:bottom w:val="single" w:sz="8" w:color="auto"/>
            </w:tcBorders>
            <w:gridSpan w:val="3"/>
          </w:tcPr>
          <w:p>
            <w:pPr>
              <w:jc w:val="center"/>
              <w:ind w:left="666"/>
              <w:spacing w:after="0"/>
              <w:rPr>
                <w:sz w:val="20"/>
                <w:szCs w:val="20"/>
                <w:color w:val="auto"/>
              </w:rPr>
            </w:pPr>
            <w:r>
              <w:rPr>
                <w:rFonts w:ascii="Arial" w:cs="Arial" w:eastAsia="Arial" w:hAnsi="Arial"/>
                <w:sz w:val="10"/>
                <w:szCs w:val="10"/>
                <w:b w:val="1"/>
                <w:bCs w:val="1"/>
                <w:color w:val="auto"/>
                <w:w w:val="96"/>
              </w:rPr>
              <w:t>2019 vs. 2018</w:t>
            </w:r>
          </w:p>
        </w:tc>
        <w:tc>
          <w:tcPr>
            <w:tcW w:w="700" w:type="dxa"/>
            <w:vAlign w:val="bottom"/>
            <w:tcBorders>
              <w:bottom w:val="single" w:sz="8" w:color="auto"/>
            </w:tcBorders>
          </w:tcPr>
          <w:p>
            <w:pPr>
              <w:spacing w:after="0"/>
              <w:rPr>
                <w:sz w:val="11"/>
                <w:szCs w:val="11"/>
                <w:color w:val="auto"/>
              </w:rPr>
            </w:pPr>
          </w:p>
        </w:tc>
      </w:tr>
      <w:tr>
        <w:trPr>
          <w:trHeight w:val="110"/>
        </w:trPr>
        <w:tc>
          <w:tcPr>
            <w:tcW w:w="9400" w:type="dxa"/>
            <w:vAlign w:val="bottom"/>
          </w:tcPr>
          <w:p>
            <w:pPr>
              <w:spacing w:after="0"/>
              <w:rPr>
                <w:sz w:val="9"/>
                <w:szCs w:val="9"/>
                <w:color w:val="auto"/>
              </w:rPr>
            </w:pPr>
          </w:p>
        </w:tc>
        <w:tc>
          <w:tcPr>
            <w:tcW w:w="2040" w:type="dxa"/>
            <w:vAlign w:val="bottom"/>
            <w:gridSpan w:val="4"/>
          </w:tcPr>
          <w:p>
            <w:pPr>
              <w:jc w:val="center"/>
              <w:spacing w:after="0" w:line="111" w:lineRule="exact"/>
              <w:rPr>
                <w:sz w:val="20"/>
                <w:szCs w:val="20"/>
                <w:color w:val="auto"/>
              </w:rPr>
            </w:pPr>
            <w:r>
              <w:rPr>
                <w:rFonts w:ascii="Arial" w:cs="Arial" w:eastAsia="Arial" w:hAnsi="Arial"/>
                <w:sz w:val="10"/>
                <w:szCs w:val="10"/>
                <w:b w:val="1"/>
                <w:bCs w:val="1"/>
                <w:color w:val="auto"/>
                <w:w w:val="94"/>
              </w:rPr>
              <w:t>Three Months Ended</w:t>
            </w:r>
          </w:p>
        </w:tc>
      </w:tr>
      <w:tr>
        <w:trPr>
          <w:trHeight w:val="131"/>
        </w:trPr>
        <w:tc>
          <w:tcPr>
            <w:tcW w:w="9400" w:type="dxa"/>
            <w:vAlign w:val="bottom"/>
          </w:tcPr>
          <w:p>
            <w:pPr>
              <w:spacing w:after="0"/>
              <w:rPr>
                <w:sz w:val="11"/>
                <w:szCs w:val="11"/>
                <w:color w:val="auto"/>
              </w:rPr>
            </w:pPr>
          </w:p>
        </w:tc>
        <w:tc>
          <w:tcPr>
            <w:tcW w:w="1340" w:type="dxa"/>
            <w:vAlign w:val="bottom"/>
            <w:tcBorders>
              <w:bottom w:val="single" w:sz="8" w:color="auto"/>
            </w:tcBorders>
            <w:gridSpan w:val="3"/>
          </w:tcPr>
          <w:p>
            <w:pPr>
              <w:jc w:val="center"/>
              <w:ind w:left="646"/>
              <w:spacing w:after="0"/>
              <w:rPr>
                <w:sz w:val="20"/>
                <w:szCs w:val="20"/>
                <w:color w:val="auto"/>
              </w:rPr>
            </w:pPr>
            <w:r>
              <w:rPr>
                <w:rFonts w:ascii="Arial" w:cs="Arial" w:eastAsia="Arial" w:hAnsi="Arial"/>
                <w:sz w:val="10"/>
                <w:szCs w:val="10"/>
                <w:b w:val="1"/>
                <w:bCs w:val="1"/>
                <w:color w:val="auto"/>
                <w:w w:val="95"/>
              </w:rPr>
              <w:t>March 31,</w:t>
            </w:r>
          </w:p>
        </w:tc>
        <w:tc>
          <w:tcPr>
            <w:tcW w:w="700" w:type="dxa"/>
            <w:vAlign w:val="bottom"/>
            <w:tcBorders>
              <w:bottom w:val="single" w:sz="8" w:color="auto"/>
            </w:tcBorders>
          </w:tcPr>
          <w:p>
            <w:pPr>
              <w:spacing w:after="0"/>
              <w:rPr>
                <w:sz w:val="11"/>
                <w:szCs w:val="11"/>
                <w:color w:val="auto"/>
              </w:rPr>
            </w:pPr>
          </w:p>
        </w:tc>
      </w:tr>
      <w:tr>
        <w:trPr>
          <w:trHeight w:val="110"/>
        </w:trPr>
        <w:tc>
          <w:tcPr>
            <w:tcW w:w="9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jc w:val="right"/>
              <w:ind w:right="224"/>
              <w:spacing w:after="0" w:line="111" w:lineRule="exact"/>
              <w:rPr>
                <w:sz w:val="20"/>
                <w:szCs w:val="20"/>
                <w:color w:val="auto"/>
              </w:rPr>
            </w:pPr>
            <w:r>
              <w:rPr>
                <w:rFonts w:ascii="Arial" w:cs="Arial" w:eastAsia="Arial" w:hAnsi="Arial"/>
                <w:sz w:val="10"/>
                <w:szCs w:val="10"/>
                <w:b w:val="1"/>
                <w:bCs w:val="1"/>
                <w:color w:val="auto"/>
                <w:w w:val="94"/>
              </w:rPr>
              <w:t>Segment</w:t>
            </w:r>
          </w:p>
        </w:tc>
      </w:tr>
      <w:tr>
        <w:trPr>
          <w:trHeight w:val="131"/>
        </w:trPr>
        <w:tc>
          <w:tcPr>
            <w:tcW w:w="9400" w:type="dxa"/>
            <w:vAlign w:val="bottom"/>
          </w:tcPr>
          <w:p>
            <w:pPr>
              <w:ind w:left="3600"/>
              <w:spacing w:after="0"/>
              <w:rPr>
                <w:sz w:val="20"/>
                <w:szCs w:val="20"/>
                <w:color w:val="auto"/>
              </w:rPr>
            </w:pPr>
            <w:r>
              <w:rPr>
                <w:rFonts w:ascii="Arial" w:cs="Arial" w:eastAsia="Arial" w:hAnsi="Arial"/>
                <w:sz w:val="10"/>
                <w:szCs w:val="10"/>
                <w:b w:val="1"/>
                <w:bCs w:val="1"/>
                <w:color w:val="auto"/>
              </w:rPr>
              <w:t>Factors Contributing to Year-Over-Year Change</w:t>
            </w:r>
          </w:p>
        </w:tc>
        <w:tc>
          <w:tcPr>
            <w:tcW w:w="1340" w:type="dxa"/>
            <w:vAlign w:val="bottom"/>
            <w:gridSpan w:val="3"/>
          </w:tcPr>
          <w:p>
            <w:pPr>
              <w:ind w:left="340"/>
              <w:spacing w:after="0"/>
              <w:rPr>
                <w:sz w:val="20"/>
                <w:szCs w:val="20"/>
                <w:color w:val="auto"/>
              </w:rPr>
            </w:pPr>
            <w:r>
              <w:rPr>
                <w:rFonts w:ascii="Arial" w:cs="Arial" w:eastAsia="Arial" w:hAnsi="Arial"/>
                <w:sz w:val="10"/>
                <w:szCs w:val="10"/>
                <w:b w:val="1"/>
                <w:bCs w:val="1"/>
                <w:color w:val="auto"/>
              </w:rPr>
              <w:t>Sales</w:t>
            </w:r>
          </w:p>
        </w:tc>
        <w:tc>
          <w:tcPr>
            <w:tcW w:w="700" w:type="dxa"/>
            <w:vAlign w:val="bottom"/>
          </w:tcPr>
          <w:p>
            <w:pPr>
              <w:jc w:val="right"/>
              <w:ind w:right="304"/>
              <w:spacing w:after="0"/>
              <w:rPr>
                <w:sz w:val="20"/>
                <w:szCs w:val="20"/>
                <w:color w:val="auto"/>
              </w:rPr>
            </w:pPr>
            <w:r>
              <w:rPr>
                <w:rFonts w:ascii="Arial" w:cs="Arial" w:eastAsia="Arial" w:hAnsi="Arial"/>
                <w:sz w:val="10"/>
                <w:szCs w:val="10"/>
                <w:b w:val="1"/>
                <w:bCs w:val="1"/>
                <w:color w:val="auto"/>
              </w:rPr>
              <w:t>Profit</w:t>
            </w:r>
          </w:p>
        </w:tc>
      </w:tr>
      <w:tr>
        <w:trPr>
          <w:trHeight w:val="164"/>
        </w:trPr>
        <w:tc>
          <w:tcPr>
            <w:tcW w:w="9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Organic growth/ Operational segment profit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176"/>
        </w:trPr>
        <w:tc>
          <w:tcPr>
            <w:tcW w:w="9400" w:type="dxa"/>
            <w:vAlign w:val="bottom"/>
          </w:tcPr>
          <w:p>
            <w:pPr>
              <w:spacing w:after="0"/>
              <w:rPr>
                <w:sz w:val="20"/>
                <w:szCs w:val="20"/>
                <w:color w:val="auto"/>
              </w:rPr>
            </w:pPr>
            <w:r>
              <w:rPr>
                <w:rFonts w:ascii="Arial" w:cs="Arial" w:eastAsia="Arial" w:hAnsi="Arial"/>
                <w:sz w:val="12"/>
                <w:szCs w:val="12"/>
                <w:color w:val="auto"/>
              </w:rPr>
              <w:t>Foreign currency translation</w:t>
            </w:r>
          </w:p>
        </w:tc>
        <w:tc>
          <w:tcPr>
            <w:tcW w:w="96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80"/>
        </w:trPr>
        <w:tc>
          <w:tcPr>
            <w:tcW w:w="9400" w:type="dxa"/>
            <w:vAlign w:val="bottom"/>
            <w:shd w:val="clear" w:color="auto" w:fill="CCEEFF"/>
          </w:tcPr>
          <w:p>
            <w:pPr>
              <w:spacing w:after="0"/>
              <w:rPr>
                <w:sz w:val="20"/>
                <w:szCs w:val="20"/>
                <w:color w:val="auto"/>
              </w:rPr>
            </w:pPr>
            <w:r>
              <w:rPr>
                <w:rFonts w:ascii="Arial" w:cs="Arial" w:eastAsia="Arial" w:hAnsi="Arial"/>
                <w:sz w:val="12"/>
                <w:szCs w:val="12"/>
                <w:color w:val="auto"/>
              </w:rPr>
              <w:t>Acquisitions, divestitures, and other, net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2 %</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1 %</w:t>
            </w:r>
          </w:p>
        </w:tc>
      </w:tr>
      <w:tr>
        <w:trPr>
          <w:trHeight w:val="172"/>
        </w:trPr>
        <w:tc>
          <w:tcPr>
            <w:tcW w:w="9400" w:type="dxa"/>
            <w:vAlign w:val="bottom"/>
          </w:tcPr>
          <w:p>
            <w:pPr>
              <w:spacing w:after="0"/>
              <w:rPr>
                <w:sz w:val="20"/>
                <w:szCs w:val="20"/>
                <w:color w:val="auto"/>
              </w:rPr>
            </w:pPr>
            <w:r>
              <w:rPr>
                <w:rFonts w:ascii="Arial" w:cs="Arial" w:eastAsia="Arial" w:hAnsi="Arial"/>
                <w:sz w:val="12"/>
                <w:szCs w:val="12"/>
                <w:color w:val="auto"/>
              </w:rPr>
              <w:t>Total % change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9 %</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r>
    </w:tbl>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Safety and Productivity Solutions sales increased primarily due to organic sales growth from sales volume and price, and acquisitions, partially offset by the unfavorable impact of foreign currency translation.</w:t>
      </w:r>
    </w:p>
    <w:p>
      <w:pPr>
        <w:spacing w:after="0" w:line="150" w:lineRule="exact"/>
        <w:rPr>
          <w:sz w:val="20"/>
          <w:szCs w:val="20"/>
          <w:color w:val="auto"/>
        </w:rPr>
      </w:pPr>
    </w:p>
    <w:p>
      <w:pPr>
        <w:ind w:left="320" w:hanging="211"/>
        <w:spacing w:after="0"/>
        <w:tabs>
          <w:tab w:leader="none" w:pos="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Sales in Safety decreased 2% (flat organic) primarily due to the unfavorable impact of foreign exchange in industrial safety partially offset by an increase in retail sales volume.</w:t>
      </w:r>
    </w:p>
    <w:p>
      <w:pPr>
        <w:spacing w:after="0" w:line="150" w:lineRule="exact"/>
        <w:rPr>
          <w:rFonts w:ascii="Arial" w:cs="Arial" w:eastAsia="Arial" w:hAnsi="Arial"/>
          <w:sz w:val="12"/>
          <w:szCs w:val="12"/>
          <w:color w:val="auto"/>
        </w:rPr>
      </w:pPr>
    </w:p>
    <w:p>
      <w:pPr>
        <w:ind w:left="320" w:hanging="211"/>
        <w:spacing w:after="0" w:line="262" w:lineRule="auto"/>
        <w:tabs>
          <w:tab w:leader="none" w:pos="3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Sales in Productivity Solutions increased 16% (increased 15% organic) primarily due to increased organic sales volume in warehouse automation and Sensing and IoT, partially offset by decreased organic sales volume in Productivity Products.</w:t>
      </w:r>
    </w:p>
    <w:p>
      <w:pPr>
        <w:spacing w:after="0" w:line="131"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Safety and Productivity Solutions segment profit decreased primarily due to lower sales volume in Productivity Products and inflation, net of productivity. Cost of products and services sold increased primarily due to higher organic sales, acquisitions, and inflation, partially offset by favorable foreign currency translation.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575" w:right="19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Repositioning and Other Charges</w:t>
      </w:r>
    </w:p>
    <w:p>
      <w:pPr>
        <w:spacing w:after="0" w:line="164" w:lineRule="exact"/>
        <w:rPr>
          <w:sz w:val="20"/>
          <w:szCs w:val="20"/>
          <w:color w:val="auto"/>
        </w:rPr>
      </w:pPr>
    </w:p>
    <w:p>
      <w:pPr>
        <w:ind w:right="20" w:firstLine="432"/>
        <w:spacing w:after="0" w:line="262" w:lineRule="auto"/>
        <w:rPr>
          <w:sz w:val="20"/>
          <w:szCs w:val="20"/>
          <w:color w:val="auto"/>
        </w:rPr>
      </w:pPr>
      <w:r>
        <w:rPr>
          <w:rFonts w:ascii="Arial" w:cs="Arial" w:eastAsia="Arial" w:hAnsi="Arial"/>
          <w:sz w:val="12"/>
          <w:szCs w:val="12"/>
          <w:color w:val="auto"/>
        </w:rPr>
        <w:t>Cash spending related to our repositioning actions was $44 million in the three months ended March 31, 2019 and was funded through operating cash flows. We expect cash spending for repositioning actions to be approximately $300 million in 2019 and to be funded through operating cash flows.</w:t>
      </w:r>
    </w:p>
    <w:p>
      <w:pPr>
        <w:spacing w:after="0" w:line="225" w:lineRule="exact"/>
        <w:rPr>
          <w:sz w:val="20"/>
          <w:szCs w:val="20"/>
          <w:color w:val="auto"/>
        </w:rPr>
      </w:pPr>
    </w:p>
    <w:p>
      <w:pPr>
        <w:ind w:right="9300" w:firstLine="10"/>
        <w:spacing w:after="0" w:line="552" w:lineRule="auto"/>
        <w:tabs>
          <w:tab w:leader="none" w:pos="351"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 xml:space="preserve">Liquidity and Capital Resources </w:t>
      </w:r>
      <w:r>
        <w:rPr>
          <w:rFonts w:ascii="Arial" w:cs="Arial" w:eastAsia="Arial" w:hAnsi="Arial"/>
          <w:sz w:val="12"/>
          <w:szCs w:val="12"/>
          <w:b w:val="1"/>
          <w:bCs w:val="1"/>
          <w:color w:val="auto"/>
        </w:rPr>
        <w:t>Cash Flow Summary</w:t>
      </w:r>
    </w:p>
    <w:p>
      <w:pPr>
        <w:spacing w:after="0" w:line="65" w:lineRule="exact"/>
        <w:rPr>
          <w:sz w:val="20"/>
          <w:szCs w:val="20"/>
          <w:color w:val="auto"/>
        </w:rPr>
      </w:pPr>
    </w:p>
    <w:p>
      <w:pPr>
        <w:jc w:val="center"/>
        <w:ind w:left="8640"/>
        <w:spacing w:after="0"/>
        <w:rPr>
          <w:sz w:val="20"/>
          <w:szCs w:val="20"/>
          <w:color w:val="auto"/>
        </w:rPr>
      </w:pPr>
      <w:r>
        <w:rPr>
          <w:rFonts w:ascii="Arial" w:cs="Arial" w:eastAsia="Arial" w:hAnsi="Arial"/>
          <w:sz w:val="10"/>
          <w:szCs w:val="10"/>
          <w:b w:val="1"/>
          <w:bCs w:val="1"/>
          <w:color w:val="auto"/>
        </w:rPr>
        <w:t>Three Months Ended</w:t>
      </w:r>
    </w:p>
    <w:p>
      <w:pPr>
        <w:spacing w:after="0" w:line="5" w:lineRule="exact"/>
        <w:rPr>
          <w:sz w:val="20"/>
          <w:szCs w:val="20"/>
          <w:color w:val="auto"/>
        </w:rPr>
      </w:pPr>
    </w:p>
    <w:p>
      <w:pPr>
        <w:jc w:val="center"/>
        <w:ind w:left="8640"/>
        <w:spacing w:after="0"/>
        <w:rPr>
          <w:sz w:val="20"/>
          <w:szCs w:val="20"/>
          <w:color w:val="auto"/>
        </w:rPr>
      </w:pPr>
      <w:r>
        <w:rPr>
          <w:rFonts w:ascii="Arial" w:cs="Arial" w:eastAsia="Arial" w:hAnsi="Arial"/>
          <w:sz w:val="10"/>
          <w:szCs w:val="1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5080</wp:posOffset>
            </wp:positionV>
            <wp:extent cx="18186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640" cy="571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62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0"/>
                <w:szCs w:val="10"/>
                <w:b w:val="1"/>
                <w:bCs w:val="1"/>
                <w:color w:val="auto"/>
              </w:rPr>
              <w:t>2018</w:t>
            </w:r>
          </w:p>
        </w:tc>
      </w:tr>
      <w:tr>
        <w:trPr>
          <w:trHeight w:val="164"/>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provided by (used for):</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Operating activities</w:t>
            </w:r>
          </w:p>
        </w:tc>
        <w:tc>
          <w:tcPr>
            <w:tcW w:w="860" w:type="dxa"/>
            <w:vAlign w:val="bottom"/>
          </w:tcPr>
          <w:p>
            <w:pPr>
              <w:jc w:val="right"/>
              <w:ind w:right="72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0"/>
              <w:spacing w:after="0"/>
              <w:rPr>
                <w:sz w:val="20"/>
                <w:szCs w:val="20"/>
                <w:color w:val="auto"/>
              </w:rPr>
            </w:pPr>
            <w:r>
              <w:rPr>
                <w:rFonts w:ascii="Arial" w:cs="Arial" w:eastAsia="Arial" w:hAnsi="Arial"/>
                <w:sz w:val="12"/>
                <w:szCs w:val="12"/>
                <w:color w:val="auto"/>
              </w:rPr>
              <w:t>1,134</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1,136</w:t>
            </w:r>
          </w:p>
        </w:tc>
      </w:tr>
      <w:tr>
        <w:trPr>
          <w:trHeight w:val="185"/>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Investing activities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(609)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994</w:t>
            </w:r>
          </w:p>
        </w:tc>
      </w:tr>
      <w:tr>
        <w:trPr>
          <w:trHeight w:val="176"/>
        </w:trPr>
        <w:tc>
          <w:tcPr>
            <w:tcW w:w="8620" w:type="dxa"/>
            <w:vAlign w:val="bottom"/>
          </w:tcPr>
          <w:p>
            <w:pPr>
              <w:ind w:left="20"/>
              <w:spacing w:after="0"/>
              <w:rPr>
                <w:sz w:val="20"/>
                <w:szCs w:val="20"/>
                <w:color w:val="auto"/>
              </w:rPr>
            </w:pPr>
            <w:r>
              <w:rPr>
                <w:rFonts w:ascii="Arial" w:cs="Arial" w:eastAsia="Arial" w:hAnsi="Arial"/>
                <w:sz w:val="12"/>
                <w:szCs w:val="12"/>
                <w:color w:val="auto"/>
              </w:rPr>
              <w:t>Financing activities</w:t>
            </w:r>
          </w:p>
        </w:tc>
        <w:tc>
          <w:tcPr>
            <w:tcW w:w="860" w:type="dxa"/>
            <w:vAlign w:val="bottom"/>
          </w:tcPr>
          <w:p>
            <w:pPr>
              <w:spacing w:after="0"/>
              <w:rPr>
                <w:sz w:val="15"/>
                <w:szCs w:val="15"/>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(1,235)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(1,448)</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 on cash</w:t>
            </w:r>
          </w:p>
        </w:tc>
        <w:tc>
          <w:tcPr>
            <w:tcW w:w="8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156</w:t>
            </w:r>
          </w:p>
        </w:tc>
      </w:tr>
      <w:tr>
        <w:trPr>
          <w:trHeight w:val="172"/>
        </w:trPr>
        <w:tc>
          <w:tcPr>
            <w:tcW w:w="8620" w:type="dxa"/>
            <w:vAlign w:val="bottom"/>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860" w:type="dxa"/>
            <w:vAlign w:val="bottom"/>
            <w:tcBorders>
              <w:bottom w:val="single" w:sz="8" w:color="auto"/>
            </w:tcBorders>
          </w:tcPr>
          <w:p>
            <w:pPr>
              <w:jc w:val="right"/>
              <w:ind w:right="72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(662)</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838</w:t>
            </w:r>
          </w:p>
        </w:tc>
      </w:tr>
    </w:tbl>
    <w:p>
      <w:pPr>
        <w:spacing w:after="0" w:line="1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Cash provided by operating activities decreased by $2 million primarily due to increased cash tax payments of $154 million and a $ 56 million decrease in customer advances and deferred income, partially offset by a $115 million favorable impact from working capital (favorable accounts receivable, partially offset by accounts payable and inventory) and reimbursements associated with the indemnification and reimbursement agreements with subsidiaries of Garrett and Resideo of $74 million.</w:t>
      </w:r>
    </w:p>
    <w:p>
      <w:pPr>
        <w:spacing w:after="0" w:line="135"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Cash used for investing activities increased by $1,603 million primarily due to a net $1,685 million increase in investments, primarily short term marketable securities, partially offset by a decrease of $83 million in settlement payments of foreign currency exchange contracts used as economic hedges on certain non-functional currency denominated monetary assets and liabilities.</w:t>
      </w:r>
    </w:p>
    <w:p>
      <w:pPr>
        <w:spacing w:after="0" w:line="13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Cash used for financing activities decreased by $213 million primarily due to a decrease in repurchases of common stock of $190 million and an increase in proceeds from the issuance of common stock of $85 million partially offset by an increase in net debt payments of $98 million.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w:t>
      </w:r>
    </w:p>
    <w:p>
      <w:pPr>
        <w:spacing w:after="0" w:line="16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3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In the three months ended March 31, 2019, the Company repurchased $750 million of outstanding shares. Under the Company’s $8 billion share repurchase program which was previously announced on December 8, 2017, $ 3.0 billion remained available as of March 31, 2019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575" w:right="199" w:bottom="1440" w:gutter="0" w:footer="0" w:header="0"/>
        </w:sectPr>
      </w:pPr>
    </w:p>
    <w:bookmarkStart w:id="39" w:name="page40"/>
    <w:bookmarkEnd w:id="39"/>
    <w:p>
      <w:pPr>
        <w:spacing w:after="0" w:line="262" w:lineRule="auto"/>
        <w:rPr>
          <w:sz w:val="20"/>
          <w:szCs w:val="20"/>
          <w:color w:val="auto"/>
        </w:rPr>
      </w:pPr>
      <w:r>
        <w:rPr>
          <w:rFonts w:ascii="Arial" w:cs="Arial" w:eastAsia="Arial" w:hAnsi="Arial"/>
          <w:sz w:val="12"/>
          <w:szCs w:val="12"/>
          <w:color w:val="auto"/>
        </w:rPr>
        <w:t>our savings plans. Additionally, we will seek to reduce share count via share repurchases as and when attractive opportunities arise. The amount and timing of future repurchases may vary depending on market conditions and the level of operating, financing and other investing activities.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See Note 11 </w:t>
      </w:r>
      <w:r>
        <w:rPr>
          <w:rFonts w:ascii="Arial" w:cs="Arial" w:eastAsia="Arial" w:hAnsi="Arial"/>
          <w:sz w:val="12"/>
          <w:szCs w:val="12"/>
          <w:i w:val="1"/>
          <w:iCs w:val="1"/>
          <w:color w:val="auto"/>
        </w:rPr>
        <w:t>Long-term Debt and Credit Agreements</w:t>
      </w:r>
      <w:r>
        <w:rPr>
          <w:rFonts w:ascii="Arial" w:cs="Arial" w:eastAsia="Arial" w:hAnsi="Arial"/>
          <w:sz w:val="12"/>
          <w:szCs w:val="12"/>
          <w:color w:val="auto"/>
        </w:rPr>
        <w:t xml:space="preserve"> of Notes to Consolidated Financial Statements for additional discussion of items impacting our liquidity.</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Other Matters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Litigation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589" w:right="199" w:bottom="1440" w:gutter="0" w:footer="0" w:header="0"/>
        </w:sectPr>
      </w:pPr>
    </w:p>
    <w:bookmarkStart w:id="40" w:name="page41"/>
    <w:bookmarkEnd w:id="40"/>
    <w:p>
      <w:pPr>
        <w:jc w:val="both"/>
        <w:ind w:right="20" w:firstLine="432"/>
        <w:spacing w:after="0" w:line="283" w:lineRule="auto"/>
        <w:rPr>
          <w:sz w:val="20"/>
          <w:szCs w:val="20"/>
          <w:color w:val="auto"/>
        </w:rPr>
      </w:pPr>
      <w:r>
        <w:rPr>
          <w:rFonts w:ascii="Arial" w:cs="Arial" w:eastAsia="Arial" w:hAnsi="Arial"/>
          <w:sz w:val="12"/>
          <w:szCs w:val="12"/>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of Notes to Consolidated Financial Statements for further discussion of environmental, asbestos and other litigation matters.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Critical Accounting Policies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financial information as of March 31, 2019 should be read in conjunction with the consolidated financial statements for the year ended December 31, 2018 contained in our 2018 Annual Report on Form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10-K.</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a discussion of the Company’s critical accounting policies, see Item 7. Management’s Discussion and Analysis of Financial Condition and Results of Operations in our 2018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Recent Accounting Pronouncements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See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xml:space="preserve"> of Notes to Consolidated Financial Statements for a discussion of recent accounting pronouncements.</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2"/>
          <w:szCs w:val="12"/>
          <w:color w:val="auto"/>
        </w:rPr>
        <w:t>Item 3.</w:t>
      </w:r>
      <w:r>
        <w:rPr>
          <w:sz w:val="20"/>
          <w:szCs w:val="20"/>
          <w:color w:val="auto"/>
        </w:rPr>
        <w:tab/>
      </w:r>
      <w:r>
        <w:rPr>
          <w:rFonts w:ascii="Arial" w:cs="Arial" w:eastAsia="Arial" w:hAnsi="Arial"/>
          <w:sz w:val="11"/>
          <w:szCs w:val="11"/>
          <w:u w:val="single" w:color="auto"/>
          <w:color w:val="auto"/>
        </w:rPr>
        <w:t>Quantitative and Qualitative Disclosures About Market Risks</w:t>
      </w:r>
    </w:p>
    <w:p>
      <w:pPr>
        <w:spacing w:after="0" w:line="159"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For a discussion of the Company’s quantitative and qualitative disclosures about market risks, see Item 7A. Quantitative and Qualitative Disclosures About Market Risks, in our 2018 Annual Report on Form 10-K. As of March 31, 2019, there has been no material change in this information</w:t>
      </w:r>
      <w:r>
        <w:rPr>
          <w:rFonts w:ascii="Arial" w:cs="Arial" w:eastAsia="Arial" w:hAnsi="Arial"/>
          <w:sz w:val="12"/>
          <w:szCs w:val="12"/>
          <w:b w:val="1"/>
          <w:bCs w:val="1"/>
          <w:color w:val="auto"/>
        </w:rPr>
        <w:t>.</w:t>
      </w:r>
    </w:p>
    <w:p>
      <w:pPr>
        <w:spacing w:after="0" w:line="239"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2"/>
          <w:szCs w:val="12"/>
          <w:color w:val="auto"/>
        </w:rPr>
        <w:t>Item 4.</w:t>
      </w:r>
      <w:r>
        <w:rPr>
          <w:sz w:val="20"/>
          <w:szCs w:val="20"/>
          <w:color w:val="auto"/>
        </w:rPr>
        <w:tab/>
      </w:r>
      <w:r>
        <w:rPr>
          <w:rFonts w:ascii="Arial" w:cs="Arial" w:eastAsia="Arial" w:hAnsi="Arial"/>
          <w:sz w:val="11"/>
          <w:szCs w:val="11"/>
          <w:u w:val="single" w:color="auto"/>
          <w:color w:val="auto"/>
        </w:rPr>
        <w:t>Controls and Procedures</w:t>
      </w:r>
    </w:p>
    <w:p>
      <w:pPr>
        <w:spacing w:after="0" w:line="17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2"/>
          <w:szCs w:val="12"/>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577" w:right="199" w:bottom="1440" w:gutter="0" w:footer="0" w:header="0"/>
        </w:sectPr>
      </w:pPr>
    </w:p>
    <w:bookmarkStart w:id="41" w:name="page42"/>
    <w:bookmarkEnd w:id="41"/>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27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2"/>
          <w:szCs w:val="12"/>
          <w:color w:val="auto"/>
        </w:rPr>
        <w:t>Item 1.</w:t>
      </w:r>
      <w:r>
        <w:rPr>
          <w:sz w:val="20"/>
          <w:szCs w:val="20"/>
          <w:color w:val="auto"/>
        </w:rPr>
        <w:tab/>
      </w:r>
      <w:r>
        <w:rPr>
          <w:rFonts w:ascii="Arial" w:cs="Arial" w:eastAsia="Arial" w:hAnsi="Arial"/>
          <w:sz w:val="11"/>
          <w:szCs w:val="11"/>
          <w:u w:val="single" w:color="auto"/>
          <w:color w:val="auto"/>
        </w:rPr>
        <w:t>Legal Proceedings</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2"/>
          <w:szCs w:val="12"/>
          <w:u w:val="single" w:color="auto"/>
          <w:color w:val="auto"/>
        </w:rPr>
        <w:t>General Legal Matters</w:t>
      </w:r>
    </w:p>
    <w:p>
      <w:pPr>
        <w:spacing w:after="0" w:line="147"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of Notes to Consolidated Financial Statements for a discussion of environmental, asbestos and other litigation matters.</w:t>
      </w:r>
    </w:p>
    <w:p>
      <w:pPr>
        <w:spacing w:after="0" w:line="227" w:lineRule="exact"/>
        <w:rPr>
          <w:sz w:val="20"/>
          <w:szCs w:val="20"/>
          <w:color w:val="auto"/>
        </w:rPr>
      </w:pPr>
    </w:p>
    <w:p>
      <w:pPr>
        <w:ind w:left="560"/>
        <w:spacing w:after="0"/>
        <w:rPr>
          <w:sz w:val="20"/>
          <w:szCs w:val="20"/>
          <w:color w:val="auto"/>
        </w:rPr>
      </w:pPr>
      <w:r>
        <w:rPr>
          <w:rFonts w:ascii="Arial" w:cs="Arial" w:eastAsia="Arial" w:hAnsi="Arial"/>
          <w:sz w:val="12"/>
          <w:szCs w:val="12"/>
          <w:u w:val="single" w:color="auto"/>
          <w:color w:val="auto"/>
        </w:rPr>
        <w:t>Environmental Matters Involving Potential Monetary Sanctions in Excess of $100,000</w:t>
      </w:r>
    </w:p>
    <w:p>
      <w:pPr>
        <w:spacing w:after="0" w:line="267"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2"/>
          <w:szCs w:val="12"/>
          <w:color w:val="auto"/>
        </w:rPr>
        <w:t>Item 1A.</w:t>
      </w:r>
      <w:r>
        <w:rPr>
          <w:sz w:val="20"/>
          <w:szCs w:val="20"/>
          <w:color w:val="auto"/>
        </w:rPr>
        <w:tab/>
      </w:r>
      <w:r>
        <w:rPr>
          <w:rFonts w:ascii="Arial" w:cs="Arial" w:eastAsia="Arial" w:hAnsi="Arial"/>
          <w:sz w:val="12"/>
          <w:szCs w:val="12"/>
          <w:u w:val="single" w:color="auto"/>
          <w:color w:val="auto"/>
        </w:rPr>
        <w:t>Risk Factors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have been no material changes to the disclosure presented in our 2018 Annual Report on Form 10-K under Item 1A. Risk Factors.</w:t>
      </w:r>
    </w:p>
    <w:p>
      <w:pPr>
        <w:spacing w:after="0" w:line="258"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2"/>
          <w:szCs w:val="12"/>
          <w:color w:val="auto"/>
        </w:rPr>
        <w:t>Item 2.</w:t>
      </w:r>
      <w:r>
        <w:rPr>
          <w:sz w:val="20"/>
          <w:szCs w:val="20"/>
          <w:color w:val="auto"/>
        </w:rPr>
        <w:tab/>
      </w:r>
      <w:r>
        <w:rPr>
          <w:rFonts w:ascii="Arial" w:cs="Arial" w:eastAsia="Arial" w:hAnsi="Arial"/>
          <w:sz w:val="12"/>
          <w:szCs w:val="12"/>
          <w:u w:val="single" w:color="auto"/>
          <w:color w:val="auto"/>
        </w:rPr>
        <w:t>Unregistered Sales of Equity Securities and Use of Proceeds</w:t>
      </w:r>
    </w:p>
    <w:p>
      <w:pPr>
        <w:spacing w:after="0" w:line="159" w:lineRule="exact"/>
        <w:rPr>
          <w:sz w:val="20"/>
          <w:szCs w:val="20"/>
          <w:color w:val="auto"/>
        </w:rPr>
      </w:pPr>
    </w:p>
    <w:p>
      <w:pPr>
        <w:ind w:firstLine="432"/>
        <w:spacing w:after="0" w:line="262" w:lineRule="auto"/>
        <w:rPr>
          <w:sz w:val="20"/>
          <w:szCs w:val="20"/>
          <w:color w:val="auto"/>
        </w:rPr>
      </w:pPr>
      <w:r>
        <w:rPr>
          <w:rFonts w:ascii="Arial" w:cs="Arial" w:eastAsia="Arial" w:hAnsi="Arial"/>
          <w:sz w:val="12"/>
          <w:szCs w:val="12"/>
          <w:color w:val="auto"/>
        </w:rPr>
        <w:t>Honeywell purchased 5,053,048 shares of its common stock, par value $1 per share, in the quarter ended March 31, 2019. Under the Company’s previously approved $8 billion share repurchase program, $3.0 billion remained available as of March 31, 2019 for additional share repurchases. The following table summarizes Honeywell’s purchase of its common stock for the quarter ended March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880" w:type="dxa"/>
            <w:vAlign w:val="bottom"/>
          </w:tcPr>
          <w:p>
            <w:pPr>
              <w:spacing w:after="0"/>
              <w:rPr>
                <w:sz w:val="11"/>
                <w:szCs w:val="11"/>
                <w:color w:val="auto"/>
              </w:rPr>
            </w:pPr>
          </w:p>
        </w:tc>
        <w:tc>
          <w:tcPr>
            <w:tcW w:w="3200" w:type="dxa"/>
            <w:vAlign w:val="bottom"/>
            <w:gridSpan w:val="2"/>
          </w:tcPr>
          <w:p>
            <w:pPr>
              <w:ind w:left="960"/>
              <w:spacing w:after="0"/>
              <w:rPr>
                <w:sz w:val="20"/>
                <w:szCs w:val="20"/>
                <w:color w:val="auto"/>
              </w:rPr>
            </w:pPr>
            <w:r>
              <w:rPr>
                <w:rFonts w:ascii="Arial" w:cs="Arial" w:eastAsia="Arial" w:hAnsi="Arial"/>
                <w:sz w:val="10"/>
                <w:szCs w:val="10"/>
                <w:b w:val="1"/>
                <w:bCs w:val="1"/>
                <w:color w:val="auto"/>
              </w:rPr>
              <w:t>Issuer Purchases of Equity Securities</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80"/>
        </w:trPr>
        <w:tc>
          <w:tcPr>
            <w:tcW w:w="3880" w:type="dxa"/>
            <w:vAlign w:val="bottom"/>
          </w:tcPr>
          <w:p>
            <w:pPr>
              <w:spacing w:after="0"/>
              <w:rPr>
                <w:sz w:val="15"/>
                <w:szCs w:val="15"/>
                <w:color w:val="auto"/>
              </w:rPr>
            </w:pPr>
          </w:p>
        </w:tc>
        <w:tc>
          <w:tcPr>
            <w:tcW w:w="3200" w:type="dxa"/>
            <w:vAlign w:val="bottom"/>
            <w:gridSpan w:val="2"/>
          </w:tcPr>
          <w:p>
            <w:pPr>
              <w:jc w:val="center"/>
              <w:ind w:left="1506"/>
              <w:spacing w:after="0"/>
              <w:rPr>
                <w:sz w:val="20"/>
                <w:szCs w:val="20"/>
                <w:color w:val="auto"/>
              </w:rPr>
            </w:pPr>
            <w:r>
              <w:rPr>
                <w:rFonts w:ascii="Arial" w:cs="Arial" w:eastAsia="Arial" w:hAnsi="Arial"/>
                <w:sz w:val="10"/>
                <w:szCs w:val="10"/>
                <w:b w:val="1"/>
                <w:bCs w:val="1"/>
                <w:color w:val="auto"/>
                <w:w w:val="97"/>
              </w:rPr>
              <w:t>(a)</w:t>
            </w:r>
          </w:p>
        </w:tc>
        <w:tc>
          <w:tcPr>
            <w:tcW w:w="34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Arial" w:cs="Arial" w:eastAsia="Arial" w:hAnsi="Arial"/>
                <w:sz w:val="10"/>
                <w:szCs w:val="10"/>
                <w:b w:val="1"/>
                <w:bCs w:val="1"/>
                <w:color w:val="auto"/>
              </w:rPr>
              <w:t>(b)</w:t>
            </w:r>
          </w:p>
        </w:tc>
        <w:tc>
          <w:tcPr>
            <w:tcW w:w="14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(c)</w:t>
            </w:r>
          </w:p>
        </w:tc>
        <w:tc>
          <w:tcPr>
            <w:tcW w:w="120" w:type="dxa"/>
            <w:vAlign w:val="bottom"/>
          </w:tcPr>
          <w:p>
            <w:pPr>
              <w:spacing w:after="0"/>
              <w:rPr>
                <w:sz w:val="15"/>
                <w:szCs w:val="15"/>
                <w:color w:val="auto"/>
              </w:rPr>
            </w:pPr>
          </w:p>
        </w:tc>
        <w:tc>
          <w:tcPr>
            <w:tcW w:w="1220" w:type="dxa"/>
            <w:vAlign w:val="bottom"/>
          </w:tcPr>
          <w:p>
            <w:pPr>
              <w:jc w:val="center"/>
              <w:ind w:right="67"/>
              <w:spacing w:after="0"/>
              <w:rPr>
                <w:sz w:val="20"/>
                <w:szCs w:val="20"/>
                <w:color w:val="auto"/>
              </w:rPr>
            </w:pPr>
            <w:r>
              <w:rPr>
                <w:rFonts w:ascii="Arial" w:cs="Arial" w:eastAsia="Arial" w:hAnsi="Arial"/>
                <w:sz w:val="10"/>
                <w:szCs w:val="10"/>
                <w:b w:val="1"/>
                <w:bCs w:val="1"/>
                <w:color w:val="auto"/>
              </w:rPr>
              <w:t>(d)</w:t>
            </w:r>
          </w:p>
        </w:tc>
      </w:tr>
      <w:tr>
        <w:trPr>
          <w:trHeight w:val="125"/>
        </w:trPr>
        <w:tc>
          <w:tcPr>
            <w:tcW w:w="38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Approximate Dollar Value of</w:t>
            </w:r>
          </w:p>
        </w:tc>
      </w:tr>
      <w:tr>
        <w:trPr>
          <w:trHeight w:val="108"/>
        </w:trPr>
        <w:tc>
          <w:tcPr>
            <w:tcW w:w="38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Total Number of Shares</w:t>
            </w:r>
          </w:p>
        </w:tc>
        <w:tc>
          <w:tcPr>
            <w:tcW w:w="120" w:type="dxa"/>
            <w:vAlign w:val="bottom"/>
          </w:tcPr>
          <w:p>
            <w:pPr>
              <w:spacing w:after="0"/>
              <w:rPr>
                <w:sz w:val="9"/>
                <w:szCs w:val="9"/>
                <w:color w:val="auto"/>
              </w:rPr>
            </w:pPr>
          </w:p>
        </w:tc>
        <w:tc>
          <w:tcPr>
            <w:tcW w:w="1220" w:type="dxa"/>
            <w:vAlign w:val="bottom"/>
          </w:tcPr>
          <w:p>
            <w:pPr>
              <w:jc w:val="center"/>
              <w:ind w:right="67"/>
              <w:spacing w:after="0" w:line="108" w:lineRule="exact"/>
              <w:rPr>
                <w:sz w:val="20"/>
                <w:szCs w:val="20"/>
                <w:color w:val="auto"/>
              </w:rPr>
            </w:pPr>
            <w:r>
              <w:rPr>
                <w:rFonts w:ascii="Arial" w:cs="Arial" w:eastAsia="Arial" w:hAnsi="Arial"/>
                <w:sz w:val="10"/>
                <w:szCs w:val="10"/>
                <w:b w:val="1"/>
                <w:bCs w:val="1"/>
                <w:color w:val="auto"/>
                <w:w w:val="96"/>
              </w:rPr>
              <w:t>Shares that May Yet be</w:t>
            </w:r>
          </w:p>
        </w:tc>
      </w:tr>
      <w:tr>
        <w:trPr>
          <w:trHeight w:val="108"/>
        </w:trPr>
        <w:tc>
          <w:tcPr>
            <w:tcW w:w="38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6"/>
              </w:rPr>
              <w:t>Purchased as Part of</w:t>
            </w:r>
          </w:p>
        </w:tc>
        <w:tc>
          <w:tcPr>
            <w:tcW w:w="13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Purchased Under Plans or</w:t>
            </w:r>
          </w:p>
        </w:tc>
      </w:tr>
      <w:tr>
        <w:trPr>
          <w:trHeight w:val="108"/>
        </w:trPr>
        <w:tc>
          <w:tcPr>
            <w:tcW w:w="3880" w:type="dxa"/>
            <w:vAlign w:val="bottom"/>
          </w:tcPr>
          <w:p>
            <w:pPr>
              <w:spacing w:after="0"/>
              <w:rPr>
                <w:sz w:val="9"/>
                <w:szCs w:val="9"/>
                <w:color w:val="auto"/>
              </w:rPr>
            </w:pPr>
          </w:p>
        </w:tc>
        <w:tc>
          <w:tcPr>
            <w:tcW w:w="3200" w:type="dxa"/>
            <w:vAlign w:val="bottom"/>
            <w:gridSpan w:val="2"/>
          </w:tcPr>
          <w:p>
            <w:pPr>
              <w:jc w:val="center"/>
              <w:ind w:left="1506"/>
              <w:spacing w:after="0" w:line="108" w:lineRule="exact"/>
              <w:rPr>
                <w:sz w:val="20"/>
                <w:szCs w:val="20"/>
                <w:color w:val="auto"/>
              </w:rPr>
            </w:pPr>
            <w:r>
              <w:rPr>
                <w:rFonts w:ascii="Arial" w:cs="Arial" w:eastAsia="Arial" w:hAnsi="Arial"/>
                <w:sz w:val="10"/>
                <w:szCs w:val="10"/>
                <w:b w:val="1"/>
                <w:bCs w:val="1"/>
                <w:color w:val="auto"/>
                <w:w w:val="95"/>
              </w:rPr>
              <w:t>Total Number of Shares</w:t>
            </w: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5"/>
              </w:rPr>
              <w:t>Publicly Announced Plans</w:t>
            </w:r>
          </w:p>
        </w:tc>
        <w:tc>
          <w:tcPr>
            <w:tcW w:w="120" w:type="dxa"/>
            <w:vAlign w:val="bottom"/>
          </w:tcPr>
          <w:p>
            <w:pPr>
              <w:spacing w:after="0"/>
              <w:rPr>
                <w:sz w:val="9"/>
                <w:szCs w:val="9"/>
                <w:color w:val="auto"/>
              </w:rPr>
            </w:pPr>
          </w:p>
        </w:tc>
        <w:tc>
          <w:tcPr>
            <w:tcW w:w="1220" w:type="dxa"/>
            <w:vAlign w:val="bottom"/>
          </w:tcPr>
          <w:p>
            <w:pPr>
              <w:jc w:val="center"/>
              <w:ind w:right="67"/>
              <w:spacing w:after="0" w:line="108" w:lineRule="exact"/>
              <w:rPr>
                <w:sz w:val="20"/>
                <w:szCs w:val="20"/>
                <w:color w:val="auto"/>
              </w:rPr>
            </w:pPr>
            <w:r>
              <w:rPr>
                <w:rFonts w:ascii="Arial" w:cs="Arial" w:eastAsia="Arial" w:hAnsi="Arial"/>
                <w:sz w:val="10"/>
                <w:szCs w:val="10"/>
                <w:b w:val="1"/>
                <w:bCs w:val="1"/>
                <w:color w:val="auto"/>
                <w:w w:val="95"/>
              </w:rPr>
              <w:t>Programs (Dollars in</w:t>
            </w:r>
          </w:p>
        </w:tc>
      </w:tr>
      <w:tr>
        <w:trPr>
          <w:trHeight w:val="131"/>
        </w:trPr>
        <w:tc>
          <w:tcPr>
            <w:tcW w:w="3880" w:type="dxa"/>
            <w:vAlign w:val="bottom"/>
          </w:tcPr>
          <w:p>
            <w:pPr>
              <w:ind w:left="2640"/>
              <w:spacing w:after="0"/>
              <w:rPr>
                <w:sz w:val="20"/>
                <w:szCs w:val="20"/>
                <w:color w:val="auto"/>
              </w:rPr>
            </w:pPr>
            <w:r>
              <w:rPr>
                <w:rFonts w:ascii="Arial" w:cs="Arial" w:eastAsia="Arial" w:hAnsi="Arial"/>
                <w:sz w:val="10"/>
                <w:szCs w:val="10"/>
                <w:b w:val="1"/>
                <w:bCs w:val="1"/>
                <w:color w:val="auto"/>
              </w:rPr>
              <w:t>Period</w:t>
            </w:r>
          </w:p>
        </w:tc>
        <w:tc>
          <w:tcPr>
            <w:tcW w:w="3200" w:type="dxa"/>
            <w:vAlign w:val="bottom"/>
            <w:gridSpan w:val="2"/>
          </w:tcPr>
          <w:p>
            <w:pPr>
              <w:jc w:val="center"/>
              <w:ind w:left="1526"/>
              <w:spacing w:after="0"/>
              <w:rPr>
                <w:sz w:val="20"/>
                <w:szCs w:val="20"/>
                <w:color w:val="auto"/>
              </w:rPr>
            </w:pPr>
            <w:r>
              <w:rPr>
                <w:rFonts w:ascii="Arial" w:cs="Arial" w:eastAsia="Arial" w:hAnsi="Arial"/>
                <w:sz w:val="10"/>
                <w:szCs w:val="10"/>
                <w:b w:val="1"/>
                <w:bCs w:val="1"/>
                <w:color w:val="auto"/>
                <w:w w:val="97"/>
              </w:rPr>
              <w:t>Purchased</w:t>
            </w:r>
          </w:p>
        </w:tc>
        <w:tc>
          <w:tcPr>
            <w:tcW w:w="1480" w:type="dxa"/>
            <w:vAlign w:val="bottom"/>
            <w:gridSpan w:val="3"/>
          </w:tcPr>
          <w:p>
            <w:pPr>
              <w:ind w:left="20"/>
              <w:spacing w:after="0"/>
              <w:rPr>
                <w:sz w:val="20"/>
                <w:szCs w:val="20"/>
                <w:color w:val="auto"/>
              </w:rPr>
            </w:pPr>
            <w:r>
              <w:rPr>
                <w:rFonts w:ascii="Arial" w:cs="Arial" w:eastAsia="Arial" w:hAnsi="Arial"/>
                <w:sz w:val="10"/>
                <w:szCs w:val="10"/>
                <w:b w:val="1"/>
                <w:bCs w:val="1"/>
                <w:color w:val="auto"/>
              </w:rPr>
              <w:t>Average Price Paid per Share</w:t>
            </w:r>
          </w:p>
        </w:tc>
        <w:tc>
          <w:tcPr>
            <w:tcW w:w="14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or Programs</w:t>
            </w:r>
          </w:p>
        </w:tc>
        <w:tc>
          <w:tcPr>
            <w:tcW w:w="120" w:type="dxa"/>
            <w:vAlign w:val="bottom"/>
          </w:tcPr>
          <w:p>
            <w:pPr>
              <w:spacing w:after="0"/>
              <w:rPr>
                <w:sz w:val="11"/>
                <w:szCs w:val="11"/>
                <w:color w:val="auto"/>
              </w:rPr>
            </w:pPr>
          </w:p>
        </w:tc>
        <w:tc>
          <w:tcPr>
            <w:tcW w:w="1220" w:type="dxa"/>
            <w:vAlign w:val="bottom"/>
          </w:tcPr>
          <w:p>
            <w:pPr>
              <w:jc w:val="center"/>
              <w:ind w:right="67"/>
              <w:spacing w:after="0"/>
              <w:rPr>
                <w:sz w:val="20"/>
                <w:szCs w:val="20"/>
                <w:color w:val="auto"/>
              </w:rPr>
            </w:pPr>
            <w:r>
              <w:rPr>
                <w:rFonts w:ascii="Arial" w:cs="Arial" w:eastAsia="Arial" w:hAnsi="Arial"/>
                <w:sz w:val="10"/>
                <w:szCs w:val="10"/>
                <w:b w:val="1"/>
                <w:bCs w:val="1"/>
                <w:color w:val="auto"/>
                <w:w w:val="92"/>
              </w:rPr>
              <w:t>millions)</w:t>
            </w:r>
          </w:p>
        </w:tc>
      </w:tr>
      <w:tr>
        <w:trPr>
          <w:trHeight w:val="164"/>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January 2019</w:t>
            </w:r>
          </w:p>
        </w:tc>
        <w:tc>
          <w:tcPr>
            <w:tcW w:w="308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rPr>
              <w:t>1,728,710</w:t>
            </w: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138.83</w:t>
            </w: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2"/>
                <w:szCs w:val="12"/>
                <w:color w:val="auto"/>
              </w:rPr>
              <w:t>1,728,710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2"/>
                <w:szCs w:val="12"/>
                <w:color w:val="auto"/>
              </w:rPr>
              <w:t>3,497</w:t>
            </w:r>
          </w:p>
        </w:tc>
      </w:tr>
      <w:tr>
        <w:trPr>
          <w:trHeight w:val="176"/>
        </w:trPr>
        <w:tc>
          <w:tcPr>
            <w:tcW w:w="3880" w:type="dxa"/>
            <w:vAlign w:val="bottom"/>
          </w:tcPr>
          <w:p>
            <w:pPr>
              <w:ind w:left="20"/>
              <w:spacing w:after="0"/>
              <w:rPr>
                <w:sz w:val="20"/>
                <w:szCs w:val="20"/>
                <w:color w:val="auto"/>
              </w:rPr>
            </w:pPr>
            <w:r>
              <w:rPr>
                <w:rFonts w:ascii="Arial" w:cs="Arial" w:eastAsia="Arial" w:hAnsi="Arial"/>
                <w:sz w:val="12"/>
                <w:szCs w:val="12"/>
                <w:color w:val="auto"/>
              </w:rPr>
              <w:t>February 2019</w:t>
            </w:r>
          </w:p>
        </w:tc>
        <w:tc>
          <w:tcPr>
            <w:tcW w:w="3080" w:type="dxa"/>
            <w:vAlign w:val="bottom"/>
          </w:tcPr>
          <w:p>
            <w:pPr>
              <w:jc w:val="right"/>
              <w:ind w:right="66"/>
              <w:spacing w:after="0"/>
              <w:rPr>
                <w:sz w:val="20"/>
                <w:szCs w:val="20"/>
                <w:color w:val="auto"/>
              </w:rPr>
            </w:pPr>
            <w:r>
              <w:rPr>
                <w:rFonts w:ascii="Arial" w:cs="Arial" w:eastAsia="Arial" w:hAnsi="Arial"/>
                <w:sz w:val="12"/>
                <w:szCs w:val="12"/>
                <w:color w:val="auto"/>
              </w:rPr>
              <w:t>867,877</w:t>
            </w:r>
          </w:p>
        </w:tc>
        <w:tc>
          <w:tcPr>
            <w:tcW w:w="1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3"/>
              <w:spacing w:after="0"/>
              <w:rPr>
                <w:sz w:val="20"/>
                <w:szCs w:val="20"/>
                <w:color w:val="auto"/>
              </w:rPr>
            </w:pPr>
            <w:r>
              <w:rPr>
                <w:rFonts w:ascii="Arial" w:cs="Arial" w:eastAsia="Arial" w:hAnsi="Arial"/>
                <w:sz w:val="12"/>
                <w:szCs w:val="12"/>
                <w:color w:val="auto"/>
              </w:rPr>
              <w:t>149.77</w:t>
            </w:r>
          </w:p>
        </w:tc>
        <w:tc>
          <w:tcPr>
            <w:tcW w:w="120" w:type="dxa"/>
            <w:vAlign w:val="bottom"/>
          </w:tcPr>
          <w:p>
            <w:pPr>
              <w:spacing w:after="0"/>
              <w:rPr>
                <w:sz w:val="15"/>
                <w:szCs w:val="15"/>
                <w:color w:val="auto"/>
              </w:rPr>
            </w:pPr>
          </w:p>
        </w:tc>
        <w:tc>
          <w:tcPr>
            <w:tcW w:w="1360" w:type="dxa"/>
            <w:vAlign w:val="bottom"/>
          </w:tcPr>
          <w:p>
            <w:pPr>
              <w:jc w:val="right"/>
              <w:ind w:right="47"/>
              <w:spacing w:after="0"/>
              <w:rPr>
                <w:sz w:val="20"/>
                <w:szCs w:val="20"/>
                <w:color w:val="auto"/>
              </w:rPr>
            </w:pPr>
            <w:r>
              <w:rPr>
                <w:rFonts w:ascii="Arial" w:cs="Arial" w:eastAsia="Arial" w:hAnsi="Arial"/>
                <w:sz w:val="12"/>
                <w:szCs w:val="12"/>
                <w:color w:val="auto"/>
              </w:rPr>
              <w:t>867,877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47"/>
              <w:spacing w:after="0"/>
              <w:rPr>
                <w:sz w:val="20"/>
                <w:szCs w:val="20"/>
                <w:color w:val="auto"/>
              </w:rPr>
            </w:pPr>
            <w:r>
              <w:rPr>
                <w:rFonts w:ascii="Arial" w:cs="Arial" w:eastAsia="Arial" w:hAnsi="Arial"/>
                <w:sz w:val="12"/>
                <w:szCs w:val="12"/>
                <w:color w:val="auto"/>
              </w:rPr>
              <w:t>3,367</w:t>
            </w:r>
          </w:p>
        </w:tc>
      </w:tr>
      <w:tr>
        <w:trPr>
          <w:trHeight w:val="185"/>
        </w:trPr>
        <w:tc>
          <w:tcPr>
            <w:tcW w:w="3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March 2019</w:t>
            </w:r>
          </w:p>
        </w:tc>
        <w:tc>
          <w:tcPr>
            <w:tcW w:w="30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2,456,461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154.67</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47"/>
              <w:spacing w:after="0"/>
              <w:rPr>
                <w:sz w:val="20"/>
                <w:szCs w:val="20"/>
                <w:color w:val="auto"/>
              </w:rPr>
            </w:pPr>
            <w:r>
              <w:rPr>
                <w:rFonts w:ascii="Arial" w:cs="Arial" w:eastAsia="Arial" w:hAnsi="Arial"/>
                <w:sz w:val="12"/>
                <w:szCs w:val="12"/>
                <w:color w:val="auto"/>
              </w:rPr>
              <w:t>2,456,461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47"/>
              <w:spacing w:after="0"/>
              <w:rPr>
                <w:sz w:val="20"/>
                <w:szCs w:val="20"/>
                <w:color w:val="auto"/>
              </w:rPr>
            </w:pPr>
            <w:r>
              <w:rPr>
                <w:rFonts w:ascii="Arial" w:cs="Arial" w:eastAsia="Arial" w:hAnsi="Arial"/>
                <w:sz w:val="12"/>
                <w:szCs w:val="12"/>
                <w:color w:val="auto"/>
              </w:rPr>
              <w:t>2,987</w:t>
            </w:r>
          </w:p>
        </w:tc>
      </w:tr>
      <w:tr>
        <w:trPr>
          <w:trHeight w:val="594"/>
        </w:trPr>
        <w:tc>
          <w:tcPr>
            <w:tcW w:w="3880" w:type="dxa"/>
            <w:vAlign w:val="bottom"/>
          </w:tcPr>
          <w:p>
            <w:pPr>
              <w:spacing w:after="0"/>
              <w:rPr>
                <w:sz w:val="24"/>
                <w:szCs w:val="24"/>
                <w:color w:val="auto"/>
              </w:rPr>
            </w:pPr>
          </w:p>
        </w:tc>
        <w:tc>
          <w:tcPr>
            <w:tcW w:w="3080" w:type="dxa"/>
            <w:vAlign w:val="bottom"/>
          </w:tcPr>
          <w:p>
            <w:pPr>
              <w:jc w:val="right"/>
              <w:ind w:right="1106"/>
              <w:spacing w:after="0"/>
              <w:rPr>
                <w:sz w:val="20"/>
                <w:szCs w:val="20"/>
                <w:color w:val="auto"/>
              </w:rPr>
            </w:pPr>
            <w:r>
              <w:rPr>
                <w:rFonts w:ascii="Arial" w:cs="Arial" w:eastAsia="Arial" w:hAnsi="Arial"/>
                <w:sz w:val="12"/>
                <w:szCs w:val="12"/>
                <w:color w:val="auto"/>
              </w:rPr>
              <w:t>42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60"/>
          </w:cols>
          <w:pgMar w:left="220" w:top="575" w:right="21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80" w:type="dxa"/>
            <w:vAlign w:val="bottom"/>
            <w:gridSpan w:val="4"/>
          </w:tcPr>
          <w:p>
            <w:pPr>
              <w:ind w:left="20"/>
              <w:spacing w:after="0"/>
              <w:rPr>
                <w:sz w:val="20"/>
                <w:szCs w:val="20"/>
                <w:color w:val="auto"/>
              </w:rPr>
            </w:pPr>
            <w:r>
              <w:rPr>
                <w:rFonts w:ascii="Arial" w:cs="Arial" w:eastAsia="Arial" w:hAnsi="Arial"/>
                <w:sz w:val="12"/>
                <w:szCs w:val="12"/>
                <w:color w:val="auto"/>
              </w:rPr>
              <w:t>Item 6.   Exhibits</w:t>
            </w:r>
          </w:p>
        </w:tc>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77"/>
        </w:trPr>
        <w:tc>
          <w:tcPr>
            <w:tcW w:w="5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200" w:type="dxa"/>
            <w:vAlign w:val="bottom"/>
            <w:gridSpan w:val="7"/>
          </w:tcPr>
          <w:p>
            <w:pPr>
              <w:spacing w:after="0"/>
              <w:rPr>
                <w:sz w:val="20"/>
                <w:szCs w:val="20"/>
                <w:color w:val="auto"/>
              </w:rPr>
            </w:pPr>
            <w:r>
              <w:rPr>
                <w:rFonts w:ascii="Arial" w:cs="Arial" w:eastAsia="Arial" w:hAnsi="Arial"/>
                <w:sz w:val="12"/>
                <w:szCs w:val="12"/>
                <w:b w:val="1"/>
                <w:bCs w:val="1"/>
                <w:color w:val="auto"/>
              </w:rPr>
              <w:t>EXHIBIT INDEX</w:t>
            </w:r>
          </w:p>
        </w:tc>
      </w:tr>
      <w:tr>
        <w:trPr>
          <w:trHeight w:val="236"/>
        </w:trPr>
        <w:tc>
          <w:tcPr>
            <w:tcW w:w="1480" w:type="dxa"/>
            <w:vAlign w:val="bottom"/>
            <w:gridSpan w:val="4"/>
          </w:tcPr>
          <w:p>
            <w:pPr>
              <w:ind w:left="360"/>
              <w:spacing w:after="0"/>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63"/>
        </w:trPr>
        <w:tc>
          <w:tcPr>
            <w:tcW w:w="1480" w:type="dxa"/>
            <w:vAlign w:val="bottom"/>
            <w:gridSpan w:val="4"/>
          </w:tcPr>
          <w:p>
            <w:pPr>
              <w:ind w:left="480"/>
              <w:spacing w:after="0"/>
              <w:rPr>
                <w:sz w:val="20"/>
                <w:szCs w:val="20"/>
                <w:color w:val="auto"/>
              </w:rPr>
            </w:pPr>
            <w:r>
              <w:rPr>
                <w:rFonts w:ascii="Arial" w:cs="Arial" w:eastAsia="Arial" w:hAnsi="Arial"/>
                <w:sz w:val="12"/>
                <w:szCs w:val="12"/>
                <w:b w:val="1"/>
                <w:bCs w:val="1"/>
                <w:color w:val="auto"/>
              </w:rPr>
              <w:t>No.</w:t>
            </w:r>
          </w:p>
        </w:tc>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200" w:type="dxa"/>
            <w:vAlign w:val="bottom"/>
            <w:gridSpan w:val="7"/>
          </w:tcPr>
          <w:p>
            <w:pPr>
              <w:ind w:left="880"/>
              <w:spacing w:after="0"/>
              <w:rPr>
                <w:sz w:val="20"/>
                <w:szCs w:val="20"/>
                <w:color w:val="auto"/>
              </w:rPr>
            </w:pPr>
            <w:r>
              <w:rPr>
                <w:rFonts w:ascii="Arial" w:cs="Arial" w:eastAsia="Arial" w:hAnsi="Arial"/>
                <w:sz w:val="12"/>
                <w:szCs w:val="12"/>
                <w:b w:val="1"/>
                <w:bCs w:val="1"/>
                <w:color w:val="auto"/>
              </w:rPr>
              <w:t>Description</w:t>
            </w:r>
          </w:p>
        </w:tc>
      </w:tr>
      <w:tr>
        <w:trPr>
          <w:trHeight w:val="129"/>
        </w:trPr>
        <w:tc>
          <w:tcPr>
            <w:tcW w:w="1140" w:type="dxa"/>
            <w:vAlign w:val="bottom"/>
            <w:tcBorders>
              <w:top w:val="single" w:sz="8" w:color="auto"/>
            </w:tcBorders>
            <w:gridSpan w:val="3"/>
          </w:tcPr>
          <w:p>
            <w:pPr>
              <w:jc w:val="right"/>
              <w:ind w:right="120"/>
              <w:spacing w:after="0" w:line="129" w:lineRule="exact"/>
              <w:rPr>
                <w:sz w:val="20"/>
                <w:szCs w:val="20"/>
                <w:color w:val="auto"/>
              </w:rPr>
            </w:pPr>
            <w:r>
              <w:rPr>
                <w:rFonts w:ascii="Arial" w:cs="Arial" w:eastAsia="Arial" w:hAnsi="Arial"/>
                <w:sz w:val="12"/>
                <w:szCs w:val="12"/>
                <w:color w:val="auto"/>
              </w:rPr>
              <w:t>10.1*</w:t>
            </w:r>
          </w:p>
        </w:tc>
        <w:tc>
          <w:tcPr>
            <w:tcW w:w="3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520" w:type="dxa"/>
            <w:vAlign w:val="bottom"/>
            <w:tcBorders>
              <w:top w:val="single" w:sz="8" w:color="auto"/>
              <w:bottom w:val="single" w:sz="8" w:color="0000FF"/>
            </w:tcBorders>
            <w:gridSpan w:val="3"/>
          </w:tcPr>
          <w:p>
            <w:pPr>
              <w:spacing w:after="0" w:line="129" w:lineRule="exact"/>
              <w:rPr>
                <w:sz w:val="20"/>
                <w:szCs w:val="20"/>
                <w:color w:val="auto"/>
              </w:rPr>
            </w:pPr>
            <w:r>
              <w:rPr>
                <w:rFonts w:ascii="Arial" w:cs="Arial" w:eastAsia="Arial" w:hAnsi="Arial"/>
                <w:sz w:val="12"/>
                <w:szCs w:val="12"/>
                <w:color w:val="0000FF"/>
                <w:w w:val="99"/>
              </w:rPr>
              <w:t>Offer Letter dated July 9, 2018 between Honeywell International Inc. and Mark R. James (filed herewith)</w:t>
            </w:r>
          </w:p>
        </w:tc>
        <w:tc>
          <w:tcPr>
            <w:tcW w:w="4460" w:type="dxa"/>
            <w:vAlign w:val="bottom"/>
            <w:tcBorders>
              <w:top w:val="single" w:sz="8" w:color="auto"/>
            </w:tcBorders>
            <w:gridSpan w:val="5"/>
          </w:tcPr>
          <w:p>
            <w:pPr>
              <w:spacing w:after="0"/>
              <w:rPr>
                <w:sz w:val="11"/>
                <w:szCs w:val="11"/>
                <w:color w:val="auto"/>
              </w:rPr>
            </w:pPr>
          </w:p>
        </w:tc>
      </w:tr>
      <w:tr>
        <w:trPr>
          <w:trHeight w:val="232"/>
        </w:trPr>
        <w:tc>
          <w:tcPr>
            <w:tcW w:w="1140" w:type="dxa"/>
            <w:vAlign w:val="bottom"/>
            <w:gridSpan w:val="3"/>
          </w:tcPr>
          <w:p>
            <w:pPr>
              <w:jc w:val="right"/>
              <w:ind w:right="120"/>
              <w:spacing w:after="0"/>
              <w:rPr>
                <w:sz w:val="20"/>
                <w:szCs w:val="20"/>
                <w:color w:val="auto"/>
              </w:rPr>
            </w:pPr>
            <w:r>
              <w:rPr>
                <w:rFonts w:ascii="Arial" w:cs="Arial" w:eastAsia="Arial" w:hAnsi="Arial"/>
                <w:sz w:val="12"/>
                <w:szCs w:val="12"/>
                <w:color w:val="auto"/>
              </w:rPr>
              <w:t>31.1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8"/>
          </w:tcPr>
          <w:p>
            <w:pPr>
              <w:spacing w:after="0"/>
              <w:rPr>
                <w:sz w:val="20"/>
                <w:szCs w:val="20"/>
                <w:color w:val="auto"/>
              </w:rPr>
            </w:pPr>
            <w:r>
              <w:rPr>
                <w:rFonts w:ascii="Arial" w:cs="Arial" w:eastAsia="Arial" w:hAnsi="Arial"/>
                <w:sz w:val="12"/>
                <w:szCs w:val="12"/>
                <w:color w:val="0000FF"/>
              </w:rPr>
              <w:t>Certification of Principal Executive Officer Pursuant to Section 302 of the Sarbanes-Oxley Act of 2002 (filed herewith)</w:t>
            </w:r>
          </w:p>
        </w:tc>
      </w:tr>
      <w:tr>
        <w:trPr>
          <w:trHeight w:val="322"/>
        </w:trPr>
        <w:tc>
          <w:tcPr>
            <w:tcW w:w="1140" w:type="dxa"/>
            <w:vAlign w:val="bottom"/>
            <w:gridSpan w:val="3"/>
          </w:tcPr>
          <w:p>
            <w:pPr>
              <w:jc w:val="right"/>
              <w:ind w:right="120"/>
              <w:spacing w:after="0"/>
              <w:rPr>
                <w:sz w:val="20"/>
                <w:szCs w:val="20"/>
                <w:color w:val="auto"/>
              </w:rPr>
            </w:pPr>
            <w:r>
              <w:rPr>
                <w:rFonts w:ascii="Arial" w:cs="Arial" w:eastAsia="Arial" w:hAnsi="Arial"/>
                <w:sz w:val="12"/>
                <w:szCs w:val="12"/>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top w:val="single" w:sz="8" w:color="0000FF"/>
            </w:tcBorders>
            <w:gridSpan w:val="5"/>
          </w:tcPr>
          <w:p>
            <w:pPr>
              <w:spacing w:after="0"/>
              <w:rPr>
                <w:sz w:val="20"/>
                <w:szCs w:val="20"/>
                <w:color w:val="auto"/>
              </w:rPr>
            </w:pPr>
            <w:r>
              <w:rPr>
                <w:rFonts w:ascii="Arial" w:cs="Arial" w:eastAsia="Arial" w:hAnsi="Arial"/>
                <w:sz w:val="12"/>
                <w:szCs w:val="12"/>
                <w:color w:val="0000FF"/>
              </w:rPr>
              <w:t>Certification of Principal Financial Officer Pursuant to Section 302 of the Sarbanes-Oxley Act of 2002 (filed herewith)</w:t>
            </w:r>
          </w:p>
        </w:tc>
        <w:tc>
          <w:tcPr>
            <w:tcW w:w="3780" w:type="dxa"/>
            <w:vAlign w:val="bottom"/>
            <w:gridSpan w:val="3"/>
          </w:tcPr>
          <w:p>
            <w:pPr>
              <w:spacing w:after="0"/>
              <w:rPr>
                <w:sz w:val="24"/>
                <w:szCs w:val="24"/>
                <w:color w:val="auto"/>
              </w:rPr>
            </w:pPr>
          </w:p>
        </w:tc>
      </w:tr>
      <w:tr>
        <w:trPr>
          <w:trHeight w:val="20"/>
        </w:trPr>
        <w:tc>
          <w:tcPr>
            <w:tcW w:w="1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gridSpan w:val="4"/>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22"/>
        </w:trPr>
        <w:tc>
          <w:tcPr>
            <w:tcW w:w="1140" w:type="dxa"/>
            <w:vAlign w:val="bottom"/>
            <w:gridSpan w:val="3"/>
          </w:tcPr>
          <w:p>
            <w:pPr>
              <w:jc w:val="right"/>
              <w:ind w:right="120"/>
              <w:spacing w:after="0"/>
              <w:rPr>
                <w:sz w:val="20"/>
                <w:szCs w:val="20"/>
                <w:color w:val="auto"/>
              </w:rPr>
            </w:pPr>
            <w:r>
              <w:rPr>
                <w:rFonts w:ascii="Arial" w:cs="Arial" w:eastAsia="Arial" w:hAnsi="Arial"/>
                <w:sz w:val="12"/>
                <w:szCs w:val="12"/>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tcBorders>
              <w:bottom w:val="single" w:sz="8" w:color="0000FF"/>
            </w:tcBorders>
            <w:gridSpan w:val="7"/>
          </w:tcPr>
          <w:p>
            <w:pPr>
              <w:spacing w:after="0"/>
              <w:rPr>
                <w:sz w:val="20"/>
                <w:szCs w:val="20"/>
                <w:color w:val="auto"/>
              </w:rPr>
            </w:pPr>
            <w:r>
              <w:rPr>
                <w:rFonts w:ascii="Arial" w:cs="Arial" w:eastAsia="Arial" w:hAnsi="Arial"/>
                <w:sz w:val="12"/>
                <w:szCs w:val="12"/>
                <w:color w:val="0000FF"/>
                <w:w w:val="99"/>
              </w:rPr>
              <w:t>Certification of Principal Executive Officer Pursuant to 18 U.S.C. Section 1350, as Adopted Pursuant to Section 906 of the Sarbanes-Oxley Act of 2002 (filed herewith)</w:t>
            </w:r>
          </w:p>
        </w:tc>
        <w:tc>
          <w:tcPr>
            <w:tcW w:w="1160" w:type="dxa"/>
            <w:vAlign w:val="bottom"/>
          </w:tcPr>
          <w:p>
            <w:pPr>
              <w:spacing w:after="0"/>
              <w:rPr>
                <w:sz w:val="24"/>
                <w:szCs w:val="24"/>
                <w:color w:val="auto"/>
              </w:rPr>
            </w:pPr>
          </w:p>
        </w:tc>
      </w:tr>
      <w:tr>
        <w:trPr>
          <w:trHeight w:val="322"/>
        </w:trPr>
        <w:tc>
          <w:tcPr>
            <w:tcW w:w="1140" w:type="dxa"/>
            <w:vAlign w:val="bottom"/>
            <w:gridSpan w:val="3"/>
          </w:tcPr>
          <w:p>
            <w:pPr>
              <w:jc w:val="right"/>
              <w:ind w:right="120"/>
              <w:spacing w:after="0"/>
              <w:rPr>
                <w:sz w:val="20"/>
                <w:szCs w:val="20"/>
                <w:color w:val="auto"/>
              </w:rPr>
            </w:pPr>
            <w:r>
              <w:rPr>
                <w:rFonts w:ascii="Arial" w:cs="Arial" w:eastAsia="Arial" w:hAnsi="Arial"/>
                <w:sz w:val="12"/>
                <w:szCs w:val="12"/>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tcBorders>
              <w:bottom w:val="single" w:sz="8" w:color="0000FF"/>
            </w:tcBorders>
            <w:gridSpan w:val="6"/>
          </w:tcPr>
          <w:p>
            <w:pPr>
              <w:spacing w:after="0"/>
              <w:rPr>
                <w:sz w:val="20"/>
                <w:szCs w:val="20"/>
                <w:color w:val="auto"/>
              </w:rPr>
            </w:pPr>
            <w:r>
              <w:rPr>
                <w:rFonts w:ascii="Arial" w:cs="Arial" w:eastAsia="Arial" w:hAnsi="Arial"/>
                <w:sz w:val="12"/>
                <w:szCs w:val="12"/>
                <w:color w:val="0000FF"/>
                <w:w w:val="99"/>
              </w:rPr>
              <w:t>Certification of Principal Financial Officer Pursuant to 18 U.S.C. Section 1350, as Adopted Pursuant to Section 906 of the Sarbanes-Oxley Act of 2002 (filed herewith)</w:t>
            </w:r>
          </w:p>
        </w:tc>
        <w:tc>
          <w:tcPr>
            <w:tcW w:w="1200" w:type="dxa"/>
            <w:vAlign w:val="bottom"/>
            <w:gridSpan w:val="2"/>
          </w:tcPr>
          <w:p>
            <w:pPr>
              <w:spacing w:after="0"/>
              <w:rPr>
                <w:sz w:val="24"/>
                <w:szCs w:val="24"/>
                <w:color w:val="auto"/>
              </w:rPr>
            </w:pPr>
          </w:p>
        </w:tc>
      </w:tr>
      <w:tr>
        <w:trPr>
          <w:trHeight w:val="349"/>
        </w:trPr>
        <w:tc>
          <w:tcPr>
            <w:tcW w:w="1480" w:type="dxa"/>
            <w:vAlign w:val="bottom"/>
            <w:gridSpan w:val="4"/>
          </w:tcPr>
          <w:p>
            <w:pPr>
              <w:ind w:left="20"/>
              <w:spacing w:after="0"/>
              <w:rPr>
                <w:sz w:val="20"/>
                <w:szCs w:val="20"/>
                <w:color w:val="auto"/>
              </w:rPr>
            </w:pPr>
            <w:r>
              <w:rPr>
                <w:rFonts w:ascii="Arial" w:cs="Arial" w:eastAsia="Arial" w:hAnsi="Arial"/>
                <w:sz w:val="12"/>
                <w:szCs w:val="12"/>
                <w:color w:val="auto"/>
              </w:rPr>
              <w:t>101.INS</w:t>
            </w: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2"/>
                <w:szCs w:val="12"/>
                <w:color w:val="auto"/>
              </w:rPr>
              <w:t>XBRL Instance Document (filed herewith)</w:t>
            </w:r>
          </w:p>
        </w:tc>
      </w:tr>
      <w:tr>
        <w:trPr>
          <w:trHeight w:val="342"/>
        </w:trPr>
        <w:tc>
          <w:tcPr>
            <w:tcW w:w="1480" w:type="dxa"/>
            <w:vAlign w:val="bottom"/>
            <w:gridSpan w:val="4"/>
          </w:tcPr>
          <w:p>
            <w:pPr>
              <w:ind w:left="20"/>
              <w:spacing w:after="0"/>
              <w:rPr>
                <w:sz w:val="20"/>
                <w:szCs w:val="20"/>
                <w:color w:val="auto"/>
              </w:rPr>
            </w:pPr>
            <w:r>
              <w:rPr>
                <w:rFonts w:ascii="Arial" w:cs="Arial" w:eastAsia="Arial" w:hAnsi="Arial"/>
                <w:sz w:val="12"/>
                <w:szCs w:val="12"/>
                <w:color w:val="auto"/>
              </w:rPr>
              <w:t>101.SCH</w:t>
            </w: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2"/>
                <w:szCs w:val="12"/>
                <w:color w:val="auto"/>
              </w:rPr>
              <w:t>XBRL Taxonomy Extension Schema (filed herewith)</w:t>
            </w:r>
          </w:p>
        </w:tc>
      </w:tr>
      <w:tr>
        <w:trPr>
          <w:trHeight w:val="342"/>
        </w:trPr>
        <w:tc>
          <w:tcPr>
            <w:tcW w:w="1480" w:type="dxa"/>
            <w:vAlign w:val="bottom"/>
            <w:gridSpan w:val="4"/>
          </w:tcPr>
          <w:p>
            <w:pPr>
              <w:ind w:left="20"/>
              <w:spacing w:after="0"/>
              <w:rPr>
                <w:sz w:val="20"/>
                <w:szCs w:val="20"/>
                <w:color w:val="auto"/>
              </w:rPr>
            </w:pPr>
            <w:r>
              <w:rPr>
                <w:rFonts w:ascii="Arial" w:cs="Arial" w:eastAsia="Arial" w:hAnsi="Arial"/>
                <w:sz w:val="12"/>
                <w:szCs w:val="12"/>
                <w:color w:val="auto"/>
              </w:rPr>
              <w:t>101.CAL</w:t>
            </w: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2"/>
                <w:szCs w:val="12"/>
                <w:color w:val="auto"/>
              </w:rPr>
              <w:t>XBRL Taxonomy Extension Calculation Linkbase (filed herewith)</w:t>
            </w:r>
          </w:p>
        </w:tc>
      </w:tr>
      <w:tr>
        <w:trPr>
          <w:trHeight w:val="342"/>
        </w:trPr>
        <w:tc>
          <w:tcPr>
            <w:tcW w:w="1480" w:type="dxa"/>
            <w:vAlign w:val="bottom"/>
            <w:gridSpan w:val="4"/>
          </w:tcPr>
          <w:p>
            <w:pPr>
              <w:ind w:left="20"/>
              <w:spacing w:after="0"/>
              <w:rPr>
                <w:sz w:val="20"/>
                <w:szCs w:val="20"/>
                <w:color w:val="auto"/>
              </w:rPr>
            </w:pPr>
            <w:r>
              <w:rPr>
                <w:rFonts w:ascii="Arial" w:cs="Arial" w:eastAsia="Arial" w:hAnsi="Arial"/>
                <w:sz w:val="12"/>
                <w:szCs w:val="12"/>
                <w:color w:val="auto"/>
              </w:rPr>
              <w:t>101.DEF</w:t>
            </w: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2"/>
                <w:szCs w:val="12"/>
                <w:color w:val="auto"/>
              </w:rPr>
              <w:t>XBRL Taxonomy Extension Definition Linkbase (filed herewith)</w:t>
            </w:r>
          </w:p>
        </w:tc>
      </w:tr>
      <w:tr>
        <w:trPr>
          <w:trHeight w:val="342"/>
        </w:trPr>
        <w:tc>
          <w:tcPr>
            <w:tcW w:w="1480" w:type="dxa"/>
            <w:vAlign w:val="bottom"/>
            <w:gridSpan w:val="4"/>
          </w:tcPr>
          <w:p>
            <w:pPr>
              <w:ind w:left="20"/>
              <w:spacing w:after="0"/>
              <w:rPr>
                <w:sz w:val="20"/>
                <w:szCs w:val="20"/>
                <w:color w:val="auto"/>
              </w:rPr>
            </w:pPr>
            <w:r>
              <w:rPr>
                <w:rFonts w:ascii="Arial" w:cs="Arial" w:eastAsia="Arial" w:hAnsi="Arial"/>
                <w:sz w:val="12"/>
                <w:szCs w:val="12"/>
                <w:color w:val="auto"/>
              </w:rPr>
              <w:t>101.LAB</w:t>
            </w: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2"/>
                <w:szCs w:val="12"/>
                <w:color w:val="auto"/>
              </w:rPr>
              <w:t>XBRL Taxonomy Extension Label Linkbase (filed herewith)</w:t>
            </w:r>
          </w:p>
        </w:tc>
      </w:tr>
      <w:tr>
        <w:trPr>
          <w:trHeight w:val="342"/>
        </w:trPr>
        <w:tc>
          <w:tcPr>
            <w:tcW w:w="1480" w:type="dxa"/>
            <w:vAlign w:val="bottom"/>
            <w:gridSpan w:val="4"/>
          </w:tcPr>
          <w:p>
            <w:pPr>
              <w:ind w:left="20"/>
              <w:spacing w:after="0"/>
              <w:rPr>
                <w:sz w:val="20"/>
                <w:szCs w:val="20"/>
                <w:color w:val="auto"/>
              </w:rPr>
            </w:pPr>
            <w:r>
              <w:rPr>
                <w:rFonts w:ascii="Arial" w:cs="Arial" w:eastAsia="Arial" w:hAnsi="Arial"/>
                <w:sz w:val="12"/>
                <w:szCs w:val="12"/>
                <w:color w:val="auto"/>
              </w:rPr>
              <w:t>101.PRE</w:t>
            </w: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2"/>
                <w:szCs w:val="12"/>
                <w:color w:val="auto"/>
              </w:rPr>
              <w:t>XBRL Taxonomy Extension Presentation Linkbase (filed herewith)</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2"/>
          <w:szCs w:val="12"/>
          <w:color w:val="auto"/>
        </w:rPr>
        <w:t>The Exhibits identified above with an asterisk (*) are management contracts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677" w:right="199" w:bottom="1440" w:gutter="0" w:footer="0" w:header="0"/>
        </w:sectPr>
      </w:pPr>
    </w:p>
    <w:bookmarkStart w:id="43" w:name="page44"/>
    <w:bookmarkEnd w:id="43"/>
    <w:p>
      <w:pPr>
        <w:ind w:left="4920"/>
        <w:spacing w:after="0"/>
        <w:rPr>
          <w:sz w:val="20"/>
          <w:szCs w:val="20"/>
          <w:color w:val="auto"/>
        </w:rPr>
      </w:pPr>
      <w:r>
        <w:rPr>
          <w:rFonts w:ascii="Arial" w:cs="Arial" w:eastAsia="Arial" w:hAnsi="Arial"/>
          <w:sz w:val="12"/>
          <w:szCs w:val="12"/>
          <w:b w:val="1"/>
          <w:bCs w:val="1"/>
          <w:color w:val="auto"/>
        </w:rPr>
        <w:t>SIGNATURES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58" w:lineRule="exact"/>
        <w:rPr>
          <w:sz w:val="20"/>
          <w:szCs w:val="20"/>
          <w:color w:val="auto"/>
        </w:rPr>
      </w:pPr>
    </w:p>
    <w:p>
      <w:pPr>
        <w:ind w:left="6480"/>
        <w:spacing w:after="0"/>
        <w:rPr>
          <w:sz w:val="20"/>
          <w:szCs w:val="20"/>
          <w:color w:val="auto"/>
        </w:rPr>
      </w:pPr>
      <w:r>
        <w:rPr>
          <w:rFonts w:ascii="Arial" w:cs="Arial" w:eastAsia="Arial" w:hAnsi="Arial"/>
          <w:sz w:val="12"/>
          <w:szCs w:val="12"/>
          <w:color w:val="auto"/>
        </w:rPr>
        <w:t>Honeywell International Inc.</w:t>
      </w:r>
    </w:p>
    <w:p>
      <w:pPr>
        <w:spacing w:after="0" w:line="204" w:lineRule="exact"/>
        <w:rPr>
          <w:sz w:val="20"/>
          <w:szCs w:val="20"/>
          <w:color w:val="auto"/>
        </w:rPr>
      </w:pPr>
    </w:p>
    <w:p>
      <w:pPr>
        <w:ind w:left="5400"/>
        <w:spacing w:after="0"/>
        <w:tabs>
          <w:tab w:leader="none" w:pos="7040" w:val="left"/>
        </w:tabs>
        <w:rPr>
          <w:sz w:val="20"/>
          <w:szCs w:val="20"/>
          <w:color w:val="auto"/>
        </w:rPr>
      </w:pPr>
      <w:r>
        <w:rPr>
          <w:rFonts w:ascii="Arial" w:cs="Arial" w:eastAsia="Arial" w:hAnsi="Arial"/>
          <w:sz w:val="12"/>
          <w:szCs w:val="12"/>
          <w:color w:val="auto"/>
        </w:rPr>
        <w:t>Date: April 18, 2019 By:</w:t>
      </w:r>
      <w:r>
        <w:rPr>
          <w:sz w:val="20"/>
          <w:szCs w:val="20"/>
          <w:color w:val="auto"/>
        </w:rPr>
        <w:tab/>
      </w:r>
      <w:r>
        <w:rPr>
          <w:rFonts w:ascii="Arial" w:cs="Arial" w:eastAsia="Arial" w:hAnsi="Arial"/>
          <w:sz w:val="11"/>
          <w:szCs w:val="11"/>
          <w:u w:val="single" w:color="auto"/>
          <w:color w:val="auto"/>
        </w:rPr>
        <w:t>/s/ John J. Tus</w:t>
      </w:r>
    </w:p>
    <w:p>
      <w:pPr>
        <w:spacing w:after="0" w:line="30" w:lineRule="exact"/>
        <w:rPr>
          <w:sz w:val="20"/>
          <w:szCs w:val="20"/>
          <w:color w:val="auto"/>
        </w:rPr>
      </w:pPr>
    </w:p>
    <w:p>
      <w:pPr>
        <w:ind w:left="7060"/>
        <w:spacing w:after="0"/>
        <w:rPr>
          <w:sz w:val="20"/>
          <w:szCs w:val="20"/>
          <w:color w:val="auto"/>
        </w:rPr>
      </w:pPr>
      <w:r>
        <w:rPr>
          <w:rFonts w:ascii="Arial" w:cs="Arial" w:eastAsia="Arial" w:hAnsi="Arial"/>
          <w:sz w:val="12"/>
          <w:szCs w:val="12"/>
          <w:color w:val="auto"/>
        </w:rPr>
        <w:t>John J. Tus</w:t>
      </w:r>
    </w:p>
    <w:p>
      <w:pPr>
        <w:ind w:left="7060"/>
        <w:spacing w:after="0" w:line="234" w:lineRule="auto"/>
        <w:rPr>
          <w:sz w:val="20"/>
          <w:szCs w:val="20"/>
          <w:color w:val="auto"/>
        </w:rPr>
      </w:pPr>
      <w:r>
        <w:rPr>
          <w:rFonts w:ascii="Arial" w:cs="Arial" w:eastAsia="Arial" w:hAnsi="Arial"/>
          <w:sz w:val="12"/>
          <w:szCs w:val="12"/>
          <w:color w:val="auto"/>
        </w:rPr>
        <w:t>Vice President and Controller</w:t>
      </w:r>
    </w:p>
    <w:p>
      <w:pPr>
        <w:ind w:left="7060"/>
        <w:spacing w:after="0" w:line="235" w:lineRule="auto"/>
        <w:rPr>
          <w:sz w:val="20"/>
          <w:szCs w:val="20"/>
          <w:color w:val="auto"/>
        </w:rPr>
      </w:pPr>
      <w:r>
        <w:rPr>
          <w:rFonts w:ascii="Arial" w:cs="Arial" w:eastAsia="Arial" w:hAnsi="Arial"/>
          <w:sz w:val="12"/>
          <w:szCs w:val="12"/>
          <w:color w:val="auto"/>
        </w:rPr>
        <w:t>(on behalf of the Registrant</w:t>
      </w:r>
    </w:p>
    <w:p>
      <w:pPr>
        <w:ind w:left="7060"/>
        <w:spacing w:after="0" w:line="235" w:lineRule="auto"/>
        <w:rPr>
          <w:sz w:val="20"/>
          <w:szCs w:val="20"/>
          <w:color w:val="auto"/>
        </w:rPr>
      </w:pPr>
      <w:r>
        <w:rPr>
          <w:rFonts w:ascii="Arial" w:cs="Arial" w:eastAsia="Arial" w:hAnsi="Arial"/>
          <w:sz w:val="12"/>
          <w:szCs w:val="12"/>
          <w:color w:val="auto"/>
        </w:rPr>
        <w:t>and as the Registrant’s</w:t>
      </w:r>
    </w:p>
    <w:p>
      <w:pPr>
        <w:spacing w:after="0" w:line="1" w:lineRule="exact"/>
        <w:rPr>
          <w:sz w:val="20"/>
          <w:szCs w:val="20"/>
          <w:color w:val="auto"/>
        </w:rPr>
      </w:pPr>
    </w:p>
    <w:p>
      <w:pPr>
        <w:ind w:left="7060"/>
        <w:spacing w:after="0"/>
        <w:rPr>
          <w:sz w:val="20"/>
          <w:szCs w:val="20"/>
          <w:color w:val="auto"/>
        </w:rPr>
      </w:pPr>
      <w:r>
        <w:rPr>
          <w:rFonts w:ascii="Arial" w:cs="Arial" w:eastAsia="Arial" w:hAnsi="Arial"/>
          <w:sz w:val="12"/>
          <w:szCs w:val="12"/>
          <w:color w:val="auto"/>
        </w:rPr>
        <w:t>Principal Accounting Officer)</w:t>
      </w: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9819"/>
          </w:cols>
          <w:pgMar w:left="640" w:top="575"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2"/>
          <w:szCs w:val="1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106362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36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July 9, 2018</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Mark R. James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115 Tabor Road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Morris Plains, New Jersey 07950</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Re:</w:t>
        <w:tab/>
        <w:t>Offer Letter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Dear Mark:</w:t>
      </w:r>
    </w:p>
    <w:p>
      <w:pPr>
        <w:spacing w:after="0" w:line="154"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I am pleased to confirm our offer to you to become Senior Vice President, Human Resources, Security and Communications, based in Morris Plains, New Jersey, reporting directly to me. The effective date of your new role will be July 9, 2018 (“Effective Date”), subject to the terms and conditions of this offer letter. In this position, you will remain an Executive Officer of Honeywell.</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your new role, you will be entitled to the following compensation and benefits package: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COMPENSATION</w:t>
      </w:r>
    </w:p>
    <w:p>
      <w:pPr>
        <w:spacing w:after="0" w:line="154"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color w:val="auto"/>
        </w:rPr>
        <w:t>Base Salary</w:t>
      </w:r>
      <w:r>
        <w:rPr>
          <w:rFonts w:ascii="Arial" w:cs="Arial" w:eastAsia="Arial" w:hAnsi="Arial"/>
          <w:sz w:val="14"/>
          <w:szCs w:val="14"/>
          <w:color w:val="auto"/>
        </w:rPr>
        <w:t>: Your annual base salary will remain $780,000. Base salary reviews occur annually and any adjustments are generally at the end of the first quarter of the calendar year. Adjustments are</w:t>
      </w:r>
      <w:r>
        <w:rPr>
          <w:rFonts w:ascii="Arial" w:cs="Arial" w:eastAsia="Arial" w:hAnsi="Arial"/>
          <w:sz w:val="14"/>
          <w:szCs w:val="14"/>
          <w:b w:val="1"/>
          <w:bCs w:val="1"/>
          <w:color w:val="auto"/>
        </w:rPr>
        <w:t xml:space="preserve"> </w:t>
      </w:r>
      <w:r>
        <w:rPr>
          <w:rFonts w:ascii="Arial" w:cs="Arial" w:eastAsia="Arial" w:hAnsi="Arial"/>
          <w:sz w:val="14"/>
          <w:szCs w:val="14"/>
          <w:color w:val="auto"/>
        </w:rPr>
        <w:t>based on your performance and other relevant factors. You will next be eligible for a base salary review in March of 2019.</w:t>
      </w:r>
    </w:p>
    <w:p>
      <w:pPr>
        <w:spacing w:after="0" w:line="95" w:lineRule="exact"/>
        <w:rPr>
          <w:sz w:val="20"/>
          <w:szCs w:val="20"/>
          <w:color w:val="auto"/>
        </w:rPr>
      </w:pPr>
    </w:p>
    <w:p>
      <w:pPr>
        <w:jc w:val="both"/>
        <w:spacing w:after="0" w:line="292" w:lineRule="auto"/>
        <w:rPr>
          <w:sz w:val="20"/>
          <w:szCs w:val="20"/>
          <w:color w:val="auto"/>
        </w:rPr>
      </w:pPr>
      <w:r>
        <w:rPr>
          <w:rFonts w:ascii="Arial" w:cs="Arial" w:eastAsia="Arial" w:hAnsi="Arial"/>
          <w:sz w:val="14"/>
          <w:szCs w:val="14"/>
          <w:b w:val="1"/>
          <w:bCs w:val="1"/>
          <w:color w:val="auto"/>
        </w:rPr>
        <w:t>Annual Incentive Compensation</w:t>
      </w:r>
      <w:r>
        <w:rPr>
          <w:rFonts w:ascii="Arial" w:cs="Arial" w:eastAsia="Arial" w:hAnsi="Arial"/>
          <w:sz w:val="14"/>
          <w:szCs w:val="14"/>
          <w:color w:val="auto"/>
        </w:rPr>
        <w:t>: Your target incentive compensation opportunity will remain at 100% of your annual cash base salary earnings during the year. Incentive compensation awards are</w:t>
      </w:r>
      <w:r>
        <w:rPr>
          <w:rFonts w:ascii="Arial" w:cs="Arial" w:eastAsia="Arial" w:hAnsi="Arial"/>
          <w:sz w:val="14"/>
          <w:szCs w:val="14"/>
          <w:b w:val="1"/>
          <w:bCs w:val="1"/>
          <w:color w:val="auto"/>
        </w:rPr>
        <w:t xml:space="preserve"> </w:t>
      </w:r>
      <w:r>
        <w:rPr>
          <w:rFonts w:ascii="Arial" w:cs="Arial" w:eastAsia="Arial" w:hAnsi="Arial"/>
          <w:sz w:val="14"/>
          <w:szCs w:val="14"/>
          <w:color w:val="auto"/>
        </w:rPr>
        <w:t>paid in the first quarter of the following year.</w:t>
      </w:r>
    </w:p>
    <w:p>
      <w:pPr>
        <w:spacing w:after="0" w:line="95" w:lineRule="exact"/>
        <w:rPr>
          <w:sz w:val="20"/>
          <w:szCs w:val="20"/>
          <w:color w:val="auto"/>
        </w:rPr>
      </w:pPr>
    </w:p>
    <w:p>
      <w:pPr>
        <w:jc w:val="both"/>
        <w:spacing w:after="0" w:line="304" w:lineRule="auto"/>
        <w:rPr>
          <w:sz w:val="20"/>
          <w:szCs w:val="20"/>
          <w:color w:val="auto"/>
        </w:rPr>
      </w:pPr>
      <w:r>
        <w:rPr>
          <w:rFonts w:ascii="Arial" w:cs="Arial" w:eastAsia="Arial" w:hAnsi="Arial"/>
          <w:sz w:val="13"/>
          <w:szCs w:val="13"/>
          <w:b w:val="1"/>
          <w:bCs w:val="1"/>
          <w:color w:val="auto"/>
        </w:rPr>
        <w:t xml:space="preserve">Annual Long-Term Incentive Awards: </w:t>
      </w:r>
      <w:r>
        <w:rPr>
          <w:rFonts w:ascii="Arial" w:cs="Arial" w:eastAsia="Arial" w:hAnsi="Arial"/>
          <w:sz w:val="13"/>
          <w:szCs w:val="13"/>
          <w:color w:val="auto"/>
        </w:rPr>
        <w:t>You will be eligible for annual long-term incentive (“LTI”) awards with the size and mix determined by the Management Development and Compensation</w:t>
      </w:r>
      <w:r>
        <w:rPr>
          <w:rFonts w:ascii="Arial" w:cs="Arial" w:eastAsia="Arial" w:hAnsi="Arial"/>
          <w:sz w:val="13"/>
          <w:szCs w:val="13"/>
          <w:b w:val="1"/>
          <w:bCs w:val="1"/>
          <w:color w:val="auto"/>
        </w:rPr>
        <w:t xml:space="preserve"> </w:t>
      </w:r>
      <w:r>
        <w:rPr>
          <w:rFonts w:ascii="Arial" w:cs="Arial" w:eastAsia="Arial" w:hAnsi="Arial"/>
          <w:sz w:val="13"/>
          <w:szCs w:val="13"/>
          <w:color w:val="auto"/>
        </w:rPr>
        <w:t>Committee (“MDCC”) of the Company’s Board of Directors based on your performance and future career potential with Honeywell. The terms of all LTI awards are governed by the terms of the applicable stock plan and the relevant award agreements. Moreover, Honeywell and the MDCC reserve the right to modify the design or mix of the LTI award program in the future.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EXECUTIVE BENEFITS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You will also be entitled to the following Executive Benefits:</w:t>
      </w:r>
    </w:p>
    <w:p>
      <w:pPr>
        <w:spacing w:after="0" w:line="154"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3"/>
          <w:szCs w:val="13"/>
          <w:i w:val="1"/>
          <w:iCs w:val="1"/>
          <w:color w:val="auto"/>
        </w:rPr>
        <w:t>Excess Liability Insurance</w:t>
      </w:r>
      <w:r>
        <w:rPr>
          <w:rFonts w:ascii="Arial" w:cs="Arial" w:eastAsia="Arial" w:hAnsi="Arial"/>
          <w:sz w:val="13"/>
          <w:szCs w:val="13"/>
          <w:color w:val="auto"/>
        </w:rPr>
        <w:t>: Honeywell will pay the annual premium for an Excess Liability Insurance policy that provides $10,000,000 of personal umbrella coverage per occurrence.</w:t>
      </w:r>
    </w:p>
    <w:p>
      <w:pPr>
        <w:spacing w:after="0" w:line="32" w:lineRule="exact"/>
        <w:rPr>
          <w:rFonts w:ascii="Arial" w:cs="Arial" w:eastAsia="Arial" w:hAnsi="Arial"/>
          <w:sz w:val="11"/>
          <w:szCs w:val="11"/>
          <w:color w:val="auto"/>
        </w:rPr>
      </w:pPr>
    </w:p>
    <w:p>
      <w:pPr>
        <w:ind w:left="420" w:hanging="212"/>
        <w:spacing w:after="0" w:line="270"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4"/>
          <w:szCs w:val="14"/>
          <w:i w:val="1"/>
          <w:iCs w:val="1"/>
          <w:color w:val="auto"/>
        </w:rPr>
        <w:t>Executive Severance</w:t>
      </w:r>
      <w:r>
        <w:rPr>
          <w:rFonts w:ascii="Arial" w:cs="Arial" w:eastAsia="Arial" w:hAnsi="Arial"/>
          <w:sz w:val="14"/>
          <w:szCs w:val="14"/>
          <w:color w:val="auto"/>
        </w:rPr>
        <w:t>: The Honeywell International Inc. Severance Plan for Designated Officers currently provides for 36 months of base salary continuation and target bonus if your</w:t>
      </w:r>
      <w:r>
        <w:rPr>
          <w:rFonts w:ascii="Arial" w:cs="Arial" w:eastAsia="Arial" w:hAnsi="Arial"/>
          <w:sz w:val="14"/>
          <w:szCs w:val="14"/>
          <w:i w:val="1"/>
          <w:iCs w:val="1"/>
          <w:color w:val="auto"/>
        </w:rPr>
        <w:t xml:space="preserve"> </w:t>
      </w:r>
      <w:r>
        <w:rPr>
          <w:rFonts w:ascii="Arial" w:cs="Arial" w:eastAsia="Arial" w:hAnsi="Arial"/>
          <w:sz w:val="14"/>
          <w:szCs w:val="14"/>
          <w:color w:val="auto"/>
        </w:rPr>
        <w:t>employment is involuntary terminated for a reason other than Cause (as defined in the severance plan document in</w:t>
      </w:r>
    </w:p>
    <w:p>
      <w:pPr>
        <w:sectPr>
          <w:pgSz w:w="11900" w:h="16838" w:orient="portrait"/>
          <w:cols w:equalWidth="0" w:num="1">
            <w:col w:w="11480"/>
          </w:cols>
          <w:pgMar w:left="220" w:top="431" w:right="199" w:bottom="1440" w:gutter="0" w:footer="0" w:header="0"/>
        </w:sectPr>
      </w:pPr>
    </w:p>
    <w:bookmarkStart w:id="45" w:name="page46"/>
    <w:bookmarkEnd w:id="45"/>
    <w:p>
      <w:pPr>
        <w:ind w:left="420"/>
        <w:spacing w:after="0" w:line="327" w:lineRule="auto"/>
        <w:rPr>
          <w:sz w:val="20"/>
          <w:szCs w:val="20"/>
          <w:color w:val="auto"/>
        </w:rPr>
      </w:pPr>
      <w:r>
        <w:rPr>
          <w:rFonts w:ascii="Arial" w:cs="Arial" w:eastAsia="Arial" w:hAnsi="Arial"/>
          <w:sz w:val="13"/>
          <w:szCs w:val="13"/>
          <w:color w:val="auto"/>
        </w:rPr>
        <w:t>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 OWNERSHIP GUIDELINES FOR HONEYWELL OFFICERS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As an Executive Officer of the Corporation, you will be required to hold Honeywell shares in accordance with the Corporation’s Stock Ownership Guidelines, as amended from time to time. A copy of the Stock Ownership Guidelines will be separately provided to you.</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INTELLECTUAL PROPERTY AND NON-COMPETITION AGREEMENTS</w:t>
      </w:r>
    </w:p>
    <w:p>
      <w:pPr>
        <w:spacing w:after="0" w:line="158" w:lineRule="exact"/>
        <w:rPr>
          <w:sz w:val="20"/>
          <w:szCs w:val="20"/>
          <w:color w:val="auto"/>
        </w:rPr>
      </w:pPr>
    </w:p>
    <w:p>
      <w:pPr>
        <w:jc w:val="both"/>
        <w:ind w:right="20"/>
        <w:spacing w:after="0" w:line="327" w:lineRule="auto"/>
        <w:rPr>
          <w:sz w:val="20"/>
          <w:szCs w:val="20"/>
          <w:color w:val="auto"/>
        </w:rPr>
      </w:pPr>
      <w:r>
        <w:rPr>
          <w:rFonts w:ascii="Arial" w:cs="Arial" w:eastAsia="Arial" w:hAnsi="Arial"/>
          <w:sz w:val="13"/>
          <w:szCs w:val="13"/>
          <w:color w:val="auto"/>
        </w:rPr>
        <w:t>As a condition of this employment offer, you are required to execute, in the form attached hereto, (i) Honeywell’s “Employee Agreement Relating to Trade Secrets, Proprietary and Confidential Information” (“IP Agreement”), and (ii) the “Honeywell International Inc. Noncompete Agreement for Senior Executives” (“Noncompete Agreement”), both of which are attached hereto.</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ACCEPTANCE OF OFFER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Please indicate your acceptance of this offer by electronically signing this offer letter, as well as the IP Agreement and Noncompete Agreement via DocuSign.</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112" w:lineRule="exact"/>
        <w:rPr>
          <w:sz w:val="20"/>
          <w:szCs w:val="20"/>
          <w:color w:val="auto"/>
        </w:rPr>
      </w:pPr>
    </w:p>
    <w:p>
      <w:pPr>
        <w:ind w:right="1260"/>
        <w:spacing w:after="0" w:line="567" w:lineRule="auto"/>
        <w:rPr>
          <w:sz w:val="20"/>
          <w:szCs w:val="20"/>
          <w:color w:val="auto"/>
        </w:rPr>
      </w:pPr>
      <w:r>
        <w:rPr>
          <w:rFonts w:ascii="Arial" w:cs="Arial" w:eastAsia="Arial" w:hAnsi="Arial"/>
          <w:sz w:val="14"/>
          <w:szCs w:val="14"/>
          <w:color w:val="auto"/>
        </w:rPr>
        <w:t>Mark, we are excited to be extending this offer to you and look forward to working with you in your expanded role. Your experience and background is an asset to our Company. If you have any questions or need any further information about our offer, please contact me directly. Congratulations,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/s/ Darius Adamczyk</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Darius Adamczyk</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Chairman and 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Read and Accepted: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20"/>
                <w:szCs w:val="20"/>
                <w:color w:val="auto"/>
              </w:rPr>
            </w:pPr>
            <w:r>
              <w:rPr>
                <w:rFonts w:ascii="Arial" w:cs="Arial" w:eastAsia="Arial" w:hAnsi="Arial"/>
                <w:sz w:val="14"/>
                <w:szCs w:val="14"/>
                <w:color w:val="auto"/>
              </w:rPr>
              <w:t>/s/ Mark R. James</w:t>
            </w: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2980" w:type="dxa"/>
            <w:vAlign w:val="bottom"/>
            <w:gridSpan w:val="2"/>
          </w:tcPr>
          <w:p>
            <w:pPr>
              <w:spacing w:after="0" w:line="149" w:lineRule="exact"/>
              <w:rPr>
                <w:sz w:val="20"/>
                <w:szCs w:val="20"/>
                <w:color w:val="auto"/>
              </w:rPr>
            </w:pPr>
            <w:r>
              <w:rPr>
                <w:rFonts w:ascii="Arial" w:cs="Arial" w:eastAsia="Arial" w:hAnsi="Arial"/>
                <w:sz w:val="14"/>
                <w:szCs w:val="14"/>
                <w:color w:val="auto"/>
              </w:rPr>
              <w:t>____________________________________</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7/9/2018</w:t>
            </w:r>
          </w:p>
        </w:tc>
      </w:tr>
      <w:tr>
        <w:trPr>
          <w:trHeight w:val="193"/>
        </w:trPr>
        <w:tc>
          <w:tcPr>
            <w:tcW w:w="1620" w:type="dxa"/>
            <w:vAlign w:val="bottom"/>
          </w:tcPr>
          <w:p>
            <w:pPr>
              <w:spacing w:after="0"/>
              <w:rPr>
                <w:sz w:val="20"/>
                <w:szCs w:val="20"/>
                <w:color w:val="auto"/>
              </w:rPr>
            </w:pPr>
            <w:r>
              <w:rPr>
                <w:rFonts w:ascii="Arial" w:cs="Arial" w:eastAsia="Arial" w:hAnsi="Arial"/>
                <w:sz w:val="14"/>
                <w:szCs w:val="14"/>
                <w:b w:val="1"/>
                <w:bCs w:val="1"/>
                <w:color w:val="auto"/>
              </w:rPr>
              <w:t>MARK R. JAMES</w:t>
            </w:r>
          </w:p>
        </w:tc>
        <w:tc>
          <w:tcPr>
            <w:tcW w:w="1360" w:type="dxa"/>
            <w:vAlign w:val="bottom"/>
          </w:tcPr>
          <w:p>
            <w:pPr>
              <w:ind w:left="460"/>
              <w:spacing w:after="0"/>
              <w:rPr>
                <w:sz w:val="20"/>
                <w:szCs w:val="20"/>
                <w:color w:val="auto"/>
              </w:rPr>
            </w:pPr>
            <w:r>
              <w:rPr>
                <w:rFonts w:ascii="Arial" w:cs="Arial" w:eastAsia="Arial" w:hAnsi="Arial"/>
                <w:sz w:val="14"/>
                <w:szCs w:val="14"/>
                <w:color w:val="auto"/>
              </w:rPr>
              <w:t>Date</w:t>
            </w:r>
          </w:p>
        </w:tc>
        <w:tc>
          <w:tcPr>
            <w:tcW w:w="520" w:type="dxa"/>
            <w:vAlign w:val="bottom"/>
          </w:tcPr>
          <w:p>
            <w:pPr>
              <w:spacing w:after="0"/>
              <w:rPr>
                <w:sz w:val="16"/>
                <w:szCs w:val="16"/>
                <w:color w:val="auto"/>
              </w:rPr>
            </w:pPr>
          </w:p>
        </w:tc>
      </w:tr>
    </w:tbl>
    <w:p>
      <w:pPr>
        <w:spacing w:after="0" w:line="282" w:lineRule="exact"/>
        <w:rPr>
          <w:sz w:val="20"/>
          <w:szCs w:val="20"/>
          <w:color w:val="auto"/>
        </w:rPr>
      </w:pPr>
    </w:p>
    <w:p>
      <w:pPr>
        <w:spacing w:after="0" w:line="323" w:lineRule="auto"/>
        <w:rPr>
          <w:sz w:val="20"/>
          <w:szCs w:val="20"/>
          <w:color w:val="auto"/>
        </w:rPr>
      </w:pPr>
      <w:r>
        <w:rPr>
          <w:rFonts w:ascii="Arial" w:cs="Arial" w:eastAsia="Arial" w:hAnsi="Arial"/>
          <w:sz w:val="11"/>
          <w:szCs w:val="11"/>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ectPr>
          <w:pgSz w:w="11900" w:h="16838" w:orient="portrait"/>
          <w:cols w:equalWidth="0" w:num="1">
            <w:col w:w="11480"/>
          </w:cols>
          <w:pgMar w:left="220" w:top="440" w:right="199" w:bottom="1440" w:gutter="0" w:footer="0" w:header="0"/>
        </w:sectPr>
      </w:pPr>
    </w:p>
    <w:bookmarkStart w:id="46" w:name="page47"/>
    <w:bookmarkEnd w:id="46"/>
    <w:p>
      <w:pPr>
        <w:jc w:val="both"/>
        <w:ind w:left="8"/>
        <w:spacing w:after="0" w:line="255" w:lineRule="auto"/>
        <w:rPr>
          <w:sz w:val="20"/>
          <w:szCs w:val="20"/>
          <w:color w:val="auto"/>
        </w:rPr>
      </w:pPr>
      <w:r>
        <w:rPr>
          <w:rFonts w:ascii="Arial" w:cs="Arial" w:eastAsia="Arial" w:hAnsi="Arial"/>
          <w:sz w:val="12"/>
          <w:szCs w:val="12"/>
          <w:b w:val="1"/>
          <w:bCs w:val="1"/>
          <w:i w:val="1"/>
          <w:iCs w:val="1"/>
          <w:color w:val="auto"/>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9"/>
          <w:szCs w:val="19"/>
          <w:b w:val="1"/>
          <w:bCs w:val="1"/>
          <w:color w:val="auto"/>
        </w:rPr>
        <w:t>HONEYWELL INTERNATIONAL INC.</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9"/>
          <w:szCs w:val="19"/>
          <w:color w:val="auto"/>
        </w:rPr>
        <w:t>Employee Agreement Relating to Trade Secrets,</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9"/>
          <w:szCs w:val="19"/>
          <w:color w:val="auto"/>
        </w:rPr>
        <w:t>Proprietary and Confidential Information</w:t>
      </w:r>
    </w:p>
    <w:p>
      <w:pPr>
        <w:spacing w:after="0" w:line="136" w:lineRule="exact"/>
        <w:rPr>
          <w:sz w:val="20"/>
          <w:szCs w:val="20"/>
          <w:color w:val="auto"/>
        </w:rPr>
      </w:pPr>
    </w:p>
    <w:p>
      <w:pPr>
        <w:jc w:val="both"/>
        <w:ind w:left="8"/>
        <w:spacing w:after="0" w:line="261" w:lineRule="auto"/>
        <w:rPr>
          <w:sz w:val="20"/>
          <w:szCs w:val="20"/>
          <w:color w:val="auto"/>
        </w:rPr>
      </w:pPr>
      <w:r>
        <w:rPr>
          <w:rFonts w:ascii="Arial" w:cs="Arial" w:eastAsia="Arial" w:hAnsi="Arial"/>
          <w:sz w:val="13"/>
          <w:szCs w:val="13"/>
          <w:b w:val="1"/>
          <w:bCs w:val="1"/>
          <w:color w:val="auto"/>
        </w:rPr>
        <w:t>In consideration of my employment, continued employment, compensation, eligibility for any future discretionary raises or merit increases, eligibility for any future bonuses, awards or payments under any Honeywell incentive compensation or equity programs or plans and the equipment, materials, facilities and Honeywell “Trade Secrets, Proprietary and Confidential Information” (as hereinafter defined) supplied to me, I understand and agree that:</w:t>
      </w:r>
    </w:p>
    <w:p>
      <w:pPr>
        <w:spacing w:after="0" w:line="116" w:lineRule="exact"/>
        <w:rPr>
          <w:sz w:val="20"/>
          <w:szCs w:val="20"/>
          <w:color w:val="auto"/>
        </w:rPr>
      </w:pPr>
    </w:p>
    <w:p>
      <w:pPr>
        <w:jc w:val="both"/>
        <w:ind w:left="328" w:hanging="328"/>
        <w:spacing w:after="0" w:line="261" w:lineRule="auto"/>
        <w:tabs>
          <w:tab w:leader="none" w:pos="328" w:val="left"/>
        </w:tabs>
        <w:numPr>
          <w:ilvl w:val="0"/>
          <w:numId w:val="11"/>
        </w:numPr>
        <w:rPr>
          <w:rFonts w:ascii="Arial" w:cs="Arial" w:eastAsia="Arial" w:hAnsi="Arial"/>
          <w:sz w:val="12"/>
          <w:szCs w:val="12"/>
          <w:color w:val="auto"/>
        </w:rPr>
      </w:pPr>
      <w:r>
        <w:rPr>
          <w:rFonts w:ascii="Arial" w:cs="Arial" w:eastAsia="Arial" w:hAnsi="Arial"/>
          <w:sz w:val="13"/>
          <w:szCs w:val="13"/>
          <w:b w:val="1"/>
          <w:bCs w:val="1"/>
          <w:color w:val="auto"/>
        </w:rPr>
        <w:t xml:space="preserve">Records of Inventions. </w:t>
      </w:r>
      <w:r>
        <w:rPr>
          <w:rFonts w:ascii="Arial" w:cs="Arial" w:eastAsia="Arial" w:hAnsi="Arial"/>
          <w:sz w:val="13"/>
          <w:szCs w:val="13"/>
          <w:color w:val="auto"/>
        </w:rPr>
        <w:t>I will keep complete and current written records of all Inventions I Make during the period of time I am employed by Honeywell and promptly disclose all such Inventions in writing to</w:t>
      </w:r>
      <w:r>
        <w:rPr>
          <w:rFonts w:ascii="Arial" w:cs="Arial" w:eastAsia="Arial" w:hAnsi="Arial"/>
          <w:sz w:val="13"/>
          <w:szCs w:val="13"/>
          <w:b w:val="1"/>
          <w:bCs w:val="1"/>
          <w:color w:val="auto"/>
        </w:rPr>
        <w:t xml:space="preserve"> </w:t>
      </w:r>
      <w:r>
        <w:rPr>
          <w:rFonts w:ascii="Arial" w:cs="Arial" w:eastAsia="Arial" w:hAnsi="Arial"/>
          <w:sz w:val="13"/>
          <w:szCs w:val="13"/>
          <w:color w:val="auto"/>
        </w:rPr>
        <w:t>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15" w:lineRule="exact"/>
        <w:rPr>
          <w:rFonts w:ascii="Arial" w:cs="Arial" w:eastAsia="Arial" w:hAnsi="Arial"/>
          <w:sz w:val="12"/>
          <w:szCs w:val="12"/>
          <w:color w:val="auto"/>
        </w:rPr>
      </w:pPr>
    </w:p>
    <w:p>
      <w:pPr>
        <w:jc w:val="both"/>
        <w:ind w:left="328" w:hanging="328"/>
        <w:spacing w:after="0" w:line="252" w:lineRule="auto"/>
        <w:tabs>
          <w:tab w:leader="none" w:pos="328" w:val="left"/>
        </w:tabs>
        <w:numPr>
          <w:ilvl w:val="0"/>
          <w:numId w:val="11"/>
        </w:numPr>
        <w:rPr>
          <w:rFonts w:ascii="Arial" w:cs="Arial" w:eastAsia="Arial" w:hAnsi="Arial"/>
          <w:sz w:val="12"/>
          <w:szCs w:val="12"/>
          <w:color w:val="auto"/>
        </w:rPr>
      </w:pPr>
      <w:r>
        <w:rPr>
          <w:rFonts w:ascii="Arial" w:cs="Arial" w:eastAsia="Arial" w:hAnsi="Arial"/>
          <w:sz w:val="13"/>
          <w:szCs w:val="13"/>
          <w:b w:val="1"/>
          <w:bCs w:val="1"/>
          <w:color w:val="auto"/>
        </w:rPr>
        <w:t xml:space="preserve">Disclosure of Inventions after Termination. </w:t>
      </w:r>
      <w:r>
        <w:rPr>
          <w:rFonts w:ascii="Arial" w:cs="Arial" w:eastAsia="Arial" w:hAnsi="Arial"/>
          <w:sz w:val="13"/>
          <w:szCs w:val="13"/>
          <w:color w:val="auto"/>
        </w:rPr>
        <w:t>I will promptly and completely disclose in writing to Honeywell’s Law Department all Inventions which I Make during the one year immediately following the end</w:t>
      </w:r>
      <w:r>
        <w:rPr>
          <w:rFonts w:ascii="Arial" w:cs="Arial" w:eastAsia="Arial" w:hAnsi="Arial"/>
          <w:sz w:val="13"/>
          <w:szCs w:val="13"/>
          <w:b w:val="1"/>
          <w:bCs w:val="1"/>
          <w:color w:val="auto"/>
        </w:rPr>
        <w:t xml:space="preserve"> </w:t>
      </w:r>
      <w:r>
        <w:rPr>
          <w:rFonts w:ascii="Arial" w:cs="Arial" w:eastAsia="Arial" w:hAnsi="Arial"/>
          <w:sz w:val="13"/>
          <w:szCs w:val="13"/>
          <w:color w:val="auto"/>
        </w:rPr>
        <w:t>of my employment by Honeywell which relate either to my work assignment at Honeywell or to Honeywell’s Trade Secrets, Proprietary and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the Invention is presumed to have been Made during the period of time I was employed by Honeywell. I acknowledge that the conditions of this paragraph are no greater than is necessary for protecting Honeywell’s interests in Honeywell’s Trade Secrets, Proprietary and Confidential Information and in Inventions to which it is rightfully entitled.</w:t>
      </w:r>
    </w:p>
    <w:p>
      <w:pPr>
        <w:spacing w:after="0" w:line="121" w:lineRule="exact"/>
        <w:rPr>
          <w:rFonts w:ascii="Arial" w:cs="Arial" w:eastAsia="Arial" w:hAnsi="Arial"/>
          <w:sz w:val="12"/>
          <w:szCs w:val="12"/>
          <w:color w:val="auto"/>
        </w:rPr>
      </w:pPr>
    </w:p>
    <w:p>
      <w:pPr>
        <w:jc w:val="both"/>
        <w:ind w:left="328" w:hanging="328"/>
        <w:spacing w:after="0" w:line="252" w:lineRule="auto"/>
        <w:tabs>
          <w:tab w:leader="none" w:pos="328" w:val="left"/>
        </w:tabs>
        <w:numPr>
          <w:ilvl w:val="0"/>
          <w:numId w:val="11"/>
        </w:numPr>
        <w:rPr>
          <w:rFonts w:ascii="Arial" w:cs="Arial" w:eastAsia="Arial" w:hAnsi="Arial"/>
          <w:sz w:val="12"/>
          <w:szCs w:val="12"/>
          <w:color w:val="auto"/>
        </w:rPr>
      </w:pPr>
      <w:r>
        <w:rPr>
          <w:rFonts w:ascii="Arial" w:cs="Arial" w:eastAsia="Arial" w:hAnsi="Arial"/>
          <w:sz w:val="13"/>
          <w:szCs w:val="13"/>
          <w:b w:val="1"/>
          <w:bCs w:val="1"/>
          <w:color w:val="auto"/>
        </w:rPr>
        <w:t xml:space="preserve">Ownership of Inventions. </w:t>
      </w:r>
      <w:r>
        <w:rPr>
          <w:rFonts w:ascii="Arial" w:cs="Arial" w:eastAsia="Arial" w:hAnsi="Arial"/>
          <w:sz w:val="13"/>
          <w:szCs w:val="13"/>
          <w:color w:val="auto"/>
        </w:rPr>
        <w:t>Each and every Invention I Make during the period of time I am employed by Honeywell (a) which relates directly to the business of Honeywell or to Honeywell’s actual or</w:t>
      </w:r>
      <w:r>
        <w:rPr>
          <w:rFonts w:ascii="Arial" w:cs="Arial" w:eastAsia="Arial" w:hAnsi="Arial"/>
          <w:sz w:val="13"/>
          <w:szCs w:val="13"/>
          <w:b w:val="1"/>
          <w:bCs w:val="1"/>
          <w:color w:val="auto"/>
        </w:rPr>
        <w:t xml:space="preserve"> </w:t>
      </w:r>
      <w:r>
        <w:rPr>
          <w:rFonts w:ascii="Arial" w:cs="Arial" w:eastAsia="Arial" w:hAnsi="Arial"/>
          <w:sz w:val="13"/>
          <w:szCs w:val="13"/>
          <w:color w:val="auto"/>
        </w:rPr>
        <w:t>demonstrably anticipated research or development, or (b) which results from any work I perform for Honeywell is the sole and exclusive property of Honeywell, and I agree to assign and hereby assign my entire right, title and interest in each such Invention to Honeywell. Each Invention I Make during the period of time I am employed by Honeywell for which no equipment, supplies, facilities or Honeywell Trade Secrets, Proprietary or Confidential Information was used and which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21" w:lineRule="exact"/>
        <w:rPr>
          <w:rFonts w:ascii="Arial" w:cs="Arial" w:eastAsia="Arial" w:hAnsi="Arial"/>
          <w:sz w:val="12"/>
          <w:szCs w:val="12"/>
          <w:color w:val="auto"/>
        </w:rPr>
      </w:pPr>
    </w:p>
    <w:p>
      <w:pPr>
        <w:jc w:val="both"/>
        <w:ind w:left="328" w:hanging="328"/>
        <w:spacing w:after="0" w:line="252" w:lineRule="auto"/>
        <w:tabs>
          <w:tab w:leader="none" w:pos="328" w:val="left"/>
        </w:tabs>
        <w:numPr>
          <w:ilvl w:val="0"/>
          <w:numId w:val="11"/>
        </w:numPr>
        <w:rPr>
          <w:rFonts w:ascii="Arial" w:cs="Arial" w:eastAsia="Arial" w:hAnsi="Arial"/>
          <w:sz w:val="12"/>
          <w:szCs w:val="12"/>
          <w:color w:val="auto"/>
        </w:rPr>
      </w:pPr>
      <w:r>
        <w:rPr>
          <w:rFonts w:ascii="Arial" w:cs="Arial" w:eastAsia="Arial" w:hAnsi="Arial"/>
          <w:sz w:val="13"/>
          <w:szCs w:val="13"/>
          <w:b w:val="1"/>
          <w:bCs w:val="1"/>
          <w:color w:val="auto"/>
        </w:rPr>
        <w:t xml:space="preserve">Cooperation with Honeywell. </w:t>
      </w:r>
      <w:r>
        <w:rPr>
          <w:rFonts w:ascii="Arial" w:cs="Arial" w:eastAsia="Arial" w:hAnsi="Arial"/>
          <w:sz w:val="13"/>
          <w:szCs w:val="13"/>
          <w:color w:val="auto"/>
        </w:rPr>
        <w:t>I will assist and fully cooperate with Honeywell in obtaining, maintaining, and asserting the fullest measure of legal protection, which Honeywell elects to obtain, maintain or</w:t>
      </w:r>
      <w:r>
        <w:rPr>
          <w:rFonts w:ascii="Arial" w:cs="Arial" w:eastAsia="Arial" w:hAnsi="Arial"/>
          <w:sz w:val="13"/>
          <w:szCs w:val="13"/>
          <w:b w:val="1"/>
          <w:bCs w:val="1"/>
          <w:color w:val="auto"/>
        </w:rPr>
        <w:t xml:space="preserve"> </w:t>
      </w:r>
      <w:r>
        <w:rPr>
          <w:rFonts w:ascii="Arial" w:cs="Arial" w:eastAsia="Arial" w:hAnsi="Arial"/>
          <w:sz w:val="13"/>
          <w:szCs w:val="13"/>
          <w:color w:val="auto"/>
        </w:rPr>
        <w:t>assert for Inventions in which it has a property right. I will also assist and fully cooperate with Honeywell in defending Honeywell against claims of violation of the intellectual property rights of others. I will be paid my reasonable expenses in assisting, and cooperating with, Honeywell. I will execute any lawful document Honeywell requests me to execute relating to obtaining, maintaining, or asserting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 depositions and testimony. In the event that Honeywell is unable, after reasonable effort, to secure my signature on any document or documents needed to apply for or prosecute any patent, copyright, or other</w:t>
      </w:r>
    </w:p>
    <w:p>
      <w:pPr>
        <w:sectPr>
          <w:pgSz w:w="11900" w:h="16838" w:orient="portrait"/>
          <w:cols w:equalWidth="0" w:num="1">
            <w:col w:w="11488"/>
          </w:cols>
          <w:pgMar w:left="212" w:top="437" w:right="199" w:bottom="1440" w:gutter="0" w:footer="0" w:header="0"/>
        </w:sectPr>
      </w:pPr>
    </w:p>
    <w:bookmarkStart w:id="47" w:name="page48"/>
    <w:bookmarkEnd w:id="47"/>
    <w:p>
      <w:pPr>
        <w:jc w:val="both"/>
        <w:ind w:left="328"/>
        <w:spacing w:after="0" w:line="287" w:lineRule="auto"/>
        <w:rPr>
          <w:sz w:val="20"/>
          <w:szCs w:val="20"/>
          <w:color w:val="auto"/>
        </w:rPr>
      </w:pPr>
      <w:r>
        <w:rPr>
          <w:rFonts w:ascii="Arial" w:cs="Arial" w:eastAsia="Arial" w:hAnsi="Arial"/>
          <w:sz w:val="13"/>
          <w:szCs w:val="13"/>
          <w:color w:val="auto"/>
        </w:rPr>
        <w:t>right or protection relating to an Invention, for any other reason whatsoever, I hereby irrevocably designate and appoint Honeywell and its duly authorized officers and agents as my agent and attorney-in-fact, to act for and on my behalf to execute and file any such application or applications, and to do all other lawfully-permitted acts to further the prosecution and issuance of patents, copyrights, or similar protections thereon with the same legal force and effect as if executed by me.</w:t>
      </w:r>
    </w:p>
    <w:p>
      <w:pPr>
        <w:spacing w:after="0" w:line="108" w:lineRule="exact"/>
        <w:rPr>
          <w:sz w:val="20"/>
          <w:szCs w:val="20"/>
          <w:color w:val="auto"/>
        </w:rPr>
      </w:pPr>
    </w:p>
    <w:p>
      <w:pPr>
        <w:jc w:val="both"/>
        <w:ind w:left="328" w:hanging="328"/>
        <w:spacing w:after="0" w:line="253" w:lineRule="auto"/>
        <w:tabs>
          <w:tab w:leader="none" w:pos="328" w:val="left"/>
        </w:tabs>
        <w:numPr>
          <w:ilvl w:val="0"/>
          <w:numId w:val="12"/>
        </w:numPr>
        <w:rPr>
          <w:rFonts w:ascii="Arial" w:cs="Arial" w:eastAsia="Arial" w:hAnsi="Arial"/>
          <w:sz w:val="12"/>
          <w:szCs w:val="12"/>
          <w:color w:val="auto"/>
        </w:rPr>
      </w:pPr>
      <w:r>
        <w:rPr>
          <w:rFonts w:ascii="Arial" w:cs="Arial" w:eastAsia="Arial" w:hAnsi="Arial"/>
          <w:sz w:val="13"/>
          <w:szCs w:val="13"/>
          <w:b w:val="1"/>
          <w:bCs w:val="1"/>
          <w:color w:val="auto"/>
        </w:rPr>
        <w:t xml:space="preserve">Pre-employment Inventions. </w:t>
      </w:r>
      <w:r>
        <w:rPr>
          <w:rFonts w:ascii="Arial" w:cs="Arial" w:eastAsia="Arial" w:hAnsi="Arial"/>
          <w:sz w:val="13"/>
          <w:szCs w:val="13"/>
          <w:color w:val="auto"/>
        </w:rPr>
        <w:t>On Schedule A, which is an integral part of this agreement, I have completely identified (without disclosing any trade secret, proprietary or other confidential information) every</w:t>
      </w:r>
      <w:r>
        <w:rPr>
          <w:rFonts w:ascii="Arial" w:cs="Arial" w:eastAsia="Arial" w:hAnsi="Arial"/>
          <w:sz w:val="13"/>
          <w:szCs w:val="13"/>
          <w:b w:val="1"/>
          <w:bCs w:val="1"/>
          <w:color w:val="auto"/>
        </w:rPr>
        <w:t xml:space="preserve"> </w:t>
      </w:r>
      <w:r>
        <w:rPr>
          <w:rFonts w:ascii="Arial" w:cs="Arial" w:eastAsia="Arial" w:hAnsi="Arial"/>
          <w:sz w:val="13"/>
          <w:szCs w:val="13"/>
          <w:color w:val="auto"/>
        </w:rPr>
        <w:t>Invention I Made before my employment by Honeywell in which I have an ownership interest and which is not the subject matter of an issued patent or a printed publication at the time I sign this agreement. If I become aware of any projected or actual use of any such Invention by Honeywell, I will promptly notify Honeywell in writing of said use. Except as to the Inventions listed on Schedule A or those which are the subject matter of an issued patent or a printed publication at the time I sign this agreement, I will not assert any rights against Honeywell with respect to any Invention Made before my employment by Honeywell.</w:t>
      </w:r>
    </w:p>
    <w:p>
      <w:pPr>
        <w:spacing w:after="0" w:line="121" w:lineRule="exact"/>
        <w:rPr>
          <w:rFonts w:ascii="Arial" w:cs="Arial" w:eastAsia="Arial" w:hAnsi="Arial"/>
          <w:sz w:val="12"/>
          <w:szCs w:val="12"/>
          <w:color w:val="auto"/>
        </w:rPr>
      </w:pPr>
    </w:p>
    <w:p>
      <w:pPr>
        <w:jc w:val="both"/>
        <w:ind w:left="328" w:hanging="328"/>
        <w:spacing w:after="0" w:line="270" w:lineRule="auto"/>
        <w:tabs>
          <w:tab w:leader="none" w:pos="328" w:val="left"/>
        </w:tabs>
        <w:numPr>
          <w:ilvl w:val="0"/>
          <w:numId w:val="12"/>
        </w:numPr>
        <w:rPr>
          <w:rFonts w:ascii="Arial" w:cs="Arial" w:eastAsia="Arial" w:hAnsi="Arial"/>
          <w:sz w:val="11"/>
          <w:szCs w:val="11"/>
          <w:color w:val="auto"/>
        </w:rPr>
      </w:pPr>
      <w:r>
        <w:rPr>
          <w:rFonts w:ascii="Arial" w:cs="Arial" w:eastAsia="Arial" w:hAnsi="Arial"/>
          <w:sz w:val="12"/>
          <w:szCs w:val="12"/>
          <w:b w:val="1"/>
          <w:bCs w:val="1"/>
          <w:color w:val="auto"/>
        </w:rPr>
        <w:t xml:space="preserve">Honeywell’s Trade Secrets, Proprietary and Confidential Information. </w:t>
      </w:r>
      <w:r>
        <w:rPr>
          <w:rFonts w:ascii="Arial" w:cs="Arial" w:eastAsia="Arial" w:hAnsi="Arial"/>
          <w:sz w:val="12"/>
          <w:szCs w:val="12"/>
          <w:color w:val="auto"/>
        </w:rPr>
        <w:t>I will never, directly or indirectly, during or after my employment with Honeywell misappropriate, use or disclose Honeywell’s Trade</w:t>
      </w:r>
      <w:r>
        <w:rPr>
          <w:rFonts w:ascii="Arial" w:cs="Arial" w:eastAsia="Arial" w:hAnsi="Arial"/>
          <w:sz w:val="12"/>
          <w:szCs w:val="12"/>
          <w:b w:val="1"/>
          <w:bCs w:val="1"/>
          <w:color w:val="auto"/>
        </w:rPr>
        <w:t xml:space="preserve"> </w:t>
      </w:r>
      <w:r>
        <w:rPr>
          <w:rFonts w:ascii="Arial" w:cs="Arial" w:eastAsia="Arial" w:hAnsi="Arial"/>
          <w:sz w:val="12"/>
          <w:szCs w:val="12"/>
          <w:color w:val="auto"/>
        </w:rPr>
        <w:t>Secrets, Proprietary and Confidential Information except in furthering Honeywell’s business nor will I disclose or disseminate at any time Honeywell’s Trade Secrets, Proprietary and Confidential Information to anyone who is not an officer, director, employee, attorney or authorized agent of Honeywell without the prior written consent of Honeywell’s Law Department unless the specific item of Honeywell’s Trade Secrets, Proprietary and Confidential Information: (a) is now in, or hereafter, (through no breach of this agreement) becomes general public knowledge, or (b) prior to my disclosure, dissemination or use, was lawfully acquired by me without any obligation to retain the information in confidence. In this connection, I will not publish any of Honeywell’s Trade Secrets, Proprietary and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Trade Secrets, Proprietary and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years following my Termination of Employment for any reason, in any activity or employment in the faithful performance of which it could be reasonably anticipated that I would use or disclose Honeywell’s Trade Secrets, Proprietary and Confidential Information. All documents and tangible things embodying or containing Honeywell’s Trade Secrets, Proprietary and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Trade Secrets, Proprietary and Confidential Information in my possession, custody or control to Honeywell before leaving the employment of Honeywell.</w:t>
      </w:r>
    </w:p>
    <w:p>
      <w:pPr>
        <w:spacing w:after="0" w:line="120" w:lineRule="exact"/>
        <w:rPr>
          <w:rFonts w:ascii="Arial" w:cs="Arial" w:eastAsia="Arial" w:hAnsi="Arial"/>
          <w:sz w:val="11"/>
          <w:szCs w:val="11"/>
          <w:color w:val="auto"/>
        </w:rPr>
      </w:pPr>
    </w:p>
    <w:p>
      <w:pPr>
        <w:ind w:left="328"/>
        <w:spacing w:after="0" w:line="271" w:lineRule="auto"/>
        <w:rPr>
          <w:rFonts w:ascii="Arial" w:cs="Arial" w:eastAsia="Arial" w:hAnsi="Arial"/>
          <w:sz w:val="11"/>
          <w:szCs w:val="11"/>
          <w:color w:val="auto"/>
        </w:rPr>
      </w:pPr>
      <w:r>
        <w:rPr>
          <w:rFonts w:ascii="Arial" w:cs="Arial" w:eastAsia="Arial" w:hAnsi="Arial"/>
          <w:sz w:val="13"/>
          <w:szCs w:val="13"/>
          <w:color w:val="auto"/>
        </w:rPr>
        <w:t>I understand that I have the right to use or practice any skill or expertise generally associated with my employment but not special or unique to Honeywell, but that I do not have the right to use, practice or disclose Honeywell’s Trade Secrets, Proprietary and Confidential Information for my own benefit or for the benefit of any third party.</w:t>
      </w:r>
    </w:p>
    <w:p>
      <w:pPr>
        <w:spacing w:after="0" w:line="112" w:lineRule="exact"/>
        <w:rPr>
          <w:rFonts w:ascii="Arial" w:cs="Arial" w:eastAsia="Arial" w:hAnsi="Arial"/>
          <w:sz w:val="11"/>
          <w:szCs w:val="11"/>
          <w:color w:val="auto"/>
        </w:rPr>
      </w:pPr>
    </w:p>
    <w:p>
      <w:pPr>
        <w:jc w:val="both"/>
        <w:ind w:left="328"/>
        <w:spacing w:after="0" w:line="290" w:lineRule="auto"/>
        <w:rPr>
          <w:rFonts w:ascii="Arial" w:cs="Arial" w:eastAsia="Arial" w:hAnsi="Arial"/>
          <w:sz w:val="11"/>
          <w:szCs w:val="11"/>
          <w:color w:val="auto"/>
        </w:rPr>
      </w:pPr>
      <w:r>
        <w:rPr>
          <w:rFonts w:ascii="Arial" w:cs="Arial" w:eastAsia="Arial" w:hAnsi="Arial"/>
          <w:sz w:val="12"/>
          <w:szCs w:val="12"/>
          <w:color w:val="auto"/>
        </w:rPr>
        <w:t>I understand that I may not be held criminally or civilly liable under any federal or state trade secret law for the disclosure of a trade secret that is made (a) in confidence to a federal, state or local government official, either directly or indirectly, or to an attorney if such disclosure is made solely for the purpose of reporting or investigating a suspected violation of law or for pursuing an anti-retaliation lawsuit; or (b) in a complaint or other document filed in a lawsuit or other proceeding, if such filing is made under seal and I do not disclose the trade secret except pursuant to a court order.</w:t>
      </w:r>
    </w:p>
    <w:p>
      <w:pPr>
        <w:spacing w:after="0" w:line="99" w:lineRule="exact"/>
        <w:rPr>
          <w:rFonts w:ascii="Arial" w:cs="Arial" w:eastAsia="Arial" w:hAnsi="Arial"/>
          <w:sz w:val="11"/>
          <w:szCs w:val="11"/>
          <w:color w:val="auto"/>
        </w:rPr>
      </w:pPr>
    </w:p>
    <w:p>
      <w:pPr>
        <w:ind w:left="328" w:hanging="328"/>
        <w:spacing w:after="0" w:line="278" w:lineRule="auto"/>
        <w:tabs>
          <w:tab w:leader="none" w:pos="328" w:val="left"/>
        </w:tabs>
        <w:numPr>
          <w:ilvl w:val="0"/>
          <w:numId w:val="12"/>
        </w:numPr>
        <w:rPr>
          <w:rFonts w:ascii="Arial" w:cs="Arial" w:eastAsia="Arial" w:hAnsi="Arial"/>
          <w:sz w:val="12"/>
          <w:szCs w:val="12"/>
          <w:color w:val="auto"/>
        </w:rPr>
      </w:pPr>
      <w:r>
        <w:rPr>
          <w:rFonts w:ascii="Arial" w:cs="Arial" w:eastAsia="Arial" w:hAnsi="Arial"/>
          <w:sz w:val="13"/>
          <w:szCs w:val="13"/>
          <w:b w:val="1"/>
          <w:bCs w:val="1"/>
          <w:color w:val="auto"/>
        </w:rPr>
        <w:t xml:space="preserve">Trade Secrets, Proprietary or Confidential Information from Previous Employment. </w:t>
      </w:r>
      <w:r>
        <w:rPr>
          <w:rFonts w:ascii="Arial" w:cs="Arial" w:eastAsia="Arial" w:hAnsi="Arial"/>
          <w:sz w:val="13"/>
          <w:szCs w:val="13"/>
          <w:color w:val="auto"/>
        </w:rPr>
        <w:t>I certify that I have not, and will not, disclose or use during my employment by Honeywell, any trade secrets,</w:t>
      </w:r>
      <w:r>
        <w:rPr>
          <w:rFonts w:ascii="Arial" w:cs="Arial" w:eastAsia="Arial" w:hAnsi="Arial"/>
          <w:sz w:val="13"/>
          <w:szCs w:val="13"/>
          <w:b w:val="1"/>
          <w:bCs w:val="1"/>
          <w:color w:val="auto"/>
        </w:rPr>
        <w:t xml:space="preserve"> </w:t>
      </w:r>
      <w:r>
        <w:rPr>
          <w:rFonts w:ascii="Arial" w:cs="Arial" w:eastAsia="Arial" w:hAnsi="Arial"/>
          <w:sz w:val="13"/>
          <w:szCs w:val="13"/>
          <w:color w:val="auto"/>
        </w:rPr>
        <w:t>proprietary or</w:t>
      </w:r>
    </w:p>
    <w:p>
      <w:pPr>
        <w:sectPr>
          <w:pgSz w:w="11900" w:h="16838" w:orient="portrait"/>
          <w:cols w:equalWidth="0" w:num="1">
            <w:col w:w="11488"/>
          </w:cols>
          <w:pgMar w:left="212" w:top="444" w:right="199" w:bottom="1440" w:gutter="0" w:footer="0" w:header="0"/>
        </w:sectPr>
      </w:pPr>
    </w:p>
    <w:bookmarkStart w:id="48" w:name="page49"/>
    <w:bookmarkEnd w:id="48"/>
    <w:p>
      <w:pPr>
        <w:jc w:val="both"/>
        <w:ind w:left="328"/>
        <w:spacing w:after="0" w:line="279" w:lineRule="auto"/>
        <w:rPr>
          <w:sz w:val="20"/>
          <w:szCs w:val="20"/>
          <w:color w:val="auto"/>
        </w:rPr>
      </w:pPr>
      <w:r>
        <w:rPr>
          <w:rFonts w:ascii="Arial" w:cs="Arial" w:eastAsia="Arial" w:hAnsi="Arial"/>
          <w:sz w:val="13"/>
          <w:szCs w:val="13"/>
          <w:color w:val="auto"/>
        </w:rPr>
        <w:t>confidential information which I acquired as a result of any previous employment or under a contractual obligation of confidentiality before my employment by Honeywell. I understand that Honeywell has no interest in and will not accept disclosure by me of any trade secrets, proprietary or confidential information, which belongs to a third party. If I am ever placed in a position where I will be required or am given an assignment that will require me to use, directly or indirectly, any trade secrets, proprietary or confidential information of any person, previous employer or any third party, I will promptly inform Honeywell’s Law Department and my supervisor before I undertake any activity that would involve the use or disclosure of such information or present the appearance to any such third party that I have used or disclosed such information. If I fail to do so, Honeywell may elect not to indemnify me in the event of litigation and may take such other actions, as it deems appropriate, up to and including termination of my employment.</w:t>
      </w:r>
    </w:p>
    <w:p>
      <w:pPr>
        <w:spacing w:after="0" w:line="115" w:lineRule="exact"/>
        <w:rPr>
          <w:sz w:val="20"/>
          <w:szCs w:val="20"/>
          <w:color w:val="auto"/>
        </w:rPr>
      </w:pPr>
    </w:p>
    <w:p>
      <w:pPr>
        <w:ind w:left="328" w:right="20" w:hanging="328"/>
        <w:spacing w:after="0" w:line="278" w:lineRule="auto"/>
        <w:tabs>
          <w:tab w:leader="none" w:pos="328" w:val="left"/>
        </w:tabs>
        <w:numPr>
          <w:ilvl w:val="0"/>
          <w:numId w:val="13"/>
        </w:numPr>
        <w:rPr>
          <w:rFonts w:ascii="Arial" w:cs="Arial" w:eastAsia="Arial" w:hAnsi="Arial"/>
          <w:sz w:val="12"/>
          <w:szCs w:val="12"/>
          <w:color w:val="auto"/>
        </w:rPr>
      </w:pPr>
      <w:r>
        <w:rPr>
          <w:rFonts w:ascii="Arial" w:cs="Arial" w:eastAsia="Arial" w:hAnsi="Arial"/>
          <w:sz w:val="13"/>
          <w:szCs w:val="13"/>
          <w:b w:val="1"/>
          <w:bCs w:val="1"/>
          <w:color w:val="auto"/>
        </w:rPr>
        <w:t xml:space="preserve">Prior Restrictive Obligation. </w:t>
      </w:r>
      <w:r>
        <w:rPr>
          <w:rFonts w:ascii="Arial" w:cs="Arial" w:eastAsia="Arial" w:hAnsi="Arial"/>
          <w:sz w:val="13"/>
          <w:szCs w:val="13"/>
          <w:color w:val="auto"/>
        </w:rPr>
        <w:t>On Schedule B, which is an integral part of this agreement, I have completely identified all prior obligations (written and oral), which restrict my ability to perform the duties of</w:t>
      </w:r>
      <w:r>
        <w:rPr>
          <w:rFonts w:ascii="Arial" w:cs="Arial" w:eastAsia="Arial" w:hAnsi="Arial"/>
          <w:sz w:val="13"/>
          <w:szCs w:val="13"/>
          <w:b w:val="1"/>
          <w:bCs w:val="1"/>
          <w:color w:val="auto"/>
        </w:rPr>
        <w:t xml:space="preserve"> </w:t>
      </w:r>
      <w:r>
        <w:rPr>
          <w:rFonts w:ascii="Arial" w:cs="Arial" w:eastAsia="Arial" w:hAnsi="Arial"/>
          <w:sz w:val="13"/>
          <w:szCs w:val="13"/>
          <w:color w:val="auto"/>
        </w:rPr>
        <w:t>my employment by Honeywell, including all confidentiality agreements and covenants restricting future employment.</w:t>
      </w:r>
    </w:p>
    <w:p>
      <w:pPr>
        <w:spacing w:after="0" w:line="104" w:lineRule="exact"/>
        <w:rPr>
          <w:rFonts w:ascii="Arial" w:cs="Arial" w:eastAsia="Arial" w:hAnsi="Arial"/>
          <w:sz w:val="12"/>
          <w:szCs w:val="12"/>
          <w:color w:val="auto"/>
        </w:rPr>
      </w:pPr>
    </w:p>
    <w:p>
      <w:pPr>
        <w:jc w:val="both"/>
        <w:ind w:left="328" w:hanging="328"/>
        <w:spacing w:after="0" w:line="277" w:lineRule="auto"/>
        <w:tabs>
          <w:tab w:leader="none" w:pos="328" w:val="left"/>
        </w:tabs>
        <w:numPr>
          <w:ilvl w:val="0"/>
          <w:numId w:val="13"/>
        </w:numPr>
        <w:rPr>
          <w:rFonts w:ascii="Arial" w:cs="Arial" w:eastAsia="Arial" w:hAnsi="Arial"/>
          <w:sz w:val="11"/>
          <w:szCs w:val="11"/>
          <w:color w:val="auto"/>
        </w:rPr>
      </w:pPr>
      <w:r>
        <w:rPr>
          <w:rFonts w:ascii="Arial" w:cs="Arial" w:eastAsia="Arial" w:hAnsi="Arial"/>
          <w:sz w:val="12"/>
          <w:szCs w:val="12"/>
          <w:b w:val="1"/>
          <w:bCs w:val="1"/>
          <w:color w:val="auto"/>
        </w:rPr>
        <w:t xml:space="preserve">Nonsolicitation of Honeywell Employees. </w:t>
      </w:r>
      <w:r>
        <w:rPr>
          <w:rFonts w:ascii="Arial" w:cs="Arial" w:eastAsia="Arial" w:hAnsi="Arial"/>
          <w:sz w:val="12"/>
          <w:szCs w:val="12"/>
          <w:color w:val="auto"/>
        </w:rPr>
        <w:t>I acknowledge that Honeywell has invested, and will continue to invest, significant time and money to recruit and retain its employees. Therefore, recognizing that in</w:t>
      </w:r>
      <w:r>
        <w:rPr>
          <w:rFonts w:ascii="Arial" w:cs="Arial" w:eastAsia="Arial" w:hAnsi="Arial"/>
          <w:sz w:val="12"/>
          <w:szCs w:val="12"/>
          <w:b w:val="1"/>
          <w:bCs w:val="1"/>
          <w:color w:val="auto"/>
        </w:rPr>
        <w:t xml:space="preserve"> </w:t>
      </w:r>
      <w:r>
        <w:rPr>
          <w:rFonts w:ascii="Arial" w:cs="Arial" w:eastAsia="Arial" w:hAnsi="Arial"/>
          <w:sz w:val="12"/>
          <w:szCs w:val="12"/>
          <w:color w:val="auto"/>
        </w:rPr>
        <w:t>the course of my employment I have obtained valuable information about Honeywell employees, their respective talents and areas of expertise, I agree that, during my employment and for a period of two (2)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07" w:lineRule="exact"/>
        <w:rPr>
          <w:rFonts w:ascii="Arial" w:cs="Arial" w:eastAsia="Arial" w:hAnsi="Arial"/>
          <w:sz w:val="11"/>
          <w:szCs w:val="11"/>
          <w:color w:val="auto"/>
        </w:rPr>
      </w:pPr>
    </w:p>
    <w:p>
      <w:pPr>
        <w:jc w:val="both"/>
        <w:ind w:left="328" w:hanging="328"/>
        <w:spacing w:after="0" w:line="249" w:lineRule="auto"/>
        <w:tabs>
          <w:tab w:leader="none" w:pos="328" w:val="left"/>
        </w:tabs>
        <w:numPr>
          <w:ilvl w:val="0"/>
          <w:numId w:val="13"/>
        </w:numPr>
        <w:rPr>
          <w:rFonts w:ascii="Arial" w:cs="Arial" w:eastAsia="Arial" w:hAnsi="Arial"/>
          <w:sz w:val="12"/>
          <w:szCs w:val="12"/>
          <w:color w:val="auto"/>
        </w:rPr>
      </w:pPr>
      <w:r>
        <w:rPr>
          <w:rFonts w:ascii="Arial" w:cs="Arial" w:eastAsia="Arial" w:hAnsi="Arial"/>
          <w:sz w:val="13"/>
          <w:szCs w:val="13"/>
          <w:b w:val="1"/>
          <w:bCs w:val="1"/>
          <w:color w:val="auto"/>
        </w:rPr>
        <w:t xml:space="preserve">Nonsolicitation of Honeywell Customers, Suppliers, Business Partners and Vendors. </w:t>
      </w:r>
      <w:r>
        <w:rPr>
          <w:rFonts w:ascii="Arial" w:cs="Arial" w:eastAsia="Arial" w:hAnsi="Arial"/>
          <w:sz w:val="13"/>
          <w:szCs w:val="13"/>
          <w:color w:val="auto"/>
        </w:rPr>
        <w:t>I acknowledge that Honeywell has invested and will continue to invest significant time and money to develop valuable,</w:t>
      </w:r>
      <w:r>
        <w:rPr>
          <w:rFonts w:ascii="Arial" w:cs="Arial" w:eastAsia="Arial" w:hAnsi="Arial"/>
          <w:sz w:val="13"/>
          <w:szCs w:val="13"/>
          <w:b w:val="1"/>
          <w:bCs w:val="1"/>
          <w:color w:val="auto"/>
        </w:rPr>
        <w:t xml:space="preserve"> </w:t>
      </w:r>
      <w:r>
        <w:rPr>
          <w:rFonts w:ascii="Arial" w:cs="Arial" w:eastAsia="Arial" w:hAnsi="Arial"/>
          <w:sz w:val="13"/>
          <w:szCs w:val="13"/>
          <w:color w:val="auto"/>
        </w:rPr>
        <w:t>continuing relationships with existing and prospective clients and customers of Honeywell. Therefore, recognizing that in the course of my employment I have obtained valuable information about Honeywell customers, suppliers, business partners, and/or vendors, and their requirements, I agree that during my employment and for a period of two (2)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two-year period prior to my Termination of Employment, or (ii) any prospective clients, customers, suppliers, business partners, and/or vendors of Honeywell with whom I had contact and with whom Honeywell took significant steps to do business during the two-year period prior to my Termination of Employment, for the purpose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126" w:lineRule="exact"/>
        <w:rPr>
          <w:rFonts w:ascii="Arial" w:cs="Arial" w:eastAsia="Arial" w:hAnsi="Arial"/>
          <w:sz w:val="12"/>
          <w:szCs w:val="12"/>
          <w:color w:val="auto"/>
        </w:rPr>
      </w:pPr>
    </w:p>
    <w:p>
      <w:pPr>
        <w:ind w:left="328" w:hanging="328"/>
        <w:spacing w:after="0" w:line="321" w:lineRule="auto"/>
        <w:tabs>
          <w:tab w:leader="none" w:pos="328" w:val="left"/>
        </w:tabs>
        <w:numPr>
          <w:ilvl w:val="0"/>
          <w:numId w:val="13"/>
        </w:numPr>
        <w:rPr>
          <w:rFonts w:ascii="Arial" w:cs="Arial" w:eastAsia="Arial" w:hAnsi="Arial"/>
          <w:sz w:val="11"/>
          <w:szCs w:val="11"/>
          <w:color w:val="auto"/>
        </w:rPr>
      </w:pPr>
      <w:r>
        <w:rPr>
          <w:rFonts w:ascii="Arial" w:cs="Arial" w:eastAsia="Arial" w:hAnsi="Arial"/>
          <w:sz w:val="12"/>
          <w:szCs w:val="12"/>
          <w:b w:val="1"/>
          <w:bCs w:val="1"/>
          <w:color w:val="auto"/>
        </w:rPr>
        <w:t xml:space="preserve">Notice to Future Employers. </w:t>
      </w:r>
      <w:r>
        <w:rPr>
          <w:rFonts w:ascii="Arial" w:cs="Arial" w:eastAsia="Arial" w:hAnsi="Arial"/>
          <w:sz w:val="12"/>
          <w:szCs w:val="12"/>
          <w:color w:val="auto"/>
        </w:rPr>
        <w:t>For the period of two (2) years immediately following the end of my employment by Honeywell, I will inform each new employer, prior to accepting employment, of the existence</w:t>
      </w:r>
      <w:r>
        <w:rPr>
          <w:rFonts w:ascii="Arial" w:cs="Arial" w:eastAsia="Arial" w:hAnsi="Arial"/>
          <w:sz w:val="12"/>
          <w:szCs w:val="12"/>
          <w:b w:val="1"/>
          <w:bCs w:val="1"/>
          <w:color w:val="auto"/>
        </w:rPr>
        <w:t xml:space="preserve"> </w:t>
      </w:r>
      <w:r>
        <w:rPr>
          <w:rFonts w:ascii="Arial" w:cs="Arial" w:eastAsia="Arial" w:hAnsi="Arial"/>
          <w:sz w:val="12"/>
          <w:szCs w:val="12"/>
          <w:color w:val="auto"/>
        </w:rPr>
        <w:t>of this agreement and provide that employer with a copy of it. Honeywell has the right to inform any future employer of the existence of this agreement and to provide any future employers with a copy of it.</w:t>
      </w:r>
    </w:p>
    <w:p>
      <w:pPr>
        <w:spacing w:after="0" w:line="81" w:lineRule="exact"/>
        <w:rPr>
          <w:rFonts w:ascii="Arial" w:cs="Arial" w:eastAsia="Arial" w:hAnsi="Arial"/>
          <w:sz w:val="11"/>
          <w:szCs w:val="11"/>
          <w:color w:val="auto"/>
        </w:rPr>
      </w:pPr>
    </w:p>
    <w:p>
      <w:pPr>
        <w:ind w:left="328" w:right="20" w:hanging="328"/>
        <w:spacing w:after="0" w:line="278" w:lineRule="auto"/>
        <w:tabs>
          <w:tab w:leader="none" w:pos="328" w:val="left"/>
        </w:tabs>
        <w:numPr>
          <w:ilvl w:val="0"/>
          <w:numId w:val="13"/>
        </w:numPr>
        <w:rPr>
          <w:rFonts w:ascii="Arial" w:cs="Arial" w:eastAsia="Arial" w:hAnsi="Arial"/>
          <w:sz w:val="12"/>
          <w:szCs w:val="12"/>
          <w:color w:val="auto"/>
        </w:rPr>
      </w:pPr>
      <w:r>
        <w:rPr>
          <w:rFonts w:ascii="Arial" w:cs="Arial" w:eastAsia="Arial" w:hAnsi="Arial"/>
          <w:sz w:val="13"/>
          <w:szCs w:val="13"/>
          <w:b w:val="1"/>
          <w:bCs w:val="1"/>
          <w:color w:val="auto"/>
        </w:rPr>
        <w:t xml:space="preserve">Copyright. </w:t>
      </w:r>
      <w:r>
        <w:rPr>
          <w:rFonts w:ascii="Arial" w:cs="Arial" w:eastAsia="Arial" w:hAnsi="Arial"/>
          <w:sz w:val="13"/>
          <w:szCs w:val="13"/>
          <w:color w:val="auto"/>
        </w:rPr>
        <w:t>As to all works prepared by me which are: (i) within the scope of my employment, or (ii) based upon information I acquired from Honeywell which is not normally made available to the public, or</w:t>
      </w:r>
      <w:r>
        <w:rPr>
          <w:rFonts w:ascii="Arial" w:cs="Arial" w:eastAsia="Arial" w:hAnsi="Arial"/>
          <w:sz w:val="13"/>
          <w:szCs w:val="13"/>
          <w:b w:val="1"/>
          <w:bCs w:val="1"/>
          <w:color w:val="auto"/>
        </w:rPr>
        <w:t xml:space="preserve"> </w:t>
      </w:r>
      <w:r>
        <w:rPr>
          <w:rFonts w:ascii="Arial" w:cs="Arial" w:eastAsia="Arial" w:hAnsi="Arial"/>
          <w:sz w:val="13"/>
          <w:szCs w:val="13"/>
          <w:color w:val="auto"/>
        </w:rPr>
        <w:t>(iii) commissioned by Honeywell, but not within my scope of employment, I hereby agree to:</w:t>
      </w:r>
    </w:p>
    <w:p>
      <w:pPr>
        <w:sectPr>
          <w:pgSz w:w="11900" w:h="16838" w:orient="portrait"/>
          <w:cols w:equalWidth="0" w:num="1">
            <w:col w:w="11488"/>
          </w:cols>
          <w:pgMar w:left="212" w:top="444" w:right="199" w:bottom="1440" w:gutter="0" w:footer="0" w:header="0"/>
        </w:sectPr>
      </w:pPr>
    </w:p>
    <w:bookmarkStart w:id="49" w:name="page50"/>
    <w:bookmarkEnd w:id="49"/>
    <w:p>
      <w:pPr>
        <w:ind w:left="768" w:hanging="435"/>
        <w:spacing w:after="0"/>
        <w:tabs>
          <w:tab w:leader="none" w:pos="768" w:val="left"/>
        </w:tabs>
        <w:numPr>
          <w:ilvl w:val="0"/>
          <w:numId w:val="14"/>
        </w:numPr>
        <w:rPr>
          <w:rFonts w:ascii="Arial" w:cs="Arial" w:eastAsia="Arial" w:hAnsi="Arial"/>
          <w:sz w:val="12"/>
          <w:szCs w:val="12"/>
          <w:color w:val="auto"/>
        </w:rPr>
      </w:pPr>
      <w:r>
        <w:rPr>
          <w:rFonts w:ascii="Arial" w:cs="Arial" w:eastAsia="Arial" w:hAnsi="Arial"/>
          <w:sz w:val="13"/>
          <w:szCs w:val="13"/>
          <w:color w:val="auto"/>
        </w:rPr>
        <w:t>Submit to Honeywell’s Law Department and to my supervisor for approval for publication or oral dissemination;</w:t>
      </w:r>
    </w:p>
    <w:p>
      <w:pPr>
        <w:spacing w:after="0" w:line="147" w:lineRule="exact"/>
        <w:rPr>
          <w:rFonts w:ascii="Arial" w:cs="Arial" w:eastAsia="Arial" w:hAnsi="Arial"/>
          <w:sz w:val="12"/>
          <w:szCs w:val="12"/>
          <w:color w:val="auto"/>
        </w:rPr>
      </w:pPr>
    </w:p>
    <w:p>
      <w:pPr>
        <w:ind w:left="768" w:hanging="435"/>
        <w:spacing w:after="0"/>
        <w:tabs>
          <w:tab w:leader="none" w:pos="768" w:val="left"/>
        </w:tabs>
        <w:numPr>
          <w:ilvl w:val="0"/>
          <w:numId w:val="14"/>
        </w:numPr>
        <w:rPr>
          <w:rFonts w:ascii="Arial" w:cs="Arial" w:eastAsia="Arial" w:hAnsi="Arial"/>
          <w:sz w:val="12"/>
          <w:szCs w:val="12"/>
          <w:color w:val="auto"/>
        </w:rPr>
      </w:pPr>
      <w:r>
        <w:rPr>
          <w:rFonts w:ascii="Arial" w:cs="Arial" w:eastAsia="Arial" w:hAnsi="Arial"/>
          <w:sz w:val="13"/>
          <w:szCs w:val="13"/>
          <w:color w:val="auto"/>
        </w:rPr>
        <w:t>Assign all right, title and interest in and to the copyright in all such works to Honeywell; and</w:t>
      </w:r>
    </w:p>
    <w:p>
      <w:pPr>
        <w:spacing w:after="0" w:line="147" w:lineRule="exact"/>
        <w:rPr>
          <w:rFonts w:ascii="Arial" w:cs="Arial" w:eastAsia="Arial" w:hAnsi="Arial"/>
          <w:sz w:val="12"/>
          <w:szCs w:val="12"/>
          <w:color w:val="auto"/>
        </w:rPr>
      </w:pPr>
    </w:p>
    <w:p>
      <w:pPr>
        <w:ind w:left="768" w:hanging="435"/>
        <w:spacing w:after="0"/>
        <w:tabs>
          <w:tab w:leader="none" w:pos="768" w:val="left"/>
        </w:tabs>
        <w:numPr>
          <w:ilvl w:val="0"/>
          <w:numId w:val="14"/>
        </w:numPr>
        <w:rPr>
          <w:rFonts w:ascii="Arial" w:cs="Arial" w:eastAsia="Arial" w:hAnsi="Arial"/>
          <w:sz w:val="12"/>
          <w:szCs w:val="12"/>
          <w:color w:val="auto"/>
        </w:rPr>
      </w:pPr>
      <w:r>
        <w:rPr>
          <w:rFonts w:ascii="Arial" w:cs="Arial" w:eastAsia="Arial" w:hAnsi="Arial"/>
          <w:sz w:val="13"/>
          <w:szCs w:val="13"/>
          <w:color w:val="auto"/>
        </w:rPr>
        <w:t>Waive any claim of moral rights, author’s rights, droit moral, or any equivalent rights to the extent necessary or permitted by law.</w:t>
      </w:r>
    </w:p>
    <w:p>
      <w:pPr>
        <w:spacing w:after="0" w:line="148" w:lineRule="exact"/>
        <w:rPr>
          <w:sz w:val="20"/>
          <w:szCs w:val="20"/>
          <w:color w:val="auto"/>
        </w:rPr>
      </w:pPr>
    </w:p>
    <w:p>
      <w:pPr>
        <w:ind w:left="328"/>
        <w:spacing w:after="0"/>
        <w:rPr>
          <w:sz w:val="20"/>
          <w:szCs w:val="20"/>
          <w:color w:val="auto"/>
        </w:rPr>
      </w:pPr>
      <w:r>
        <w:rPr>
          <w:rFonts w:ascii="Arial" w:cs="Arial" w:eastAsia="Arial" w:hAnsi="Arial"/>
          <w:sz w:val="13"/>
          <w:szCs w:val="13"/>
          <w:color w:val="auto"/>
        </w:rPr>
        <w:t>I hereby release and allow Honeywell to use, for any lawful purpose, any voice reproduction, photograph, or other video likeness of me made in the course of my employment.</w:t>
      </w:r>
    </w:p>
    <w:p>
      <w:pPr>
        <w:spacing w:after="0" w:line="144" w:lineRule="exact"/>
        <w:rPr>
          <w:sz w:val="20"/>
          <w:szCs w:val="20"/>
          <w:color w:val="auto"/>
        </w:rPr>
      </w:pPr>
    </w:p>
    <w:p>
      <w:pPr>
        <w:ind w:left="328" w:hanging="328"/>
        <w:spacing w:after="0" w:line="278" w:lineRule="auto"/>
        <w:tabs>
          <w:tab w:leader="none" w:pos="328" w:val="left"/>
        </w:tabs>
        <w:numPr>
          <w:ilvl w:val="0"/>
          <w:numId w:val="15"/>
        </w:numPr>
        <w:rPr>
          <w:rFonts w:ascii="Arial" w:cs="Arial" w:eastAsia="Arial" w:hAnsi="Arial"/>
          <w:sz w:val="12"/>
          <w:szCs w:val="12"/>
          <w:color w:val="auto"/>
        </w:rPr>
      </w:pPr>
      <w:r>
        <w:rPr>
          <w:rFonts w:ascii="Arial" w:cs="Arial" w:eastAsia="Arial" w:hAnsi="Arial"/>
          <w:sz w:val="13"/>
          <w:szCs w:val="13"/>
          <w:b w:val="1"/>
          <w:bCs w:val="1"/>
          <w:color w:val="auto"/>
        </w:rPr>
        <w:t xml:space="preserve">Acknowledgement of Receipt. </w:t>
      </w:r>
      <w:r>
        <w:rPr>
          <w:rFonts w:ascii="Arial" w:cs="Arial" w:eastAsia="Arial" w:hAnsi="Arial"/>
          <w:sz w:val="13"/>
          <w:szCs w:val="13"/>
          <w:color w:val="auto"/>
        </w:rPr>
        <w:t>I acknowledge that I have received a copy of this agreement prior to accepting employment, continued employment or other consideration as recited herein and that execution of</w:t>
      </w:r>
      <w:r>
        <w:rPr>
          <w:rFonts w:ascii="Arial" w:cs="Arial" w:eastAsia="Arial" w:hAnsi="Arial"/>
          <w:sz w:val="13"/>
          <w:szCs w:val="13"/>
          <w:b w:val="1"/>
          <w:bCs w:val="1"/>
          <w:color w:val="auto"/>
        </w:rPr>
        <w:t xml:space="preserve"> </w:t>
      </w:r>
      <w:r>
        <w:rPr>
          <w:rFonts w:ascii="Arial" w:cs="Arial" w:eastAsia="Arial" w:hAnsi="Arial"/>
          <w:sz w:val="13"/>
          <w:szCs w:val="13"/>
          <w:color w:val="auto"/>
        </w:rPr>
        <w:t>this agreement was an express condition of my employment, continued employment or receipt of other consideration recited herein.</w:t>
      </w:r>
    </w:p>
    <w:p>
      <w:pPr>
        <w:spacing w:after="0" w:line="104" w:lineRule="exact"/>
        <w:rPr>
          <w:rFonts w:ascii="Arial" w:cs="Arial" w:eastAsia="Arial" w:hAnsi="Arial"/>
          <w:sz w:val="12"/>
          <w:szCs w:val="12"/>
          <w:color w:val="auto"/>
        </w:rPr>
      </w:pPr>
    </w:p>
    <w:p>
      <w:pPr>
        <w:jc w:val="both"/>
        <w:ind w:left="328" w:hanging="328"/>
        <w:spacing w:after="0" w:line="275" w:lineRule="auto"/>
        <w:tabs>
          <w:tab w:leader="none" w:pos="328" w:val="left"/>
        </w:tabs>
        <w:numPr>
          <w:ilvl w:val="0"/>
          <w:numId w:val="15"/>
        </w:numPr>
        <w:rPr>
          <w:rFonts w:ascii="Arial" w:cs="Arial" w:eastAsia="Arial" w:hAnsi="Arial"/>
          <w:sz w:val="11"/>
          <w:szCs w:val="11"/>
          <w:color w:val="auto"/>
        </w:rPr>
      </w:pPr>
      <w:r>
        <w:rPr>
          <w:rFonts w:ascii="Arial" w:cs="Arial" w:eastAsia="Arial" w:hAnsi="Arial"/>
          <w:sz w:val="12"/>
          <w:szCs w:val="12"/>
          <w:b w:val="1"/>
          <w:bCs w:val="1"/>
          <w:color w:val="auto"/>
        </w:rPr>
        <w:t xml:space="preserve">Effectiveness of Agreement. </w:t>
      </w:r>
      <w:r>
        <w:rPr>
          <w:rFonts w:ascii="Arial" w:cs="Arial" w:eastAsia="Arial" w:hAnsi="Arial"/>
          <w:sz w:val="12"/>
          <w:szCs w:val="12"/>
          <w:color w:val="auto"/>
        </w:rPr>
        <w:t>I acknowledge that the provisions of this agreement are in addition to, and in no way intended to limit, restrict or narrow any prior or existing agreement with Honeywell. This</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09" w:lineRule="exact"/>
        <w:rPr>
          <w:rFonts w:ascii="Arial" w:cs="Arial" w:eastAsia="Arial" w:hAnsi="Arial"/>
          <w:sz w:val="11"/>
          <w:szCs w:val="11"/>
          <w:color w:val="auto"/>
        </w:rPr>
      </w:pPr>
    </w:p>
    <w:p>
      <w:pPr>
        <w:ind w:left="328" w:hanging="328"/>
        <w:spacing w:after="0"/>
        <w:tabs>
          <w:tab w:leader="none" w:pos="328" w:val="left"/>
        </w:tabs>
        <w:numPr>
          <w:ilvl w:val="0"/>
          <w:numId w:val="15"/>
        </w:numPr>
        <w:rPr>
          <w:rFonts w:ascii="Arial" w:cs="Arial" w:eastAsia="Arial" w:hAnsi="Arial"/>
          <w:sz w:val="11"/>
          <w:szCs w:val="11"/>
          <w:color w:val="auto"/>
        </w:rPr>
      </w:pPr>
      <w:r>
        <w:rPr>
          <w:rFonts w:ascii="Arial" w:cs="Arial" w:eastAsia="Arial" w:hAnsi="Arial"/>
          <w:sz w:val="12"/>
          <w:szCs w:val="12"/>
          <w:b w:val="1"/>
          <w:bCs w:val="1"/>
          <w:color w:val="auto"/>
        </w:rPr>
        <w:t xml:space="preserve">Identity of Future Employer. </w:t>
      </w:r>
      <w:r>
        <w:rPr>
          <w:rFonts w:ascii="Arial" w:cs="Arial" w:eastAsia="Arial" w:hAnsi="Arial"/>
          <w:sz w:val="12"/>
          <w:szCs w:val="12"/>
          <w:color w:val="auto"/>
        </w:rPr>
        <w:t>Upon termination of my employment for any reason, if reasonably requested by Honeywell, I shall advise Honeywell of the name and address of my intended future employer.</w:t>
      </w:r>
    </w:p>
    <w:p>
      <w:pPr>
        <w:spacing w:after="0" w:line="159" w:lineRule="exact"/>
        <w:rPr>
          <w:rFonts w:ascii="Arial" w:cs="Arial" w:eastAsia="Arial" w:hAnsi="Arial"/>
          <w:sz w:val="11"/>
          <w:szCs w:val="11"/>
          <w:color w:val="auto"/>
        </w:rPr>
      </w:pPr>
    </w:p>
    <w:p>
      <w:pPr>
        <w:jc w:val="both"/>
        <w:ind w:left="328" w:hanging="328"/>
        <w:spacing w:after="0" w:line="284" w:lineRule="auto"/>
        <w:tabs>
          <w:tab w:leader="none" w:pos="328" w:val="left"/>
        </w:tabs>
        <w:numPr>
          <w:ilvl w:val="0"/>
          <w:numId w:val="15"/>
        </w:numPr>
        <w:rPr>
          <w:rFonts w:ascii="Arial" w:cs="Arial" w:eastAsia="Arial" w:hAnsi="Arial"/>
          <w:sz w:val="11"/>
          <w:szCs w:val="11"/>
          <w:color w:val="auto"/>
        </w:rPr>
      </w:pPr>
      <w:r>
        <w:rPr>
          <w:rFonts w:ascii="Arial" w:cs="Arial" w:eastAsia="Arial" w:hAnsi="Arial"/>
          <w:sz w:val="12"/>
          <w:szCs w:val="12"/>
          <w:b w:val="1"/>
          <w:bCs w:val="1"/>
          <w:color w:val="auto"/>
        </w:rPr>
        <w:t xml:space="preserve">Remedies. </w:t>
      </w:r>
      <w:r>
        <w:rPr>
          <w:rFonts w:ascii="Arial" w:cs="Arial" w:eastAsia="Arial" w:hAnsi="Arial"/>
          <w:sz w:val="12"/>
          <w:szCs w:val="12"/>
          <w:color w:val="auto"/>
        </w:rPr>
        <w:t>I acknowledge that a remedy at law for any breach or threatened breach of the provisions of this Agreement would be inadequate and therefore agree that Honeywell shall be entitled to injunctive</w:t>
      </w:r>
      <w:r>
        <w:rPr>
          <w:rFonts w:ascii="Arial" w:cs="Arial" w:eastAsia="Arial" w:hAnsi="Arial"/>
          <w:sz w:val="12"/>
          <w:szCs w:val="12"/>
          <w:b w:val="1"/>
          <w:bCs w:val="1"/>
          <w:color w:val="auto"/>
        </w:rPr>
        <w:t xml:space="preserve"> </w:t>
      </w:r>
      <w:r>
        <w:rPr>
          <w:rFonts w:ascii="Arial" w:cs="Arial" w:eastAsia="Arial" w:hAnsi="Arial"/>
          <w:sz w:val="12"/>
          <w:szCs w:val="12"/>
          <w:color w:val="auto"/>
        </w:rPr>
        <w:t>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which may also include but not be limited to contract damages, lost profits and punitive damages.</w:t>
      </w:r>
    </w:p>
    <w:p>
      <w:pPr>
        <w:spacing w:after="0" w:line="103" w:lineRule="exact"/>
        <w:rPr>
          <w:rFonts w:ascii="Arial" w:cs="Arial" w:eastAsia="Arial" w:hAnsi="Arial"/>
          <w:sz w:val="11"/>
          <w:szCs w:val="11"/>
          <w:color w:val="auto"/>
        </w:rPr>
      </w:pPr>
    </w:p>
    <w:p>
      <w:pPr>
        <w:ind w:left="328" w:right="20" w:hanging="328"/>
        <w:spacing w:after="0" w:line="257" w:lineRule="auto"/>
        <w:tabs>
          <w:tab w:leader="none" w:pos="328" w:val="left"/>
        </w:tabs>
        <w:numPr>
          <w:ilvl w:val="0"/>
          <w:numId w:val="15"/>
        </w:numPr>
        <w:rPr>
          <w:rFonts w:ascii="Arial" w:cs="Arial" w:eastAsia="Arial" w:hAnsi="Arial"/>
          <w:sz w:val="12"/>
          <w:szCs w:val="12"/>
          <w:color w:val="auto"/>
        </w:rPr>
      </w:pPr>
      <w:r>
        <w:rPr>
          <w:rFonts w:ascii="Arial" w:cs="Arial" w:eastAsia="Arial" w:hAnsi="Arial"/>
          <w:sz w:val="13"/>
          <w:szCs w:val="13"/>
          <w:b w:val="1"/>
          <w:bCs w:val="1"/>
          <w:color w:val="auto"/>
        </w:rPr>
        <w:t xml:space="preserve">Successors; Binding Agreement. </w:t>
      </w:r>
      <w:r>
        <w:rPr>
          <w:rFonts w:ascii="Arial" w:cs="Arial" w:eastAsia="Arial" w:hAnsi="Arial"/>
          <w:sz w:val="13"/>
          <w:szCs w:val="13"/>
          <w:color w:val="auto"/>
        </w:rPr>
        <w:t>This agreement binds my heirs, executors, administrators, legal representatives and assigns and inures to the benefit of Honeywell and its successors and assigns. Only a</w:t>
      </w:r>
      <w:r>
        <w:rPr>
          <w:rFonts w:ascii="Arial" w:cs="Arial" w:eastAsia="Arial" w:hAnsi="Arial"/>
          <w:sz w:val="13"/>
          <w:szCs w:val="13"/>
          <w:b w:val="1"/>
          <w:bCs w:val="1"/>
          <w:color w:val="auto"/>
        </w:rPr>
        <w:t xml:space="preserve"> </w:t>
      </w:r>
      <w:r>
        <w:rPr>
          <w:rFonts w:ascii="Arial" w:cs="Arial" w:eastAsia="Arial" w:hAnsi="Arial"/>
          <w:sz w:val="13"/>
          <w:szCs w:val="13"/>
          <w:color w:val="auto"/>
        </w:rPr>
        <w:t>written amendment executed by both Honeywell and me can modify this agreement.</w:t>
      </w:r>
    </w:p>
    <w:p>
      <w:pPr>
        <w:ind w:left="328" w:hanging="328"/>
        <w:spacing w:after="0"/>
        <w:tabs>
          <w:tab w:leader="none" w:pos="328" w:val="left"/>
        </w:tabs>
        <w:numPr>
          <w:ilvl w:val="0"/>
          <w:numId w:val="15"/>
        </w:numPr>
        <w:rPr>
          <w:rFonts w:ascii="Arial" w:cs="Arial" w:eastAsia="Arial" w:hAnsi="Arial"/>
          <w:sz w:val="12"/>
          <w:szCs w:val="12"/>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This agreement shall be governed by and construed in accordance with the laws of the State of New Jersey without regard to its principles of conflicts of law.</w:t>
      </w:r>
    </w:p>
    <w:p>
      <w:pPr>
        <w:spacing w:after="0" w:line="133" w:lineRule="exact"/>
        <w:rPr>
          <w:rFonts w:ascii="Arial" w:cs="Arial" w:eastAsia="Arial" w:hAnsi="Arial"/>
          <w:sz w:val="12"/>
          <w:szCs w:val="12"/>
          <w:color w:val="auto"/>
        </w:rPr>
      </w:pPr>
    </w:p>
    <w:p>
      <w:pPr>
        <w:jc w:val="both"/>
        <w:ind w:left="328" w:hanging="328"/>
        <w:spacing w:after="0" w:line="256" w:lineRule="auto"/>
        <w:tabs>
          <w:tab w:leader="none" w:pos="328" w:val="left"/>
        </w:tabs>
        <w:numPr>
          <w:ilvl w:val="0"/>
          <w:numId w:val="15"/>
        </w:numPr>
        <w:rPr>
          <w:rFonts w:ascii="Arial" w:cs="Arial" w:eastAsia="Arial" w:hAnsi="Arial"/>
          <w:sz w:val="12"/>
          <w:szCs w:val="12"/>
          <w:color w:val="auto"/>
        </w:rPr>
      </w:pPr>
      <w:r>
        <w:rPr>
          <w:rFonts w:ascii="Arial" w:cs="Arial" w:eastAsia="Arial" w:hAnsi="Arial"/>
          <w:sz w:val="13"/>
          <w:szCs w:val="13"/>
          <w:b w:val="1"/>
          <w:bCs w:val="1"/>
          <w:color w:val="auto"/>
        </w:rPr>
        <w:t xml:space="preserve">Validity. </w:t>
      </w:r>
      <w:r>
        <w:rPr>
          <w:rFonts w:ascii="Arial" w:cs="Arial" w:eastAsia="Arial" w:hAnsi="Arial"/>
          <w:sz w:val="13"/>
          <w:szCs w:val="13"/>
          <w:color w:val="auto"/>
        </w:rPr>
        <w:t>It is the desire and intent of the parties hereto that the provisions of this agreement shall be enforced to the fullest extent legally-permissible. Accordingly, if any particular provision(s) of this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w:t>
      </w:r>
    </w:p>
    <w:p>
      <w:pPr>
        <w:sectPr>
          <w:pgSz w:w="11900" w:h="16838" w:orient="portrait"/>
          <w:cols w:equalWidth="0" w:num="1">
            <w:col w:w="11488"/>
          </w:cols>
          <w:pgMar w:left="212" w:top="435" w:right="199" w:bottom="1440" w:gutter="0" w:footer="0" w:header="0"/>
        </w:sectPr>
      </w:pPr>
    </w:p>
    <w:bookmarkStart w:id="50" w:name="page51"/>
    <w:bookmarkEnd w:id="50"/>
    <w:p>
      <w:pPr>
        <w:ind w:left="328" w:right="20"/>
        <w:spacing w:after="0" w:line="300" w:lineRule="auto"/>
        <w:rPr>
          <w:sz w:val="20"/>
          <w:szCs w:val="20"/>
          <w:color w:val="auto"/>
        </w:rPr>
      </w:pPr>
      <w:r>
        <w:rPr>
          <w:rFonts w:ascii="Arial" w:cs="Arial" w:eastAsia="Arial" w:hAnsi="Arial"/>
          <w:sz w:val="13"/>
          <w:szCs w:val="13"/>
          <w:color w:val="auto"/>
        </w:rPr>
        <w:t>construed by limiting and reducing it, so as to be enforceable to the extent compatible with the applicable law as it shall then appear. The remaining provisions of this agreement shall remain in full force and effect.</w:t>
      </w:r>
    </w:p>
    <w:p>
      <w:pPr>
        <w:spacing w:after="0" w:line="100" w:lineRule="exact"/>
        <w:rPr>
          <w:sz w:val="20"/>
          <w:szCs w:val="20"/>
          <w:color w:val="auto"/>
        </w:rPr>
      </w:pPr>
    </w:p>
    <w:p>
      <w:pPr>
        <w:ind w:left="328" w:hanging="328"/>
        <w:spacing w:after="0"/>
        <w:tabs>
          <w:tab w:leader="none" w:pos="328" w:val="left"/>
        </w:tabs>
        <w:numPr>
          <w:ilvl w:val="0"/>
          <w:numId w:val="16"/>
        </w:numPr>
        <w:rPr>
          <w:rFonts w:ascii="Arial" w:cs="Arial" w:eastAsia="Arial" w:hAnsi="Arial"/>
          <w:sz w:val="12"/>
          <w:szCs w:val="12"/>
          <w:color w:val="auto"/>
        </w:rPr>
      </w:pPr>
      <w:r>
        <w:rPr>
          <w:rFonts w:ascii="Arial" w:cs="Arial" w:eastAsia="Arial" w:hAnsi="Arial"/>
          <w:sz w:val="13"/>
          <w:szCs w:val="13"/>
          <w:b w:val="1"/>
          <w:bCs w:val="1"/>
          <w:color w:val="auto"/>
        </w:rPr>
        <w:t>Definitions</w:t>
      </w:r>
    </w:p>
    <w:p>
      <w:pPr>
        <w:spacing w:after="0" w:line="151" w:lineRule="exact"/>
        <w:rPr>
          <w:rFonts w:ascii="Arial" w:cs="Arial" w:eastAsia="Arial" w:hAnsi="Arial"/>
          <w:sz w:val="12"/>
          <w:szCs w:val="12"/>
          <w:color w:val="auto"/>
        </w:rPr>
      </w:pPr>
    </w:p>
    <w:p>
      <w:pPr>
        <w:jc w:val="both"/>
        <w:ind w:left="768" w:hanging="435"/>
        <w:spacing w:after="0" w:line="258" w:lineRule="auto"/>
        <w:tabs>
          <w:tab w:leader="none" w:pos="768" w:val="left"/>
        </w:tabs>
        <w:numPr>
          <w:ilvl w:val="1"/>
          <w:numId w:val="16"/>
        </w:numPr>
        <w:rPr>
          <w:rFonts w:ascii="Arial" w:cs="Arial" w:eastAsia="Arial" w:hAnsi="Arial"/>
          <w:sz w:val="12"/>
          <w:szCs w:val="12"/>
          <w:color w:val="auto"/>
        </w:rPr>
      </w:pPr>
      <w:r>
        <w:rPr>
          <w:rFonts w:ascii="Arial" w:cs="Arial" w:eastAsia="Arial" w:hAnsi="Arial"/>
          <w:sz w:val="13"/>
          <w:szCs w:val="13"/>
          <w:color w:val="auto"/>
        </w:rPr>
        <w:t>“Honeywell” collectively identifies Honeywell International Inc. (a Delaware corporation having a place of business at Tabor Road, Morris Plains, Morris County, New Jersey), its predecessors, designees and successors and its past, present and future operating companies, divisions, subsidiaries, affiliates and other business units, including businesses acquired by purchase of stock, merger or otherwise.</w:t>
      </w:r>
    </w:p>
    <w:p>
      <w:pPr>
        <w:spacing w:after="0" w:line="121" w:lineRule="exact"/>
        <w:rPr>
          <w:rFonts w:ascii="Arial" w:cs="Arial" w:eastAsia="Arial" w:hAnsi="Arial"/>
          <w:sz w:val="12"/>
          <w:szCs w:val="12"/>
          <w:color w:val="auto"/>
        </w:rPr>
      </w:pPr>
    </w:p>
    <w:p>
      <w:pPr>
        <w:jc w:val="both"/>
        <w:ind w:left="768" w:hanging="435"/>
        <w:spacing w:after="0" w:line="278" w:lineRule="auto"/>
        <w:tabs>
          <w:tab w:leader="none" w:pos="768" w:val="left"/>
        </w:tabs>
        <w:numPr>
          <w:ilvl w:val="1"/>
          <w:numId w:val="16"/>
        </w:numPr>
        <w:rPr>
          <w:rFonts w:ascii="Arial" w:cs="Arial" w:eastAsia="Arial" w:hAnsi="Arial"/>
          <w:sz w:val="11"/>
          <w:szCs w:val="11"/>
          <w:color w:val="auto"/>
        </w:rPr>
      </w:pPr>
      <w:r>
        <w:rPr>
          <w:rFonts w:ascii="Arial" w:cs="Arial" w:eastAsia="Arial" w:hAnsi="Arial"/>
          <w:sz w:val="12"/>
          <w:szCs w:val="12"/>
          <w:color w:val="auto"/>
        </w:rPr>
        <w:t>“Trade Secrets, Proprietary and Confidential Information” means information which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customer lists, customer usages or requirements, or supplier information, which is owned or licensed by Honeywell or held by Honeywell in confidence.</w:t>
      </w:r>
    </w:p>
    <w:p>
      <w:pPr>
        <w:spacing w:after="0" w:line="110" w:lineRule="exact"/>
        <w:rPr>
          <w:rFonts w:ascii="Arial" w:cs="Arial" w:eastAsia="Arial" w:hAnsi="Arial"/>
          <w:sz w:val="11"/>
          <w:szCs w:val="11"/>
          <w:color w:val="auto"/>
        </w:rPr>
      </w:pPr>
    </w:p>
    <w:p>
      <w:pPr>
        <w:ind w:left="768" w:hanging="435"/>
        <w:spacing w:after="0" w:line="271" w:lineRule="auto"/>
        <w:tabs>
          <w:tab w:leader="none" w:pos="768" w:val="left"/>
        </w:tabs>
        <w:numPr>
          <w:ilvl w:val="1"/>
          <w:numId w:val="16"/>
        </w:numPr>
        <w:rPr>
          <w:rFonts w:ascii="Arial" w:cs="Arial" w:eastAsia="Arial" w:hAnsi="Arial"/>
          <w:sz w:val="12"/>
          <w:szCs w:val="12"/>
          <w:color w:val="auto"/>
        </w:rPr>
      </w:pPr>
      <w:r>
        <w:rPr>
          <w:rFonts w:ascii="Arial" w:cs="Arial" w:eastAsia="Arial" w:hAnsi="Arial"/>
          <w:sz w:val="13"/>
          <w:szCs w:val="13"/>
          <w:color w:val="auto"/>
        </w:rPr>
        <w:t>“Invention” includes not only inventions (whether or not patentable), but also innovations, improvements, discoveries, ideas and all other forms of intellectual property (including, but not limited to, copyright works and mask works) - whether or not any of the foregoing constitutes trade secret or other confidential information.</w:t>
      </w:r>
    </w:p>
    <w:p>
      <w:pPr>
        <w:spacing w:after="0" w:line="112" w:lineRule="exact"/>
        <w:rPr>
          <w:rFonts w:ascii="Arial" w:cs="Arial" w:eastAsia="Arial" w:hAnsi="Arial"/>
          <w:sz w:val="12"/>
          <w:szCs w:val="12"/>
          <w:color w:val="auto"/>
        </w:rPr>
      </w:pPr>
    </w:p>
    <w:p>
      <w:pPr>
        <w:ind w:left="768" w:hanging="435"/>
        <w:spacing w:after="0" w:line="271" w:lineRule="auto"/>
        <w:tabs>
          <w:tab w:leader="none" w:pos="768" w:val="left"/>
        </w:tabs>
        <w:numPr>
          <w:ilvl w:val="1"/>
          <w:numId w:val="16"/>
        </w:numPr>
        <w:rPr>
          <w:rFonts w:ascii="Arial" w:cs="Arial" w:eastAsia="Arial" w:hAnsi="Arial"/>
          <w:sz w:val="12"/>
          <w:szCs w:val="12"/>
          <w:color w:val="auto"/>
        </w:rPr>
      </w:pPr>
      <w:r>
        <w:rPr>
          <w:rFonts w:ascii="Arial" w:cs="Arial" w:eastAsia="Arial" w:hAnsi="Arial"/>
          <w:sz w:val="13"/>
          <w:szCs w:val="13"/>
          <w:color w:val="auto"/>
        </w:rPr>
        <w:t>“Make” or “Made” when used in relation to Invention includes any one or any combination of (i) conception, (ii) reduction to practice, or (iii) development of an Invention and is without regard to whether I am a sole or joint inventor.</w:t>
      </w:r>
    </w:p>
    <w:p>
      <w:pPr>
        <w:spacing w:after="0" w:line="112" w:lineRule="exact"/>
        <w:rPr>
          <w:rFonts w:ascii="Arial" w:cs="Arial" w:eastAsia="Arial" w:hAnsi="Arial"/>
          <w:sz w:val="12"/>
          <w:szCs w:val="12"/>
          <w:color w:val="auto"/>
        </w:rPr>
      </w:pPr>
    </w:p>
    <w:p>
      <w:pPr>
        <w:ind w:left="768" w:right="20" w:hanging="435"/>
        <w:spacing w:after="0" w:line="271" w:lineRule="auto"/>
        <w:tabs>
          <w:tab w:leader="none" w:pos="768" w:val="left"/>
        </w:tabs>
        <w:numPr>
          <w:ilvl w:val="1"/>
          <w:numId w:val="16"/>
        </w:numPr>
        <w:rPr>
          <w:rFonts w:ascii="Arial" w:cs="Arial" w:eastAsia="Arial" w:hAnsi="Arial"/>
          <w:sz w:val="12"/>
          <w:szCs w:val="12"/>
          <w:color w:val="auto"/>
        </w:rPr>
      </w:pPr>
      <w:r>
        <w:rPr>
          <w:rFonts w:ascii="Arial" w:cs="Arial" w:eastAsia="Arial" w:hAnsi="Arial"/>
          <w:sz w:val="13"/>
          <w:szCs w:val="13"/>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12" w:lineRule="exact"/>
        <w:rPr>
          <w:rFonts w:ascii="Arial" w:cs="Arial" w:eastAsia="Arial" w:hAnsi="Arial"/>
          <w:sz w:val="12"/>
          <w:szCs w:val="12"/>
          <w:color w:val="auto"/>
        </w:rPr>
      </w:pPr>
    </w:p>
    <w:p>
      <w:pPr>
        <w:ind w:left="768" w:hanging="435"/>
        <w:spacing w:after="0"/>
        <w:tabs>
          <w:tab w:leader="none" w:pos="768" w:val="left"/>
        </w:tabs>
        <w:numPr>
          <w:ilvl w:val="1"/>
          <w:numId w:val="16"/>
        </w:numPr>
        <w:rPr>
          <w:rFonts w:ascii="Arial" w:cs="Arial" w:eastAsia="Arial" w:hAnsi="Arial"/>
          <w:sz w:val="12"/>
          <w:szCs w:val="12"/>
          <w:color w:val="auto"/>
        </w:rPr>
      </w:pPr>
      <w:r>
        <w:rPr>
          <w:rFonts w:ascii="Arial" w:cs="Arial" w:eastAsia="Arial" w:hAnsi="Arial"/>
          <w:sz w:val="13"/>
          <w:szCs w:val="13"/>
          <w:color w:val="auto"/>
        </w:rPr>
        <w:t>“Solicit” or “soliciting” includes contacting, communicating with, marketing to, engaging or otherwise interacting with (whether initiated by me or not).</w:t>
      </w:r>
    </w:p>
    <w:p>
      <w:pPr>
        <w:spacing w:after="0" w:line="143" w:lineRule="exact"/>
        <w:rPr>
          <w:rFonts w:ascii="Arial" w:cs="Arial" w:eastAsia="Arial" w:hAnsi="Arial"/>
          <w:sz w:val="12"/>
          <w:szCs w:val="12"/>
          <w:color w:val="auto"/>
        </w:rPr>
      </w:pPr>
    </w:p>
    <w:p>
      <w:pPr>
        <w:ind w:left="328" w:hanging="328"/>
        <w:spacing w:after="0"/>
        <w:tabs>
          <w:tab w:leader="none" w:pos="328" w:val="left"/>
        </w:tabs>
        <w:numPr>
          <w:ilvl w:val="0"/>
          <w:numId w:val="16"/>
        </w:numPr>
        <w:rPr>
          <w:rFonts w:ascii="Arial" w:cs="Arial" w:eastAsia="Arial" w:hAnsi="Arial"/>
          <w:sz w:val="11"/>
          <w:szCs w:val="11"/>
          <w:color w:val="auto"/>
        </w:rPr>
      </w:pPr>
      <w:r>
        <w:rPr>
          <w:rFonts w:ascii="Arial" w:cs="Arial" w:eastAsia="Arial" w:hAnsi="Arial"/>
          <w:sz w:val="12"/>
          <w:szCs w:val="12"/>
          <w:b w:val="1"/>
          <w:bCs w:val="1"/>
          <w:color w:val="auto"/>
        </w:rPr>
        <w:t xml:space="preserve">Headings Descriptive. </w:t>
      </w:r>
      <w:r>
        <w:rPr>
          <w:rFonts w:ascii="Arial" w:cs="Arial" w:eastAsia="Arial" w:hAnsi="Arial"/>
          <w:sz w:val="12"/>
          <w:szCs w:val="12"/>
          <w:color w:val="auto"/>
        </w:rPr>
        <w:t>The headings of the several paragraphs of this agreement are inserted for convenience only and shall not in any way affect the meaning or construction of this agreement.</w:t>
      </w:r>
    </w:p>
    <w:p>
      <w:pPr>
        <w:spacing w:after="0" w:line="200" w:lineRule="exact"/>
        <w:rPr>
          <w:sz w:val="20"/>
          <w:szCs w:val="20"/>
          <w:color w:val="auto"/>
        </w:rPr>
      </w:pPr>
    </w:p>
    <w:p>
      <w:pPr>
        <w:spacing w:after="0" w:line="383"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1480" w:type="dxa"/>
            <w:vAlign w:val="bottom"/>
            <w:gridSpan w:val="2"/>
          </w:tcPr>
          <w:p>
            <w:pPr>
              <w:spacing w:after="0"/>
              <w:rPr>
                <w:sz w:val="20"/>
                <w:szCs w:val="20"/>
                <w:color w:val="auto"/>
              </w:rPr>
            </w:pPr>
            <w:r>
              <w:rPr>
                <w:rFonts w:ascii="Arial" w:cs="Arial" w:eastAsia="Arial" w:hAnsi="Arial"/>
                <w:sz w:val="13"/>
                <w:szCs w:val="13"/>
                <w:color w:val="auto"/>
              </w:rPr>
              <w:t>/s/ Mark R. James</w:t>
            </w:r>
          </w:p>
        </w:tc>
        <w:tc>
          <w:tcPr>
            <w:tcW w:w="860" w:type="dxa"/>
            <w:vAlign w:val="bottom"/>
            <w:gridSpan w:val="2"/>
          </w:tcPr>
          <w:p>
            <w:pPr>
              <w:ind w:left="540"/>
              <w:spacing w:after="0"/>
              <w:rPr>
                <w:sz w:val="20"/>
                <w:szCs w:val="20"/>
                <w:color w:val="auto"/>
              </w:rPr>
            </w:pPr>
            <w:r>
              <w:rPr>
                <w:rFonts w:ascii="Arial" w:cs="Arial" w:eastAsia="Arial" w:hAnsi="Arial"/>
                <w:sz w:val="13"/>
                <w:szCs w:val="13"/>
                <w:color w:val="auto"/>
                <w:w w:val="82"/>
              </w:rPr>
              <w:t>7/9/18</w:t>
            </w:r>
          </w:p>
        </w:tc>
      </w:tr>
      <w:tr>
        <w:trPr>
          <w:trHeight w:val="20"/>
        </w:trPr>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151"/>
        </w:trPr>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MARK R. JAMES</w:t>
            </w:r>
          </w:p>
        </w:tc>
        <w:tc>
          <w:tcPr>
            <w:tcW w:w="5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Date</w:t>
            </w:r>
          </w:p>
        </w:tc>
      </w:tr>
    </w:tbl>
    <w:p>
      <w:pPr>
        <w:sectPr>
          <w:pgSz w:w="11900" w:h="16838" w:orient="portrait"/>
          <w:cols w:equalWidth="0" w:num="1">
            <w:col w:w="11488"/>
          </w:cols>
          <w:pgMar w:left="212" w:top="444" w:right="19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u w:val="single" w:color="auto"/>
          <w:color w:val="auto"/>
        </w:rPr>
        <w:t>SCHEDULE A</w:t>
      </w:r>
    </w:p>
    <w:p>
      <w:pPr>
        <w:spacing w:after="0" w:line="297" w:lineRule="exact"/>
        <w:rPr>
          <w:sz w:val="20"/>
          <w:szCs w:val="20"/>
          <w:color w:val="auto"/>
        </w:rPr>
      </w:pPr>
    </w:p>
    <w:p>
      <w:pPr>
        <w:ind w:right="40"/>
        <w:spacing w:after="0" w:line="271" w:lineRule="auto"/>
        <w:rPr>
          <w:sz w:val="20"/>
          <w:szCs w:val="20"/>
          <w:color w:val="auto"/>
        </w:rPr>
      </w:pPr>
      <w:r>
        <w:rPr>
          <w:rFonts w:ascii="Arial" w:cs="Arial" w:eastAsia="Arial" w:hAnsi="Arial"/>
          <w:sz w:val="13"/>
          <w:szCs w:val="13"/>
          <w:color w:val="auto"/>
        </w:rPr>
        <w:t>HAVE YOU MADE ANY INVENTIONS BEFORE THE TERM OF YOUR EMPLOYMENT WITH HONEYWELL, IN WHICH YOU HAVE AN OWNERSHIP INTEREST AND WHICH ARE NOT THE SUBJECT MATTER OF ISSUED PATENTS OR PRINTED PUBLICATIONS?</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(If there are none, please enter the word “NONE”)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NOTE: Please describe each such Invention without disclosing trade secrets, proprietary or confidential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w:t>
      </w:r>
      <w:r>
        <w:rPr>
          <w:rFonts w:ascii="Arial" w:cs="Arial" w:eastAsia="Arial" w:hAnsi="Arial"/>
          <w:sz w:val="11"/>
          <w:szCs w:val="11"/>
          <w:u w:val="single" w:color="auto"/>
          <w:color w:val="auto"/>
        </w:rPr>
        <w:t>NONE</w:t>
      </w:r>
      <w:r>
        <w:rPr>
          <w:rFonts w:ascii="Arial" w:cs="Arial" w:eastAsia="Arial" w:hAnsi="Arial"/>
          <w:sz w:val="11"/>
          <w:szCs w:val="11"/>
          <w:color w:val="auto"/>
        </w:rPr>
        <w:t>__________________________________________________________________________________________________________________________________________________________________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[Attach additional sheets if more space is needed.]</w:t>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SCHEDULE B</w:t>
      </w:r>
    </w:p>
    <w:p>
      <w:pPr>
        <w:spacing w:after="0" w:line="296" w:lineRule="exact"/>
        <w:rPr>
          <w:sz w:val="20"/>
          <w:szCs w:val="20"/>
          <w:color w:val="auto"/>
        </w:rPr>
      </w:pPr>
    </w:p>
    <w:p>
      <w:pPr>
        <w:ind w:left="420" w:right="540" w:hanging="431"/>
        <w:spacing w:after="0" w:line="477" w:lineRule="auto"/>
        <w:rPr>
          <w:sz w:val="20"/>
          <w:szCs w:val="20"/>
          <w:color w:val="auto"/>
        </w:rPr>
      </w:pPr>
      <w:r>
        <w:rPr>
          <w:rFonts w:ascii="Arial" w:cs="Arial" w:eastAsia="Arial" w:hAnsi="Arial"/>
          <w:sz w:val="13"/>
          <w:szCs w:val="13"/>
          <w:color w:val="auto"/>
        </w:rPr>
        <w:t>DO YOU HAVE ANY PRIOR OBLIGATIONS (WRITTEN OR ORAL) WHICH WOULD RESTRICT YOUR ABILITY TO PERFORM THE DUTIES OF YOUR EMPLOYMENT WITH HONEYWELL? (If there are none, please enter the word “NONE”)</w:t>
      </w:r>
    </w:p>
    <w:p>
      <w:pPr>
        <w:spacing w:after="0"/>
        <w:rPr>
          <w:sz w:val="20"/>
          <w:szCs w:val="20"/>
          <w:color w:val="auto"/>
        </w:rPr>
      </w:pPr>
      <w:r>
        <w:rPr>
          <w:rFonts w:ascii="Arial" w:cs="Arial" w:eastAsia="Arial" w:hAnsi="Arial"/>
          <w:sz w:val="13"/>
          <w:szCs w:val="13"/>
          <w:color w:val="auto"/>
        </w:rPr>
        <w:t>NOTE: Please give date of, and parties to, obligations and the nature and substance of the restriction.</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r>
        <w:rPr>
          <w:rFonts w:ascii="Arial" w:cs="Arial" w:eastAsia="Arial" w:hAnsi="Arial"/>
          <w:sz w:val="11"/>
          <w:szCs w:val="11"/>
          <w:u w:val="single" w:color="auto"/>
          <w:color w:val="auto"/>
        </w:rPr>
        <w:t>NONE</w:t>
      </w:r>
      <w:r>
        <w:rPr>
          <w:rFonts w:ascii="Arial" w:cs="Arial" w:eastAsia="Arial" w:hAnsi="Arial"/>
          <w:sz w:val="11"/>
          <w:szCs w:val="11"/>
          <w:color w:val="auto"/>
        </w:rPr>
        <w:t>________________________________________________________________________________________________________________________________________________________________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[Attach additional sheets if more space is needed.]</w:t>
      </w:r>
    </w:p>
    <w:p>
      <w:pPr>
        <w:sectPr>
          <w:pgSz w:w="11900" w:h="16838" w:orient="portrait"/>
          <w:cols w:equalWidth="0" w:num="1">
            <w:col w:w="11520"/>
          </w:cols>
          <w:pgMar w:left="220" w:top="1440" w:right="159" w:bottom="1440" w:gutter="0" w:footer="0" w:header="0"/>
        </w:sectPr>
      </w:pPr>
    </w:p>
    <w:bookmarkStart w:id="52" w:name="page53"/>
    <w:bookmarkEnd w:id="52"/>
    <w:p>
      <w:pPr>
        <w:jc w:val="center"/>
        <w:ind w:right="-7"/>
        <w:spacing w:after="0"/>
        <w:rPr>
          <w:sz w:val="20"/>
          <w:szCs w:val="20"/>
          <w:color w:val="auto"/>
        </w:rPr>
      </w:pPr>
      <w:r>
        <w:rPr>
          <w:rFonts w:ascii="Arial" w:cs="Arial" w:eastAsia="Arial" w:hAnsi="Arial"/>
          <w:sz w:val="22"/>
          <w:szCs w:val="22"/>
          <w:b w:val="1"/>
          <w:bCs w:val="1"/>
          <w:color w:val="auto"/>
        </w:rPr>
        <w:t>HONEYWELL INTERNATIONAL INC.</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auto"/>
        </w:rPr>
        <w:t>NONCOMPETE AGREEMENT FOR SENIOR EXECUTIVES</w:t>
      </w:r>
    </w:p>
    <w:p>
      <w:pPr>
        <w:spacing w:after="0" w:line="273" w:lineRule="exact"/>
        <w:rPr>
          <w:sz w:val="20"/>
          <w:szCs w:val="20"/>
          <w:color w:val="auto"/>
        </w:rPr>
      </w:pPr>
    </w:p>
    <w:p>
      <w:pPr>
        <w:ind w:left="8"/>
        <w:spacing w:after="0" w:line="292" w:lineRule="auto"/>
        <w:rPr>
          <w:sz w:val="20"/>
          <w:szCs w:val="20"/>
          <w:color w:val="auto"/>
        </w:rPr>
      </w:pPr>
      <w:r>
        <w:rPr>
          <w:rFonts w:ascii="Arial" w:cs="Arial" w:eastAsia="Arial" w:hAnsi="Arial"/>
          <w:sz w:val="14"/>
          <w:szCs w:val="14"/>
          <w:b w:val="1"/>
          <w:bCs w:val="1"/>
          <w:color w:val="auto"/>
        </w:rPr>
        <w:t>In consideration of my transfer, promotion, or hire into my role as a Senior Executive of the company, my employment, continued employment, compensation and the equipment, materials, facilities and the Trade Secrets, Proprietary and Confidential Information supplied to me, I agree to the following:</w:t>
      </w:r>
    </w:p>
    <w:p>
      <w:pPr>
        <w:spacing w:after="0" w:line="95" w:lineRule="exact"/>
        <w:rPr>
          <w:sz w:val="20"/>
          <w:szCs w:val="20"/>
          <w:color w:val="auto"/>
        </w:rPr>
      </w:pPr>
    </w:p>
    <w:p>
      <w:pPr>
        <w:ind w:left="268" w:hanging="268"/>
        <w:spacing w:after="0"/>
        <w:tabs>
          <w:tab w:leader="none" w:pos="268"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Noncompetition. </w:t>
      </w:r>
      <w:r>
        <w:rPr>
          <w:rFonts w:ascii="Arial" w:cs="Arial" w:eastAsia="Arial" w:hAnsi="Arial"/>
          <w:sz w:val="13"/>
          <w:szCs w:val="13"/>
          <w:b w:val="1"/>
          <w:bCs w:val="1"/>
          <w:color w:val="auto"/>
        </w:rPr>
        <w:t>I acknowledge that in the course of my employment with or provision of services to Honeywell, I have and will become familiar with Trade Secrets, Proprietary and</w:t>
      </w:r>
    </w:p>
    <w:p>
      <w:pPr>
        <w:spacing w:after="0" w:line="36" w:lineRule="exact"/>
        <w:rPr>
          <w:rFonts w:ascii="Arial" w:cs="Arial" w:eastAsia="Arial" w:hAnsi="Arial"/>
          <w:sz w:val="13"/>
          <w:szCs w:val="13"/>
          <w:color w:val="auto"/>
        </w:rPr>
      </w:pPr>
    </w:p>
    <w:p>
      <w:pPr>
        <w:jc w:val="both"/>
        <w:ind w:left="8"/>
        <w:spacing w:after="0" w:line="281" w:lineRule="auto"/>
        <w:rPr>
          <w:rFonts w:ascii="Arial" w:cs="Arial" w:eastAsia="Arial" w:hAnsi="Arial"/>
          <w:sz w:val="13"/>
          <w:szCs w:val="13"/>
          <w:color w:val="auto"/>
        </w:rPr>
      </w:pPr>
      <w:r>
        <w:rPr>
          <w:rFonts w:ascii="Arial" w:cs="Arial" w:eastAsia="Arial" w:hAnsi="Arial"/>
          <w:sz w:val="13"/>
          <w:szCs w:val="13"/>
          <w:b w:val="1"/>
          <w:bCs w:val="1"/>
          <w:color w:val="auto"/>
        </w:rPr>
        <w:t>Confidential Information concerning 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Trade Secrets, Proprietary and Confidential Information concerning Honeywell. I further acknowledge that Honeywell operates in a very competitive business environment and my services are and will be of special, unique and extraordinary value to Honeywell. I further acknowledge that I have been given and will continue to be given access to, and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at Honeywell, disclose, disseminate, make available or use Honeywell’s Trade Secrets, Proprietary and Confidential Information.</w:t>
      </w:r>
    </w:p>
    <w:p>
      <w:pPr>
        <w:spacing w:after="0" w:line="111"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3"/>
          <w:szCs w:val="13"/>
          <w:color w:val="auto"/>
        </w:rPr>
        <w:t>I agree that, during my employment and for a period of one (1) year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in which any Honeywell business, for which I was employed or performed services in a job covered by this Program during the Look Back Period, conducts business or plans to conduct business as of my Termination of Employment. I acknowledge (i) that Honeywell’s business is conducted throughout the United States and around the world, (ii) notwithstanding the state of incorporation or principal office of Honeywell, it is expected that Honeywell will have business activities and have valuable business relationships within its industry throughout the United States and around the world, and (iii) as part of my responsibilities, I may be conducting business throughout the United States and around the world in furtherance of Honeywell’s business and its relationships.</w:t>
      </w:r>
    </w:p>
    <w:p>
      <w:pPr>
        <w:spacing w:after="0" w:line="108" w:lineRule="exact"/>
        <w:rPr>
          <w:sz w:val="20"/>
          <w:szCs w:val="20"/>
          <w:color w:val="auto"/>
        </w:rPr>
      </w:pPr>
    </w:p>
    <w:p>
      <w:pPr>
        <w:jc w:val="both"/>
        <w:ind w:left="8" w:firstLine="432"/>
        <w:spacing w:after="0" w:line="271" w:lineRule="auto"/>
        <w:rPr>
          <w:sz w:val="20"/>
          <w:szCs w:val="20"/>
          <w:color w:val="auto"/>
        </w:rPr>
      </w:pPr>
      <w:r>
        <w:rPr>
          <w:rFonts w:ascii="Arial" w:cs="Arial" w:eastAsia="Arial" w:hAnsi="Arial"/>
          <w:sz w:val="14"/>
          <w:szCs w:val="14"/>
          <w:color w:val="auto"/>
        </w:rPr>
        <w:t>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any Honeywell business for which I (A) was employed or performed services in a job covered by this Program, or (B) had knowledge of operations over the Look Back</w:t>
      </w:r>
    </w:p>
    <w:p>
      <w:pPr>
        <w:sectPr>
          <w:pgSz w:w="11900" w:h="16838" w:orient="portrait"/>
          <w:cols w:equalWidth="0" w:num="1">
            <w:col w:w="11488"/>
          </w:cols>
          <w:pgMar w:left="212" w:top="1166" w:right="199" w:bottom="1440" w:gutter="0" w:footer="0" w:header="0"/>
        </w:sectPr>
      </w:pPr>
    </w:p>
    <w:bookmarkStart w:id="53" w:name="page54"/>
    <w:bookmarkEnd w:id="53"/>
    <w:p>
      <w:pPr>
        <w:jc w:val="both"/>
        <w:ind w:left="8"/>
        <w:spacing w:after="0" w:line="282" w:lineRule="auto"/>
        <w:rPr>
          <w:sz w:val="20"/>
          <w:szCs w:val="20"/>
          <w:color w:val="auto"/>
        </w:rPr>
      </w:pPr>
      <w:r>
        <w:rPr>
          <w:rFonts w:ascii="Arial" w:cs="Arial" w:eastAsia="Arial" w:hAnsi="Arial"/>
          <w:sz w:val="13"/>
          <w:szCs w:val="13"/>
          <w:color w:val="auto"/>
        </w:rPr>
        <w:t>Period,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any Honeywell business for which I (X) was employed or performed services in a job covered by this Program, or (Y) had knowledge of operations during the Look Back Period. I acknowledge that I will be deemed to have knowledge of a business if I received, was in possession of or otherwise had access to Trade Secrets, Proprietary and Confidential Information regarding such business. 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which I have held over the last two years is subject to this Program and shall be used to identify Competing Businesses, I should contact my Human Resource representative.</w:t>
      </w:r>
    </w:p>
    <w:p>
      <w:pPr>
        <w:spacing w:after="0" w:line="108" w:lineRule="exact"/>
        <w:rPr>
          <w:sz w:val="20"/>
          <w:szCs w:val="20"/>
          <w:color w:val="auto"/>
        </w:rPr>
      </w:pPr>
    </w:p>
    <w:p>
      <w:pPr>
        <w:jc w:val="both"/>
        <w:ind w:left="8" w:firstLine="432"/>
        <w:spacing w:after="0" w:line="260" w:lineRule="auto"/>
        <w:rPr>
          <w:sz w:val="20"/>
          <w:szCs w:val="20"/>
          <w:color w:val="auto"/>
        </w:rPr>
      </w:pPr>
      <w:r>
        <w:rPr>
          <w:rFonts w:ascii="Arial" w:cs="Arial" w:eastAsia="Arial" w:hAnsi="Arial"/>
          <w:sz w:val="14"/>
          <w:szCs w:val="14"/>
          <w:color w:val="auto"/>
        </w:rPr>
        <w:t>Honeywell recognizes that some businesses, persons, entities, or group of businesses that are Competing Businesses as defined above may also have lines of business or parts of their business that do not compete with Honeywell as defined above, and the restrictions contained herein are not intended to include such lines of business or parts of their businesses. I understand and agree that if I intend to become employed by, perform services for, or otherwise become associated with (as an employee, officer, director, principal, agent, manager, partner, co-partner or consultant or any other individual or representative role) a Competing Business as defined above, it is presumed that the restriction contained herein applies. I further understand and agree that if I do not believe the restriction contained herein should apply, I must demonstrate to Honeywell that I will only be employed by, perform services for, or otherwise become associated with (as an employee, officer, director, principal, agent, manager, partner, co-partner or consultant or any other individual or representative role) a line of business in, or part of, a Competing Business that does not compete with Honeywell as defined above.</w:t>
      </w:r>
    </w:p>
    <w:p>
      <w:pPr>
        <w:spacing w:after="0" w:line="117" w:lineRule="exact"/>
        <w:rPr>
          <w:sz w:val="20"/>
          <w:szCs w:val="20"/>
          <w:color w:val="auto"/>
        </w:rPr>
      </w:pPr>
    </w:p>
    <w:p>
      <w:pPr>
        <w:jc w:val="both"/>
        <w:ind w:left="8" w:hanging="8"/>
        <w:spacing w:after="0" w:line="285" w:lineRule="auto"/>
        <w:tabs>
          <w:tab w:leader="none" w:pos="294"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Reasonableness of Restrictions and Validity. </w:t>
      </w:r>
      <w:r>
        <w:rPr>
          <w:rFonts w:ascii="Arial" w:cs="Arial" w:eastAsia="Arial" w:hAnsi="Arial"/>
          <w:sz w:val="13"/>
          <w:szCs w:val="13"/>
          <w:color w:val="auto"/>
        </w:rPr>
        <w:t>I agree that the terms of this Agreement are reasonable and do not impose a greater restraint than necessary to protect Honeywell’s legitimate</w:t>
      </w:r>
      <w:r>
        <w:rPr>
          <w:rFonts w:ascii="Arial" w:cs="Arial" w:eastAsia="Arial" w:hAnsi="Arial"/>
          <w:sz w:val="13"/>
          <w:szCs w:val="13"/>
          <w:b w:val="1"/>
          <w:bCs w:val="1"/>
          <w:color w:val="auto"/>
        </w:rPr>
        <w:t xml:space="preserve"> </w:t>
      </w:r>
      <w:r>
        <w:rPr>
          <w:rFonts w:ascii="Arial" w:cs="Arial" w:eastAsia="Arial" w:hAnsi="Arial"/>
          <w:sz w:val="13"/>
          <w:szCs w:val="13"/>
          <w:color w:val="auto"/>
        </w:rPr>
        <w:t>protectable business interests, including the protection of its Trade Secrets, Proprietary and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 or modifying any overbroad or otherwise invalid terms to the extent necessary to render the terms valid and enforceable and then enforcing the Agreement as so reformed or modified.</w:t>
      </w:r>
    </w:p>
    <w:p>
      <w:pPr>
        <w:spacing w:after="0" w:line="101" w:lineRule="exact"/>
        <w:rPr>
          <w:rFonts w:ascii="Arial" w:cs="Arial" w:eastAsia="Arial" w:hAnsi="Arial"/>
          <w:sz w:val="13"/>
          <w:szCs w:val="13"/>
          <w:b w:val="1"/>
          <w:bCs w:val="1"/>
          <w:color w:val="auto"/>
        </w:rPr>
      </w:pPr>
    </w:p>
    <w:p>
      <w:pPr>
        <w:jc w:val="both"/>
        <w:ind w:left="8" w:hanging="8"/>
        <w:spacing w:after="0" w:line="280" w:lineRule="auto"/>
        <w:tabs>
          <w:tab w:leader="none" w:pos="258"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 xml:space="preserve">Remedies. </w:t>
      </w:r>
      <w:r>
        <w:rPr>
          <w:rFonts w:ascii="Arial" w:cs="Arial" w:eastAsia="Arial" w:hAnsi="Arial"/>
          <w:sz w:val="14"/>
          <w:szCs w:val="14"/>
          <w:color w:val="auto"/>
        </w:rPr>
        <w:t>I acknowledge that a remedy at law for any breach or threatened breach of the provisions of this Agreement would be inadequate and therefore agree that Honeywell shall be entitled</w:t>
      </w:r>
      <w:r>
        <w:rPr>
          <w:rFonts w:ascii="Arial" w:cs="Arial" w:eastAsia="Arial" w:hAnsi="Arial"/>
          <w:sz w:val="14"/>
          <w:szCs w:val="14"/>
          <w:b w:val="1"/>
          <w:bCs w:val="1"/>
          <w:color w:val="auto"/>
        </w:rPr>
        <w:t xml:space="preserve"> </w:t>
      </w:r>
      <w:r>
        <w:rPr>
          <w:rFonts w:ascii="Arial" w:cs="Arial" w:eastAsia="Arial" w:hAnsi="Arial"/>
          <w:sz w:val="14"/>
          <w:szCs w:val="14"/>
          <w:color w:val="auto"/>
        </w:rPr>
        <w:t>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w:t>
      </w:r>
    </w:p>
    <w:p>
      <w:pPr>
        <w:sectPr>
          <w:pgSz w:w="11900" w:h="16838" w:orient="portrait"/>
          <w:cols w:equalWidth="0" w:num="1">
            <w:col w:w="11488"/>
          </w:cols>
          <w:pgMar w:left="212" w:top="440" w:right="199" w:bottom="1440" w:gutter="0" w:footer="0" w:header="0"/>
        </w:sectPr>
      </w:pPr>
    </w:p>
    <w:bookmarkStart w:id="54" w:name="page55"/>
    <w:bookmarkEnd w:id="54"/>
    <w:p>
      <w:pPr>
        <w:jc w:val="both"/>
        <w:ind w:left="8"/>
        <w:spacing w:after="0" w:line="261" w:lineRule="auto"/>
        <w:rPr>
          <w:sz w:val="20"/>
          <w:szCs w:val="20"/>
          <w:color w:val="auto"/>
        </w:rPr>
      </w:pPr>
      <w:r>
        <w:rPr>
          <w:rFonts w:ascii="Arial" w:cs="Arial" w:eastAsia="Arial" w:hAnsi="Arial"/>
          <w:sz w:val="14"/>
          <w:szCs w:val="14"/>
          <w:color w:val="auto"/>
        </w:rPr>
        <w:t>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116" w:lineRule="exact"/>
        <w:rPr>
          <w:sz w:val="20"/>
          <w:szCs w:val="20"/>
          <w:color w:val="auto"/>
        </w:rPr>
      </w:pPr>
    </w:p>
    <w:p>
      <w:pPr>
        <w:jc w:val="both"/>
        <w:ind w:left="8" w:hanging="8"/>
        <w:spacing w:after="0" w:line="262" w:lineRule="auto"/>
        <w:tabs>
          <w:tab w:leader="none" w:pos="267"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 xml:space="preserve">Harm and Injunctive Relief and Permitted Disclosures. </w:t>
      </w:r>
      <w:r>
        <w:rPr>
          <w:rFonts w:ascii="Arial" w:cs="Arial" w:eastAsia="Arial" w:hAnsi="Arial"/>
          <w:sz w:val="14"/>
          <w:szCs w:val="14"/>
          <w:color w:val="auto"/>
        </w:rPr>
        <w:t>I agree and acknowledge that the restrictions contained in this Agreement do not preclude me from earning a livelihood, nor do they</w:t>
      </w:r>
      <w:r>
        <w:rPr>
          <w:rFonts w:ascii="Arial" w:cs="Arial" w:eastAsia="Arial" w:hAnsi="Arial"/>
          <w:sz w:val="14"/>
          <w:szCs w:val="14"/>
          <w:b w:val="1"/>
          <w:bCs w:val="1"/>
          <w:color w:val="auto"/>
        </w:rPr>
        <w:t xml:space="preserve"> </w:t>
      </w:r>
      <w:r>
        <w:rPr>
          <w:rFonts w:ascii="Arial" w:cs="Arial" w:eastAsia="Arial" w:hAnsi="Arial"/>
          <w:sz w:val="14"/>
          <w:szCs w:val="14"/>
          <w:color w:val="auto"/>
        </w:rPr>
        <w:t>unreasonably impose 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Trade Secrets, Proprietary and Confidential Information. I agree and acknowledge that I have been provided adequate and reasonable consideration in exchange for the obligations under this Agreement, including employment or continued employment by Honeywell, goodwill, access or continued access to Honeywell’s Trade Secrets, Proprietary and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20" w:lineRule="exact"/>
        <w:rPr>
          <w:sz w:val="20"/>
          <w:szCs w:val="20"/>
          <w:color w:val="auto"/>
        </w:rPr>
      </w:pPr>
    </w:p>
    <w:p>
      <w:pPr>
        <w:jc w:val="both"/>
        <w:ind w:left="8" w:firstLine="432"/>
        <w:spacing w:after="0" w:line="265" w:lineRule="auto"/>
        <w:rPr>
          <w:sz w:val="20"/>
          <w:szCs w:val="20"/>
          <w:color w:val="auto"/>
        </w:rPr>
      </w:pPr>
      <w:r>
        <w:rPr>
          <w:rFonts w:ascii="Arial" w:cs="Arial" w:eastAsia="Arial" w:hAnsi="Arial"/>
          <w:sz w:val="14"/>
          <w:szCs w:val="14"/>
          <w:color w:val="auto"/>
        </w:rPr>
        <w:t>I understand that I may not be held criminally or civilly liable under any federal or state trade secret law for the disclosure of a trade secret that is made (a) in confidence to a federal, state or local government official, either directly or indirectly, or to an attorney if such disclosure is made solely for the purpose of reporting or investigating a suspected violation of law or for pursuing an anti-retaliation lawsuit; or (b) in a complaint or other document filed in a lawsuit or other proceeding, if such filing is made under seal and I do not disclose the trade secret except pursuant to a court order.</w:t>
      </w:r>
    </w:p>
    <w:p>
      <w:pPr>
        <w:spacing w:after="0" w:line="114" w:lineRule="exact"/>
        <w:rPr>
          <w:sz w:val="20"/>
          <w:szCs w:val="20"/>
          <w:color w:val="auto"/>
        </w:rPr>
      </w:pPr>
    </w:p>
    <w:p>
      <w:pPr>
        <w:jc w:val="both"/>
        <w:ind w:left="8" w:hanging="8"/>
        <w:spacing w:after="0" w:line="261" w:lineRule="auto"/>
        <w:tabs>
          <w:tab w:leader="none" w:pos="267"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 xml:space="preserve">Binding Agreement, Amendment, Successors. </w:t>
      </w:r>
      <w:r>
        <w:rPr>
          <w:rFonts w:ascii="Arial" w:cs="Arial" w:eastAsia="Arial" w:hAnsi="Arial"/>
          <w:sz w:val="14"/>
          <w:szCs w:val="14"/>
          <w:color w:val="auto"/>
        </w:rPr>
        <w:t>I acknowledge that the provisions of this Agreement are in addition to, and in no way intended to limit, restrict or narrow any prior or existing</w:t>
      </w:r>
      <w:r>
        <w:rPr>
          <w:rFonts w:ascii="Arial" w:cs="Arial" w:eastAsia="Arial" w:hAnsi="Arial"/>
          <w:sz w:val="14"/>
          <w:szCs w:val="14"/>
          <w:b w:val="1"/>
          <w:bCs w:val="1"/>
          <w:color w:val="auto"/>
        </w:rPr>
        <w:t xml:space="preserve"> </w:t>
      </w:r>
      <w:r>
        <w:rPr>
          <w:rFonts w:ascii="Arial" w:cs="Arial" w:eastAsia="Arial" w:hAnsi="Arial"/>
          <w:sz w:val="14"/>
          <w:szCs w:val="14"/>
          <w:color w:val="auto"/>
        </w:rPr>
        <w:t>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 in Paragraph 1 and the other terms in this Agreement are to be read consistent with 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 effect. No waiver of this Agreement will be effective unless it is in writing and signed by Honeywell International’s Senior Vice President for Human Resources and Communications or his/her designee. This Agreement may not be superseded or amended by any other agreement between myself and Honeywell unless such agreement specifically and expressly states that it is intended to supersede this Agreement and is executed by Honeywell International’s Senior Vice President for Human Resources and Communications or his/her</w:t>
      </w:r>
    </w:p>
    <w:p>
      <w:pPr>
        <w:sectPr>
          <w:pgSz w:w="11900" w:h="16838" w:orient="portrait"/>
          <w:cols w:equalWidth="0" w:num="1">
            <w:col w:w="11488"/>
          </w:cols>
          <w:pgMar w:left="212" w:top="440" w:right="199" w:bottom="1440" w:gutter="0" w:footer="0" w:header="0"/>
        </w:sectPr>
      </w:pPr>
    </w:p>
    <w:bookmarkStart w:id="55" w:name="page56"/>
    <w:bookmarkEnd w:id="55"/>
    <w:p>
      <w:pPr>
        <w:ind w:left="8"/>
        <w:spacing w:after="0"/>
        <w:rPr>
          <w:sz w:val="20"/>
          <w:szCs w:val="20"/>
          <w:color w:val="auto"/>
        </w:rPr>
      </w:pPr>
      <w:r>
        <w:rPr>
          <w:rFonts w:ascii="Arial" w:cs="Arial" w:eastAsia="Arial" w:hAnsi="Arial"/>
          <w:sz w:val="14"/>
          <w:szCs w:val="14"/>
          <w:color w:val="auto"/>
        </w:rPr>
        <w:t>designee. This Agreement binds my heirs, executors, administrators, legal representatives and assigns and inures to the benefit of Honeywell and its successors and assigns.</w:t>
      </w:r>
    </w:p>
    <w:p>
      <w:pPr>
        <w:spacing w:after="0" w:line="150" w:lineRule="exact"/>
        <w:rPr>
          <w:sz w:val="20"/>
          <w:szCs w:val="20"/>
          <w:color w:val="auto"/>
        </w:rPr>
      </w:pPr>
    </w:p>
    <w:p>
      <w:pPr>
        <w:ind w:left="8" w:hanging="8"/>
        <w:spacing w:after="0" w:line="306" w:lineRule="auto"/>
        <w:tabs>
          <w:tab w:leader="none" w:pos="258" w:val="left"/>
        </w:tabs>
        <w:numPr>
          <w:ilvl w:val="0"/>
          <w:numId w:val="21"/>
        </w:numPr>
        <w:rPr>
          <w:rFonts w:ascii="Arial" w:cs="Arial" w:eastAsia="Arial" w:hAnsi="Arial"/>
          <w:sz w:val="14"/>
          <w:szCs w:val="14"/>
          <w:color w:val="auto"/>
        </w:rPr>
      </w:pPr>
      <w:r>
        <w:rPr>
          <w:rFonts w:ascii="Arial" w:cs="Arial" w:eastAsia="Arial" w:hAnsi="Arial"/>
          <w:sz w:val="14"/>
          <w:szCs w:val="14"/>
          <w:b w:val="1"/>
          <w:bCs w:val="1"/>
          <w:color w:val="auto"/>
        </w:rPr>
        <w:t xml:space="preserve">Acknowledgement of Receipt. </w:t>
      </w:r>
      <w:r>
        <w:rPr>
          <w:rFonts w:ascii="Arial" w:cs="Arial" w:eastAsia="Arial" w:hAnsi="Arial"/>
          <w:sz w:val="14"/>
          <w:szCs w:val="14"/>
          <w:color w:val="auto"/>
        </w:rPr>
        <w:t>I acknowledge that I received a copy of this Agreement prior to accepting my transfer, promotion, or hire into my new role and that execution of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was an express condition of such transfer, promotion, or hire.</w:t>
      </w:r>
    </w:p>
    <w:p>
      <w:pPr>
        <w:spacing w:after="0" w:line="84" w:lineRule="exact"/>
        <w:rPr>
          <w:rFonts w:ascii="Arial" w:cs="Arial" w:eastAsia="Arial" w:hAnsi="Arial"/>
          <w:sz w:val="14"/>
          <w:szCs w:val="14"/>
          <w:color w:val="auto"/>
        </w:rPr>
      </w:pPr>
    </w:p>
    <w:p>
      <w:pPr>
        <w:ind w:left="8" w:hanging="8"/>
        <w:spacing w:after="0" w:line="306" w:lineRule="auto"/>
        <w:tabs>
          <w:tab w:leader="none" w:pos="294" w:val="left"/>
        </w:tabs>
        <w:numPr>
          <w:ilvl w:val="0"/>
          <w:numId w:val="21"/>
        </w:numPr>
        <w:rPr>
          <w:rFonts w:ascii="Arial" w:cs="Arial" w:eastAsia="Arial" w:hAnsi="Arial"/>
          <w:sz w:val="14"/>
          <w:szCs w:val="14"/>
          <w:color w:val="auto"/>
        </w:rPr>
      </w:pPr>
      <w:r>
        <w:rPr>
          <w:rFonts w:ascii="Arial" w:cs="Arial" w:eastAsia="Arial" w:hAnsi="Arial"/>
          <w:sz w:val="14"/>
          <w:szCs w:val="14"/>
          <w:b w:val="1"/>
          <w:bCs w:val="1"/>
          <w:color w:val="auto"/>
        </w:rPr>
        <w:t xml:space="preserve">Effectiveness of Agreement. </w:t>
      </w:r>
      <w:r>
        <w:rPr>
          <w:rFonts w:ascii="Arial" w:cs="Arial" w:eastAsia="Arial" w:hAnsi="Arial"/>
          <w:sz w:val="14"/>
          <w:szCs w:val="14"/>
          <w:color w:val="auto"/>
        </w:rPr>
        <w:t>This Agreement becomes effective when I sign it, the obligations under it continue throughout the entire period of time I am employed by Honeywell, without</w:t>
      </w:r>
      <w:r>
        <w:rPr>
          <w:rFonts w:ascii="Arial" w:cs="Arial" w:eastAsia="Arial" w:hAnsi="Arial"/>
          <w:sz w:val="14"/>
          <w:szCs w:val="14"/>
          <w:b w:val="1"/>
          <w:bCs w:val="1"/>
          <w:color w:val="auto"/>
        </w:rPr>
        <w:t xml:space="preserve"> </w:t>
      </w:r>
      <w:r>
        <w:rPr>
          <w:rFonts w:ascii="Arial" w:cs="Arial" w:eastAsia="Arial" w:hAnsi="Arial"/>
          <w:sz w:val="14"/>
          <w:szCs w:val="14"/>
          <w:color w:val="auto"/>
        </w:rPr>
        <w:t>regard to the business within Honeywell with which I am associated and these obligations will continue after, and survive, the end of my employment with Honeywell.</w:t>
      </w:r>
    </w:p>
    <w:p>
      <w:pPr>
        <w:spacing w:after="0" w:line="84" w:lineRule="exact"/>
        <w:rPr>
          <w:rFonts w:ascii="Arial" w:cs="Arial" w:eastAsia="Arial" w:hAnsi="Arial"/>
          <w:sz w:val="14"/>
          <w:szCs w:val="14"/>
          <w:color w:val="auto"/>
        </w:rPr>
      </w:pPr>
    </w:p>
    <w:p>
      <w:pPr>
        <w:jc w:val="both"/>
        <w:ind w:left="8" w:hanging="8"/>
        <w:spacing w:after="0" w:line="280" w:lineRule="auto"/>
        <w:tabs>
          <w:tab w:leader="none" w:pos="249"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Notice to Future Employers. </w:t>
      </w:r>
      <w:r>
        <w:rPr>
          <w:rFonts w:ascii="Arial" w:cs="Arial" w:eastAsia="Arial" w:hAnsi="Arial"/>
          <w:sz w:val="14"/>
          <w:szCs w:val="14"/>
          <w:color w:val="auto"/>
        </w:rPr>
        <w:t>For the period of one (1) year immediately following the end of my employment with Honeywell, I will inform each new employer, prior to accepting employment,</w:t>
      </w:r>
      <w:r>
        <w:rPr>
          <w:rFonts w:ascii="Arial" w:cs="Arial" w:eastAsia="Arial" w:hAnsi="Arial"/>
          <w:sz w:val="14"/>
          <w:szCs w:val="14"/>
          <w:b w:val="1"/>
          <w:bCs w:val="1"/>
          <w:color w:val="auto"/>
        </w:rPr>
        <w:t xml:space="preserve"> </w:t>
      </w:r>
      <w:r>
        <w:rPr>
          <w:rFonts w:ascii="Arial" w:cs="Arial" w:eastAsia="Arial" w:hAnsi="Arial"/>
          <w:sz w:val="14"/>
          <w:szCs w:val="14"/>
          <w:color w:val="auto"/>
        </w:rPr>
        <w:t>of the existence of this Agreement and provide that employer with a copy of it. Honeywell has the right to inform any future employer of the existence of this Agreement and to provide any future employers with a copy of it.</w:t>
      </w:r>
    </w:p>
    <w:p>
      <w:pPr>
        <w:spacing w:after="0" w:line="103" w:lineRule="exact"/>
        <w:rPr>
          <w:rFonts w:ascii="Arial" w:cs="Arial" w:eastAsia="Arial" w:hAnsi="Arial"/>
          <w:sz w:val="14"/>
          <w:szCs w:val="14"/>
          <w:b w:val="1"/>
          <w:bCs w:val="1"/>
          <w:color w:val="auto"/>
        </w:rPr>
      </w:pPr>
    </w:p>
    <w:p>
      <w:pPr>
        <w:jc w:val="both"/>
        <w:ind w:left="8" w:hanging="8"/>
        <w:spacing w:after="0" w:line="280" w:lineRule="auto"/>
        <w:tabs>
          <w:tab w:leader="none" w:pos="276"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Governing Law and Venue. </w:t>
      </w:r>
      <w:r>
        <w:rPr>
          <w:rFonts w:ascii="Arial" w:cs="Arial" w:eastAsia="Arial" w:hAnsi="Arial"/>
          <w:sz w:val="14"/>
          <w:szCs w:val="14"/>
          <w:color w:val="auto"/>
        </w:rPr>
        <w:t>This Agreement shall be governed by and construed in accordance with the laws of the State of New Jersey without regard to its principles of conflicts of law. I</w:t>
      </w:r>
      <w:r>
        <w:rPr>
          <w:rFonts w:ascii="Arial" w:cs="Arial" w:eastAsia="Arial" w:hAnsi="Arial"/>
          <w:sz w:val="14"/>
          <w:szCs w:val="14"/>
          <w:b w:val="1"/>
          <w:bCs w:val="1"/>
          <w:color w:val="auto"/>
        </w:rPr>
        <w:t xml:space="preserve"> </w:t>
      </w:r>
      <w:r>
        <w:rPr>
          <w:rFonts w:ascii="Arial" w:cs="Arial" w:eastAsia="Arial" w:hAnsi="Arial"/>
          <w:sz w:val="14"/>
          <w:szCs w:val="14"/>
          <w:color w:val="auto"/>
        </w:rPr>
        <w:t>hereby consent to the exclusive jurisdiction and venue in the federal and state courts of the State of New Jersey, Morris County, for the resolution of all disputes arising under, or relating to, this Agreement.</w:t>
      </w:r>
    </w:p>
    <w:p>
      <w:pPr>
        <w:spacing w:after="0" w:line="103" w:lineRule="exact"/>
        <w:rPr>
          <w:rFonts w:ascii="Arial" w:cs="Arial" w:eastAsia="Arial" w:hAnsi="Arial"/>
          <w:sz w:val="14"/>
          <w:szCs w:val="14"/>
          <w:b w:val="1"/>
          <w:bCs w:val="1"/>
          <w:color w:val="auto"/>
        </w:rPr>
      </w:pPr>
    </w:p>
    <w:p>
      <w:pPr>
        <w:ind w:left="308" w:hanging="308"/>
        <w:spacing w:after="0"/>
        <w:tabs>
          <w:tab w:leader="none" w:pos="308" w:val="left"/>
        </w:tabs>
        <w:numPr>
          <w:ilvl w:val="0"/>
          <w:numId w:val="21"/>
        </w:numPr>
        <w:rPr>
          <w:rFonts w:ascii="Arial" w:cs="Arial" w:eastAsia="Arial" w:hAnsi="Arial"/>
          <w:sz w:val="14"/>
          <w:szCs w:val="14"/>
          <w:color w:val="auto"/>
        </w:rPr>
      </w:pPr>
      <w:r>
        <w:rPr>
          <w:rFonts w:ascii="Arial" w:cs="Arial" w:eastAsia="Arial" w:hAnsi="Arial"/>
          <w:sz w:val="14"/>
          <w:szCs w:val="14"/>
          <w:b w:val="1"/>
          <w:bCs w:val="1"/>
          <w:color w:val="auto"/>
        </w:rPr>
        <w:t>Additional Definitions.</w:t>
      </w:r>
    </w:p>
    <w:p>
      <w:pPr>
        <w:spacing w:after="0" w:line="167" w:lineRule="exact"/>
        <w:rPr>
          <w:sz w:val="20"/>
          <w:szCs w:val="20"/>
          <w:color w:val="auto"/>
        </w:rPr>
      </w:pPr>
    </w:p>
    <w:p>
      <w:pPr>
        <w:jc w:val="both"/>
        <w:ind w:left="8" w:firstLine="432"/>
        <w:spacing w:after="0" w:line="271" w:lineRule="auto"/>
        <w:rPr>
          <w:sz w:val="20"/>
          <w:szCs w:val="20"/>
          <w:color w:val="auto"/>
        </w:rPr>
      </w:pPr>
      <w:r>
        <w:rPr>
          <w:rFonts w:ascii="Arial" w:cs="Arial" w:eastAsia="Arial" w:hAnsi="Arial"/>
          <w:sz w:val="14"/>
          <w:szCs w:val="14"/>
          <w:color w:val="auto"/>
        </w:rPr>
        <w:t>“Honeywell” collectively identifies Honeywell International Inc. (a Delaware corporation having a place of business at Tabor Road, Morris Plains, Morris County, New Jersey), its predecessors, designees and successors and its past, present and future operating companies, divisions, subsidiaries, affiliates and other business units, including businesses acquired by purchase of assets, stock, merger or otherwise.</w:t>
      </w:r>
    </w:p>
    <w:p>
      <w:pPr>
        <w:spacing w:after="0" w:line="112" w:lineRule="exact"/>
        <w:rPr>
          <w:sz w:val="20"/>
          <w:szCs w:val="20"/>
          <w:color w:val="auto"/>
        </w:rPr>
      </w:pPr>
    </w:p>
    <w:p>
      <w:pPr>
        <w:ind w:left="428"/>
        <w:spacing w:after="0"/>
        <w:rPr>
          <w:sz w:val="20"/>
          <w:szCs w:val="20"/>
          <w:color w:val="auto"/>
        </w:rPr>
      </w:pPr>
      <w:r>
        <w:rPr>
          <w:rFonts w:ascii="Arial" w:cs="Arial" w:eastAsia="Arial" w:hAnsi="Arial"/>
          <w:sz w:val="14"/>
          <w:szCs w:val="14"/>
          <w:color w:val="auto"/>
        </w:rPr>
        <w:t>“Look Back Period” means the two (2) year period ending on the date of my Termination of Employment.</w:t>
      </w:r>
    </w:p>
    <w:p>
      <w:pPr>
        <w:spacing w:after="0" w:line="154" w:lineRule="exact"/>
        <w:rPr>
          <w:sz w:val="20"/>
          <w:szCs w:val="20"/>
          <w:color w:val="auto"/>
        </w:rPr>
      </w:pPr>
    </w:p>
    <w:p>
      <w:pPr>
        <w:jc w:val="both"/>
        <w:ind w:left="8" w:firstLine="432"/>
        <w:spacing w:after="0" w:line="287" w:lineRule="auto"/>
        <w:rPr>
          <w:sz w:val="20"/>
          <w:szCs w:val="20"/>
          <w:color w:val="auto"/>
        </w:rPr>
      </w:pPr>
      <w:r>
        <w:rPr>
          <w:rFonts w:ascii="Arial" w:cs="Arial" w:eastAsia="Arial" w:hAnsi="Arial"/>
          <w:sz w:val="14"/>
          <w:szCs w:val="14"/>
          <w:color w:val="auto"/>
        </w:rPr>
        <w:t>“Program” refers to the noncompete initiative implemented by Honeywell requiring that employees occupying certain Executive Level and Officer positions (Senior Executives) execute this noncompete Agreement.</w:t>
      </w:r>
    </w:p>
    <w:p>
      <w:pPr>
        <w:spacing w:after="0" w:line="101" w:lineRule="exact"/>
        <w:rPr>
          <w:sz w:val="20"/>
          <w:szCs w:val="20"/>
          <w:color w:val="auto"/>
        </w:rPr>
      </w:pPr>
    </w:p>
    <w:p>
      <w:pPr>
        <w:jc w:val="both"/>
        <w:ind w:left="8" w:firstLine="432"/>
        <w:spacing w:after="0" w:line="260" w:lineRule="auto"/>
        <w:rPr>
          <w:sz w:val="20"/>
          <w:szCs w:val="20"/>
          <w:color w:val="auto"/>
        </w:rPr>
      </w:pPr>
      <w:r>
        <w:rPr>
          <w:rFonts w:ascii="Arial" w:cs="Arial" w:eastAsia="Arial" w:hAnsi="Arial"/>
          <w:sz w:val="14"/>
          <w:szCs w:val="14"/>
          <w:color w:val="auto"/>
        </w:rPr>
        <w:t>“Trade Secrets, Proprietary and Confidential Information” means information which is not generally known in the industry in which Honeywell International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International or held by Honeywell International in confidence.</w:t>
      </w:r>
    </w:p>
    <w:p>
      <w:pPr>
        <w:sectPr>
          <w:pgSz w:w="11900" w:h="16838" w:orient="portrait"/>
          <w:cols w:equalWidth="0" w:num="1">
            <w:col w:w="11488"/>
          </w:cols>
          <w:pgMar w:left="212" w:top="440" w:right="199" w:bottom="1440" w:gutter="0" w:footer="0" w:header="0"/>
        </w:sectPr>
      </w:pPr>
    </w:p>
    <w:bookmarkStart w:id="56" w:name="page57"/>
    <w:bookmarkEnd w:id="56"/>
    <w:p>
      <w:pPr>
        <w:jc w:val="both"/>
        <w:ind w:right="20" w:firstLine="432"/>
        <w:spacing w:after="0" w:line="287" w:lineRule="auto"/>
        <w:rPr>
          <w:sz w:val="20"/>
          <w:szCs w:val="20"/>
          <w:color w:val="auto"/>
        </w:rPr>
      </w:pPr>
      <w:r>
        <w:rPr>
          <w:rFonts w:ascii="Arial" w:cs="Arial" w:eastAsia="Arial" w:hAnsi="Arial"/>
          <w:sz w:val="14"/>
          <w:szCs w:val="14"/>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97"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3"/>
          <w:szCs w:val="13"/>
          <w:b w:val="1"/>
          <w:bCs w:val="1"/>
          <w:color w:val="auto"/>
        </w:rPr>
        <w:t>Headings</w:t>
      </w:r>
      <w:r>
        <w:rPr>
          <w:rFonts w:ascii="Arial" w:cs="Arial" w:eastAsia="Arial" w:hAnsi="Arial"/>
          <w:sz w:val="13"/>
          <w:szCs w:val="13"/>
          <w:color w:val="auto"/>
        </w:rPr>
        <w:t>. The headings of the paragraphs of this Agreement are inserted for convenience only and shall not in any way affect the meaning or construction of this Agreement.</w:t>
      </w:r>
    </w:p>
    <w:p>
      <w:pPr>
        <w:spacing w:after="0" w:line="167"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I have carefully read this Agreement. I understand and accept its terms. I understand and agree that I will continue to be bound by the provisions of this Agreement after my employment with Honeywell has ended.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/s/ Mark R. James</w:t>
            </w:r>
          </w:p>
        </w:tc>
        <w:tc>
          <w:tcPr>
            <w:tcW w:w="9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7/9/18</w:t>
            </w:r>
          </w:p>
        </w:tc>
        <w:tc>
          <w:tcPr>
            <w:tcW w:w="20" w:type="dxa"/>
            <w:vAlign w:val="bottom"/>
          </w:tcPr>
          <w:p>
            <w:pPr>
              <w:spacing w:after="0"/>
              <w:rPr>
                <w:sz w:val="14"/>
                <w:szCs w:val="14"/>
                <w:color w:val="auto"/>
              </w:rPr>
            </w:pPr>
          </w:p>
        </w:tc>
      </w:tr>
      <w:tr>
        <w:trPr>
          <w:trHeight w:val="193"/>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MARK R. JAMES</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w w:val="87"/>
              </w:rPr>
              <w:t>Date</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ADDENDUM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HONEYWELL INTERNATIONAL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NONCOMPETE AGREEMENT FOR SENIOR EXECUTIVES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MARK R. JAMES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EMPLOYED AS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SENIOR VICE PRESIDENT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HUMAN RESOURCES, SECURITY AND COMMUNICATIONS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Pursuant to Paragraph 1 of your Honeywell International Noncompete Agreement for Senior Executives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1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Based on your current role and responsibilities with Honeywell as its Senior Vice President, Human Resources, Security and Communications, the following companies are considered key competitors and therefore fall within the definition of a Competing Business, as that term is used in your Noncompete Agreement:</w:t>
      </w:r>
    </w:p>
    <w:p>
      <w:pPr>
        <w:spacing w:after="0" w:line="97" w:lineRule="exact"/>
        <w:rPr>
          <w:sz w:val="20"/>
          <w:szCs w:val="20"/>
          <w:color w:val="auto"/>
        </w:rPr>
      </w:pPr>
    </w:p>
    <w:p>
      <w:pPr>
        <w:jc w:val="both"/>
        <w:ind w:left="240"/>
        <w:spacing w:after="0" w:line="294" w:lineRule="auto"/>
        <w:rPr>
          <w:sz w:val="20"/>
          <w:szCs w:val="20"/>
          <w:color w:val="auto"/>
        </w:rPr>
      </w:pPr>
      <w:r>
        <w:rPr>
          <w:rFonts w:ascii="Arial" w:cs="Arial" w:eastAsia="Arial" w:hAnsi="Arial"/>
          <w:sz w:val="13"/>
          <w:szCs w:val="13"/>
          <w:b w:val="1"/>
          <w:bCs w:val="1"/>
          <w:color w:val="auto"/>
        </w:rPr>
        <w:t>General Electric, United Technologies, Rockwell Collins, Lockheed Martin, Northrop Grumman, Garmin, Thales, Williams, Emerson, Invensys, Johnson Controls, Schneider Electric, Siemens, Yamatake, Ingersoll Rand, Rockwell Automation, Bosch, Mine Safety Appliances, 3M, Tyco, ABB, Yokogawa, Philips, Motorola Solutions (Symbol), Arkema, Axens, BASF, DSM, Dupont, Shell/Criterion, Albermarle, Sinopec, Chevron Lummus Global, Solvay, Fluor, Celanese, Borg-Warner, Holset, IHI, MHI, Bosch-Mahle JV, Schaeffler-Continental, Voight, APB, Cummins, Behr, Modine, Valeo, Advics, Akebono, Continental, Federal-Mogul, ITT Corp., JBI, Nisshinbo, TMD Friction, TRW, Saxid, Affina, Centric</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w:t>
      </w:r>
    </w:p>
    <w:p>
      <w:pPr>
        <w:sectPr>
          <w:pgSz w:w="11900" w:h="16838" w:orient="portrait"/>
          <w:cols w:equalWidth="0" w:num="1">
            <w:col w:w="11480"/>
          </w:cols>
          <w:pgMar w:left="220" w:top="440" w:right="199" w:bottom="1440" w:gutter="0" w:footer="0" w:header="0"/>
        </w:sectPr>
      </w:pPr>
    </w:p>
    <w:bookmarkStart w:id="57" w:name="page58"/>
    <w:bookmarkEnd w:id="57"/>
    <w:p>
      <w:pPr>
        <w:jc w:val="both"/>
        <w:spacing w:after="0" w:line="265" w:lineRule="auto"/>
        <w:rPr>
          <w:sz w:val="20"/>
          <w:szCs w:val="20"/>
          <w:color w:val="auto"/>
        </w:rPr>
      </w:pPr>
      <w:r>
        <w:rPr>
          <w:rFonts w:ascii="Arial" w:cs="Arial" w:eastAsia="Arial" w:hAnsi="Arial"/>
          <w:sz w:val="14"/>
          <w:szCs w:val="14"/>
          <w:color w:val="auto"/>
        </w:rPr>
        <w:t>in which you have worked in a job subject to the Program (as defined in your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ectPr>
          <w:pgSz w:w="11900" w:h="16838" w:orient="portrait"/>
          <w:cols w:equalWidth="0" w:num="1">
            <w:col w:w="11480"/>
          </w:cols>
          <w:pgMar w:left="220" w:top="440" w:right="19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 Darius Adamczyk, certify that:</w:t>
      </w:r>
    </w:p>
    <w:p>
      <w:pPr>
        <w:spacing w:after="0" w:line="258" w:lineRule="exact"/>
        <w:rPr>
          <w:sz w:val="20"/>
          <w:szCs w:val="20"/>
          <w:color w:val="auto"/>
        </w:rPr>
      </w:pPr>
    </w:p>
    <w:p>
      <w:pPr>
        <w:ind w:left="360" w:hanging="350"/>
        <w:spacing w:after="0"/>
        <w:tabs>
          <w:tab w:leader="none" w:pos="3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Honeywell International Inc.;</w:t>
      </w:r>
    </w:p>
    <w:p>
      <w:pPr>
        <w:spacing w:after="0" w:line="204" w:lineRule="exact"/>
        <w:rPr>
          <w:rFonts w:ascii="Arial" w:cs="Arial" w:eastAsia="Arial" w:hAnsi="Arial"/>
          <w:sz w:val="12"/>
          <w:szCs w:val="12"/>
          <w:color w:val="auto"/>
        </w:rPr>
      </w:pPr>
    </w:p>
    <w:p>
      <w:pPr>
        <w:ind w:left="360" w:right="20" w:hanging="350"/>
        <w:spacing w:after="0" w:line="246" w:lineRule="auto"/>
        <w:tabs>
          <w:tab w:leader="none" w:pos="3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2"/>
          <w:szCs w:val="12"/>
          <w:color w:val="auto"/>
        </w:rPr>
      </w:pPr>
    </w:p>
    <w:p>
      <w:pPr>
        <w:ind w:left="360" w:right="20" w:hanging="350"/>
        <w:spacing w:after="0" w:line="246" w:lineRule="auto"/>
        <w:tabs>
          <w:tab w:leader="none" w:pos="3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2"/>
          <w:szCs w:val="12"/>
          <w:color w:val="auto"/>
        </w:rPr>
      </w:pPr>
    </w:p>
    <w:p>
      <w:pPr>
        <w:ind w:left="360" w:right="40" w:hanging="350"/>
        <w:spacing w:after="0" w:line="246" w:lineRule="auto"/>
        <w:tabs>
          <w:tab w:leader="none" w:pos="3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2"/>
          <w:szCs w:val="12"/>
          <w:color w:val="auto"/>
        </w:rPr>
      </w:pPr>
    </w:p>
    <w:p>
      <w:pPr>
        <w:ind w:left="1380" w:right="20" w:hanging="577"/>
        <w:spacing w:after="0" w:line="246" w:lineRule="auto"/>
        <w:tabs>
          <w:tab w:leader="none" w:pos="13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2"/>
          <w:szCs w:val="12"/>
          <w:color w:val="auto"/>
        </w:rPr>
      </w:pPr>
    </w:p>
    <w:p>
      <w:pPr>
        <w:ind w:left="1380" w:right="20" w:hanging="577"/>
        <w:spacing w:after="0" w:line="246" w:lineRule="auto"/>
        <w:tabs>
          <w:tab w:leader="none" w:pos="13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2"/>
          <w:szCs w:val="12"/>
          <w:color w:val="auto"/>
        </w:rPr>
      </w:pPr>
    </w:p>
    <w:p>
      <w:pPr>
        <w:ind w:left="1380" w:right="20" w:hanging="573"/>
        <w:spacing w:after="0" w:line="246" w:lineRule="auto"/>
        <w:tabs>
          <w:tab w:leader="none" w:pos="13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2"/>
          <w:szCs w:val="12"/>
          <w:color w:val="auto"/>
        </w:rPr>
      </w:pPr>
    </w:p>
    <w:p>
      <w:pPr>
        <w:ind w:left="1380" w:right="20" w:hanging="577"/>
        <w:spacing w:after="0" w:line="246" w:lineRule="auto"/>
        <w:tabs>
          <w:tab w:leader="none" w:pos="13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2"/>
          <w:szCs w:val="12"/>
          <w:color w:val="auto"/>
        </w:rPr>
      </w:pPr>
    </w:p>
    <w:p>
      <w:pPr>
        <w:ind w:left="360" w:right="20" w:hanging="350"/>
        <w:spacing w:after="0" w:line="246" w:lineRule="auto"/>
        <w:tabs>
          <w:tab w:leader="none" w:pos="3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2"/>
          <w:szCs w:val="12"/>
          <w:color w:val="auto"/>
        </w:rPr>
      </w:pPr>
    </w:p>
    <w:p>
      <w:pPr>
        <w:ind w:left="1380" w:right="20" w:hanging="577"/>
        <w:spacing w:after="0" w:line="246" w:lineRule="auto"/>
        <w:tabs>
          <w:tab w:leader="none" w:pos="13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2"/>
          <w:szCs w:val="12"/>
          <w:color w:val="auto"/>
        </w:rPr>
      </w:pPr>
    </w:p>
    <w:p>
      <w:pPr>
        <w:ind w:left="1380" w:hanging="577"/>
        <w:spacing w:after="0"/>
        <w:tabs>
          <w:tab w:leader="none" w:pos="1380" w:val="left"/>
        </w:tabs>
        <w:numPr>
          <w:ilvl w:val="1"/>
          <w:numId w:val="2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ind w:left="4540"/>
        <w:spacing w:after="0"/>
        <w:tabs>
          <w:tab w:leader="none" w:pos="6320" w:val="left"/>
        </w:tabs>
        <w:rPr>
          <w:sz w:val="20"/>
          <w:szCs w:val="20"/>
          <w:color w:val="auto"/>
        </w:rPr>
      </w:pPr>
      <w:r>
        <w:rPr>
          <w:rFonts w:ascii="Arial" w:cs="Arial" w:eastAsia="Arial" w:hAnsi="Arial"/>
          <w:sz w:val="12"/>
          <w:szCs w:val="12"/>
          <w:color w:val="auto"/>
        </w:rPr>
        <w:t>Date: April 18, 2019 By:</w:t>
      </w:r>
      <w:r>
        <w:rPr>
          <w:sz w:val="20"/>
          <w:szCs w:val="20"/>
          <w:color w:val="auto"/>
        </w:rPr>
        <w:tab/>
      </w:r>
      <w:r>
        <w:rPr>
          <w:rFonts w:ascii="Arial" w:cs="Arial" w:eastAsia="Arial" w:hAnsi="Arial"/>
          <w:sz w:val="11"/>
          <w:szCs w:val="11"/>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10160</wp:posOffset>
            </wp:positionV>
            <wp:extent cx="32772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7235" cy="5715"/>
                    </a:xfrm>
                    <a:prstGeom prst="rect">
                      <a:avLst/>
                    </a:prstGeom>
                    <a:noFill/>
                  </pic:spPr>
                </pic:pic>
              </a:graphicData>
            </a:graphic>
          </wp:anchor>
        </w:drawing>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Darius Adamczyk</w:t>
      </w:r>
    </w:p>
    <w:p>
      <w:pPr>
        <w:spacing w:after="0" w:line="33"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Chairman and Chief Executive Officer</w:t>
      </w:r>
    </w:p>
    <w:p>
      <w:pPr>
        <w:sectPr>
          <w:pgSz w:w="11900" w:h="16838" w:orient="portrait"/>
          <w:cols w:equalWidth="0" w:num="1">
            <w:col w:w="11480"/>
          </w:cols>
          <w:pgMar w:left="220" w:top="431" w:right="199" w:bottom="1440" w:gutter="0" w:footer="0" w:header="0"/>
        </w:sectPr>
      </w:pPr>
    </w:p>
    <w:bookmarkStart w:id="59" w:name="page60"/>
    <w:bookmarkEnd w:id="59"/>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 Gregory P. Lewis, certify that:</w:t>
      </w:r>
    </w:p>
    <w:p>
      <w:pPr>
        <w:spacing w:after="0" w:line="258" w:lineRule="exact"/>
        <w:rPr>
          <w:sz w:val="20"/>
          <w:szCs w:val="20"/>
          <w:color w:val="auto"/>
        </w:rPr>
      </w:pPr>
    </w:p>
    <w:p>
      <w:pPr>
        <w:ind w:left="360" w:hanging="350"/>
        <w:spacing w:after="0"/>
        <w:tabs>
          <w:tab w:leader="none" w:pos="3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Honeywell International Inc.;</w:t>
      </w:r>
    </w:p>
    <w:p>
      <w:pPr>
        <w:spacing w:after="0" w:line="204" w:lineRule="exact"/>
        <w:rPr>
          <w:rFonts w:ascii="Arial" w:cs="Arial" w:eastAsia="Arial" w:hAnsi="Arial"/>
          <w:sz w:val="12"/>
          <w:szCs w:val="12"/>
          <w:color w:val="auto"/>
        </w:rPr>
      </w:pPr>
    </w:p>
    <w:p>
      <w:pPr>
        <w:ind w:left="360" w:right="20" w:hanging="350"/>
        <w:spacing w:after="0" w:line="246" w:lineRule="auto"/>
        <w:tabs>
          <w:tab w:leader="none" w:pos="3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2"/>
          <w:szCs w:val="12"/>
          <w:color w:val="auto"/>
        </w:rPr>
      </w:pPr>
    </w:p>
    <w:p>
      <w:pPr>
        <w:ind w:left="360" w:right="20" w:hanging="350"/>
        <w:spacing w:after="0" w:line="246" w:lineRule="auto"/>
        <w:tabs>
          <w:tab w:leader="none" w:pos="3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2"/>
          <w:szCs w:val="12"/>
          <w:color w:val="auto"/>
        </w:rPr>
      </w:pPr>
    </w:p>
    <w:p>
      <w:pPr>
        <w:ind w:left="360" w:right="40" w:hanging="350"/>
        <w:spacing w:after="0" w:line="246" w:lineRule="auto"/>
        <w:tabs>
          <w:tab w:leader="none" w:pos="3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2"/>
          <w:szCs w:val="12"/>
          <w:color w:val="auto"/>
        </w:rPr>
      </w:pPr>
    </w:p>
    <w:p>
      <w:pPr>
        <w:ind w:left="1380" w:right="20" w:hanging="577"/>
        <w:spacing w:after="0" w:line="246" w:lineRule="auto"/>
        <w:tabs>
          <w:tab w:leader="none" w:pos="1380" w:val="left"/>
        </w:tabs>
        <w:numPr>
          <w:ilvl w:val="1"/>
          <w:numId w:val="2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2"/>
          <w:szCs w:val="12"/>
          <w:color w:val="auto"/>
        </w:rPr>
      </w:pPr>
    </w:p>
    <w:p>
      <w:pPr>
        <w:ind w:left="1380" w:right="20" w:hanging="577"/>
        <w:spacing w:after="0" w:line="246" w:lineRule="auto"/>
        <w:tabs>
          <w:tab w:leader="none" w:pos="1380" w:val="left"/>
        </w:tabs>
        <w:numPr>
          <w:ilvl w:val="1"/>
          <w:numId w:val="2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2"/>
          <w:szCs w:val="12"/>
          <w:color w:val="auto"/>
        </w:rPr>
      </w:pPr>
    </w:p>
    <w:p>
      <w:pPr>
        <w:ind w:left="1380" w:right="20" w:hanging="573"/>
        <w:spacing w:after="0" w:line="246" w:lineRule="auto"/>
        <w:tabs>
          <w:tab w:leader="none" w:pos="1380" w:val="left"/>
        </w:tabs>
        <w:numPr>
          <w:ilvl w:val="1"/>
          <w:numId w:val="2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2"/>
          <w:szCs w:val="12"/>
          <w:color w:val="auto"/>
        </w:rPr>
      </w:pPr>
    </w:p>
    <w:p>
      <w:pPr>
        <w:ind w:left="1380" w:right="20" w:hanging="577"/>
        <w:spacing w:after="0" w:line="246" w:lineRule="auto"/>
        <w:tabs>
          <w:tab w:leader="none" w:pos="1380" w:val="left"/>
        </w:tabs>
        <w:numPr>
          <w:ilvl w:val="1"/>
          <w:numId w:val="2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2"/>
          <w:szCs w:val="12"/>
          <w:color w:val="auto"/>
        </w:rPr>
      </w:pPr>
    </w:p>
    <w:p>
      <w:pPr>
        <w:ind w:left="360" w:right="20" w:hanging="350"/>
        <w:spacing w:after="0" w:line="246" w:lineRule="auto"/>
        <w:tabs>
          <w:tab w:leader="none" w:pos="3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2"/>
          <w:szCs w:val="12"/>
          <w:color w:val="auto"/>
        </w:rPr>
      </w:pPr>
    </w:p>
    <w:p>
      <w:pPr>
        <w:ind w:left="1380" w:right="20" w:hanging="577"/>
        <w:spacing w:after="0" w:line="246" w:lineRule="auto"/>
        <w:tabs>
          <w:tab w:leader="none" w:pos="1380" w:val="left"/>
        </w:tabs>
        <w:numPr>
          <w:ilvl w:val="1"/>
          <w:numId w:val="2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2"/>
          <w:szCs w:val="12"/>
          <w:color w:val="auto"/>
        </w:rPr>
      </w:pPr>
    </w:p>
    <w:p>
      <w:pPr>
        <w:ind w:left="1380" w:hanging="577"/>
        <w:spacing w:after="0"/>
        <w:tabs>
          <w:tab w:leader="none" w:pos="1380" w:val="left"/>
        </w:tabs>
        <w:numPr>
          <w:ilvl w:val="1"/>
          <w:numId w:val="2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ind w:left="4540"/>
        <w:spacing w:after="0"/>
        <w:tabs>
          <w:tab w:leader="none" w:pos="6320" w:val="left"/>
        </w:tabs>
        <w:rPr>
          <w:sz w:val="20"/>
          <w:szCs w:val="20"/>
          <w:color w:val="auto"/>
        </w:rPr>
      </w:pPr>
      <w:r>
        <w:rPr>
          <w:rFonts w:ascii="Arial" w:cs="Arial" w:eastAsia="Arial" w:hAnsi="Arial"/>
          <w:sz w:val="12"/>
          <w:szCs w:val="12"/>
          <w:color w:val="auto"/>
        </w:rPr>
        <w:t>Date: April 18, 2019 By:</w:t>
      </w:r>
      <w:r>
        <w:rPr>
          <w:sz w:val="20"/>
          <w:szCs w:val="20"/>
          <w:color w:val="auto"/>
        </w:rPr>
        <w:tab/>
      </w:r>
      <w:r>
        <w:rPr>
          <w:rFonts w:ascii="Arial" w:cs="Arial" w:eastAsia="Arial" w:hAnsi="Arial"/>
          <w:sz w:val="11"/>
          <w:szCs w:val="11"/>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10160</wp:posOffset>
            </wp:positionV>
            <wp:extent cx="32772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7235" cy="5715"/>
                    </a:xfrm>
                    <a:prstGeom prst="rect">
                      <a:avLst/>
                    </a:prstGeom>
                    <a:noFill/>
                  </pic:spPr>
                </pic:pic>
              </a:graphicData>
            </a:graphic>
          </wp:anchor>
        </w:drawing>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Gregory P. Lewis</w:t>
      </w:r>
    </w:p>
    <w:p>
      <w:pPr>
        <w:spacing w:after="0" w:line="33"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Senior Vice President and Chief Financial Officer</w:t>
      </w:r>
    </w:p>
    <w:p>
      <w:pPr>
        <w:sectPr>
          <w:pgSz w:w="11900" w:h="16838" w:orient="portrait"/>
          <w:cols w:equalWidth="0" w:num="1">
            <w:col w:w="11480"/>
          </w:cols>
          <w:pgMar w:left="220" w:top="431" w:right="199" w:bottom="1440" w:gutter="0" w:footer="0" w:header="0"/>
        </w:sectPr>
      </w:pPr>
    </w:p>
    <w:bookmarkStart w:id="60" w:name="page61"/>
    <w:bookmarkEnd w:id="60"/>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Quarterly Report of Honeywell International Inc. (the Company) on Form 10-Q for the period ended March 31, 2019 as filed with the Securities and Exchange Commission on the date hereof (the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Report), I, Darius Adamczyk, Chairman and Chief Executive Officer of the Company, certify, pursuant to 18 U.S.C. Section 1350, as adopted pursuant to Section 906 of the Sarbanes-Oxley Act of 2002, that:</w:t>
      </w:r>
    </w:p>
    <w:p>
      <w:pPr>
        <w:spacing w:after="0" w:line="150" w:lineRule="exact"/>
        <w:rPr>
          <w:sz w:val="20"/>
          <w:szCs w:val="20"/>
          <w:color w:val="auto"/>
        </w:rPr>
      </w:pPr>
    </w:p>
    <w:p>
      <w:pPr>
        <w:ind w:left="540" w:hanging="215"/>
        <w:spacing w:after="0"/>
        <w:tabs>
          <w:tab w:leader="none" w:pos="5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 w:lineRule="exact"/>
        <w:rPr>
          <w:rFonts w:ascii="Arial" w:cs="Arial" w:eastAsia="Arial" w:hAnsi="Arial"/>
          <w:sz w:val="12"/>
          <w:szCs w:val="12"/>
          <w:color w:val="auto"/>
        </w:rPr>
      </w:pPr>
    </w:p>
    <w:p>
      <w:pPr>
        <w:ind w:left="540" w:hanging="215"/>
        <w:spacing w:after="0"/>
        <w:tabs>
          <w:tab w:leader="none" w:pos="5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14" w:lineRule="exact"/>
        <w:rPr>
          <w:sz w:val="20"/>
          <w:szCs w:val="20"/>
          <w:color w:val="auto"/>
        </w:rPr>
      </w:pPr>
    </w:p>
    <w:p>
      <w:pPr>
        <w:ind w:left="4540"/>
        <w:spacing w:after="0"/>
        <w:tabs>
          <w:tab w:leader="none" w:pos="6320" w:val="left"/>
        </w:tabs>
        <w:rPr>
          <w:sz w:val="20"/>
          <w:szCs w:val="20"/>
          <w:color w:val="auto"/>
        </w:rPr>
      </w:pPr>
      <w:r>
        <w:rPr>
          <w:rFonts w:ascii="Arial" w:cs="Arial" w:eastAsia="Arial" w:hAnsi="Arial"/>
          <w:sz w:val="12"/>
          <w:szCs w:val="12"/>
          <w:color w:val="auto"/>
        </w:rPr>
        <w:t>Date: April 18, 2019 By:</w:t>
      </w:r>
      <w:r>
        <w:rPr>
          <w:sz w:val="20"/>
          <w:szCs w:val="20"/>
          <w:color w:val="auto"/>
        </w:rPr>
        <w:tab/>
      </w:r>
      <w:r>
        <w:rPr>
          <w:rFonts w:ascii="Arial" w:cs="Arial" w:eastAsia="Arial" w:hAnsi="Arial"/>
          <w:sz w:val="11"/>
          <w:szCs w:val="11"/>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10160</wp:posOffset>
            </wp:positionV>
            <wp:extent cx="327723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7235" cy="5715"/>
                    </a:xfrm>
                    <a:prstGeom prst="rect">
                      <a:avLst/>
                    </a:prstGeom>
                    <a:noFill/>
                  </pic:spPr>
                </pic:pic>
              </a:graphicData>
            </a:graphic>
          </wp:anchor>
        </w:drawing>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Darius Adamczyk</w:t>
      </w:r>
    </w:p>
    <w:p>
      <w:pPr>
        <w:spacing w:after="0" w:line="33"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Chairman and Chief Executive Officer</w:t>
      </w:r>
    </w:p>
    <w:p>
      <w:pPr>
        <w:sectPr>
          <w:pgSz w:w="11900" w:h="16838" w:orient="portrait"/>
          <w:cols w:equalWidth="0" w:num="1">
            <w:col w:w="11480"/>
          </w:cols>
          <w:pgMar w:left="220" w:top="431" w:right="199" w:bottom="1440" w:gutter="0" w:footer="0" w:header="0"/>
        </w:sectPr>
      </w:pPr>
    </w:p>
    <w:bookmarkStart w:id="61" w:name="page62"/>
    <w:bookmarkEnd w:id="61"/>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Quarterly Report of Honeywell International Inc. (the Company) on Form 10-Q for the period ended March 31, 2019 as filed with the Securities and Exchange Commission on the date hereof (the</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Report), I, Gregory P. Lewis, Senior Vice President and Chief Financial Officer of the Company, certify, pursuant to 18 U.S.C. Section 1350, as adopted pursuant to Section 906 of the Sarbanes-Oxley Act of 2002, that:</w:t>
      </w:r>
    </w:p>
    <w:p>
      <w:pPr>
        <w:spacing w:after="0" w:line="162" w:lineRule="exact"/>
        <w:rPr>
          <w:sz w:val="20"/>
          <w:szCs w:val="20"/>
          <w:color w:val="auto"/>
        </w:rPr>
      </w:pPr>
    </w:p>
    <w:p>
      <w:pPr>
        <w:ind w:left="540" w:hanging="215"/>
        <w:spacing w:after="0"/>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 w:lineRule="exact"/>
        <w:rPr>
          <w:rFonts w:ascii="Arial" w:cs="Arial" w:eastAsia="Arial" w:hAnsi="Arial"/>
          <w:sz w:val="12"/>
          <w:szCs w:val="12"/>
          <w:color w:val="auto"/>
        </w:rPr>
      </w:pPr>
    </w:p>
    <w:p>
      <w:pPr>
        <w:ind w:left="540" w:hanging="215"/>
        <w:spacing w:after="0"/>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14" w:lineRule="exact"/>
        <w:rPr>
          <w:sz w:val="20"/>
          <w:szCs w:val="20"/>
          <w:color w:val="auto"/>
        </w:rPr>
      </w:pPr>
    </w:p>
    <w:p>
      <w:pPr>
        <w:ind w:left="4540"/>
        <w:spacing w:after="0"/>
        <w:tabs>
          <w:tab w:leader="none" w:pos="6320" w:val="left"/>
        </w:tabs>
        <w:rPr>
          <w:sz w:val="20"/>
          <w:szCs w:val="20"/>
          <w:color w:val="auto"/>
        </w:rPr>
      </w:pPr>
      <w:r>
        <w:rPr>
          <w:rFonts w:ascii="Arial" w:cs="Arial" w:eastAsia="Arial" w:hAnsi="Arial"/>
          <w:sz w:val="12"/>
          <w:szCs w:val="12"/>
          <w:color w:val="auto"/>
        </w:rPr>
        <w:t>Date: April 18, 2019 By:</w:t>
      </w:r>
      <w:r>
        <w:rPr>
          <w:sz w:val="20"/>
          <w:szCs w:val="20"/>
          <w:color w:val="auto"/>
        </w:rPr>
        <w:tab/>
      </w:r>
      <w:r>
        <w:rPr>
          <w:rFonts w:ascii="Arial" w:cs="Arial" w:eastAsia="Arial" w:hAnsi="Arial"/>
          <w:sz w:val="11"/>
          <w:szCs w:val="11"/>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10160</wp:posOffset>
            </wp:positionV>
            <wp:extent cx="32772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7235" cy="5715"/>
                    </a:xfrm>
                    <a:prstGeom prst="rect">
                      <a:avLst/>
                    </a:prstGeom>
                    <a:noFill/>
                  </pic:spPr>
                </pic:pic>
              </a:graphicData>
            </a:graphic>
          </wp:anchor>
        </w:drawing>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Gregory P. Lewis</w:t>
      </w:r>
    </w:p>
    <w:p>
      <w:pPr>
        <w:spacing w:after="0" w:line="33" w:lineRule="exact"/>
        <w:rPr>
          <w:sz w:val="20"/>
          <w:szCs w:val="20"/>
          <w:color w:val="auto"/>
        </w:rPr>
      </w:pPr>
    </w:p>
    <w:p>
      <w:pPr>
        <w:ind w:left="6340"/>
        <w:spacing w:after="0"/>
        <w:rPr>
          <w:sz w:val="20"/>
          <w:szCs w:val="20"/>
          <w:color w:val="auto"/>
        </w:rPr>
      </w:pPr>
      <w:r>
        <w:rPr>
          <w:rFonts w:ascii="Arial" w:cs="Arial" w:eastAsia="Arial" w:hAnsi="Arial"/>
          <w:sz w:val="12"/>
          <w:szCs w:val="12"/>
          <w:color w:val="auto"/>
        </w:rPr>
        <w:t>Senior Vice President and Chief Financial Officer</w:t>
      </w:r>
    </w:p>
    <w:sectPr>
      <w:pgSz w:w="11900" w:h="16838" w:orient="portrait"/>
      <w:cols w:equalWidth="0" w:num="1">
        <w:col w:w="11480"/>
      </w:cols>
      <w:pgMar w:left="220" w:top="4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abstractNum>
  <w:abstractNum w:abstractNumId="1">
    <w:nsid w:val="109CF92E"/>
    <w:multiLevelType w:val="hybridMultilevel"/>
    <w:lvl w:ilvl="0">
      <w:lvlJc w:val="left"/>
      <w:lvlText w:val="(%1)"/>
      <w:numFmt w:val="lowerLetter"/>
      <w:start w:val="3"/>
    </w:lvl>
  </w:abstractNum>
  <w:abstractNum w:abstractNumId="2">
    <w:nsid w:val="DED7263"/>
    <w:multiLevelType w:val="hybridMultilevel"/>
    <w:lvl w:ilvl="0">
      <w:lvlJc w:val="left"/>
      <w:lvlText w:val="(%1)"/>
      <w:numFmt w:val="lowerRoman"/>
      <w:start w:val="1"/>
    </w:lvl>
  </w:abstractNum>
  <w:abstractNum w:abstractNumId="3">
    <w:nsid w:val="7FDCC233"/>
    <w:multiLevelType w:val="hybridMultilevel"/>
    <w:lvl w:ilvl="0">
      <w:lvlJc w:val="left"/>
      <w:lvlText w:val="%1."/>
      <w:numFmt w:val="upperLetter"/>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upperLetter"/>
      <w:start w:val="2"/>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5"/>
    </w:lvl>
  </w:abstractNum>
  <w:abstractNum w:abstractNumId="12">
    <w:nsid w:val="7C83E458"/>
    <w:multiLevelType w:val="hybridMultilevel"/>
    <w:lvl w:ilvl="0">
      <w:lvlJc w:val="left"/>
      <w:lvlText w:val="%1."/>
      <w:numFmt w:val="decimal"/>
      <w:start w:val="8"/>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decimal"/>
      <w:start w:val="13"/>
    </w:lvl>
  </w:abstractNum>
  <w:abstractNum w:abstractNumId="15">
    <w:nsid w:val="436C6125"/>
    <w:multiLevelType w:val="hybridMultilevel"/>
    <w:lvl w:ilvl="0">
      <w:lvlJc w:val="left"/>
      <w:lvlText w:val="%1."/>
      <w:numFmt w:val="decimal"/>
      <w:start w:val="20"/>
    </w:lvl>
    <w:lvl w:ilvl="1">
      <w:lvlJc w:val="left"/>
      <w:lvlText w:val="(%2)"/>
      <w:numFmt w:val="lowerLetter"/>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2"/>
    </w:lvl>
  </w:abstractNum>
  <w:abstractNum w:abstractNumId="18">
    <w:nsid w:val="721DA317"/>
    <w:multiLevelType w:val="hybridMultilevel"/>
    <w:lvl w:ilvl="0">
      <w:lvlJc w:val="left"/>
      <w:lvlText w:val="%1."/>
      <w:numFmt w:val="decimal"/>
      <w:start w:val="4"/>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decimal"/>
      <w:start w:val="6"/>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2019-12-03T10:51:22Z</dcterms:created>
  <dcterms:modified xsi:type="dcterms:W3CDTF">2019-12-03T10:51:22Z</dcterms:modified>
</cp:coreProperties>
</file>