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ind w:left="4020"/>
        <w:spacing w:after="0"/>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w:t>
      </w:r>
    </w:p>
    <w:p>
      <w:pPr>
        <w:spacing w:after="0" w:line="14" w:lineRule="exact"/>
        <w:rPr>
          <w:rFonts w:ascii="MS PGothic" w:cs="MS PGothic" w:eastAsia="MS PGothic" w:hAnsi="MS PGothic"/>
          <w:sz w:val="14"/>
          <w:szCs w:val="14"/>
          <w:color w:val="auto"/>
        </w:rPr>
      </w:pPr>
    </w:p>
    <w:p>
      <w:pPr>
        <w:ind w:left="4180"/>
        <w:spacing w:after="0"/>
        <w:rPr>
          <w:rFonts w:ascii="MS PGothic" w:cs="MS PGothic" w:eastAsia="MS PGothic" w:hAnsi="MS PGothic"/>
          <w:sz w:val="14"/>
          <w:szCs w:val="14"/>
          <w:color w:val="auto"/>
        </w:rPr>
      </w:pPr>
      <w:r>
        <w:rPr>
          <w:rFonts w:ascii="Arial" w:cs="Arial" w:eastAsia="Arial" w:hAnsi="Arial"/>
          <w:sz w:val="14"/>
          <w:szCs w:val="14"/>
          <w:color w:val="auto"/>
        </w:rPr>
        <w:t xml:space="preserve">For the quarterly period ended </w:t>
      </w:r>
      <w:r>
        <w:rPr>
          <w:rFonts w:ascii="Arial" w:cs="Arial" w:eastAsia="Arial" w:hAnsi="Arial"/>
          <w:sz w:val="14"/>
          <w:szCs w:val="14"/>
          <w:u w:val="single" w:color="auto"/>
          <w:color w:val="auto"/>
        </w:rPr>
        <w:t>June 30, 2022</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Charlotte, NC</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1.300% Senior Notes due 2023</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23A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0.000% Senior Notes due 2024</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24A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 The common stock is also listed on the London Stock Exchange</w:t>
      </w:r>
    </w:p>
    <w:p>
      <w:pPr>
        <w:spacing w:after="0" w:line="69" w:lineRule="exact"/>
        <w:rPr>
          <w:sz w:val="24"/>
          <w:szCs w:val="24"/>
          <w:color w:val="auto"/>
        </w:rPr>
      </w:pPr>
    </w:p>
    <w:p>
      <w:pPr>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980" w:type="dxa"/>
            <w:vAlign w:val="bottom"/>
          </w:tcPr>
          <w:p>
            <w:pPr>
              <w:ind w:left="420"/>
              <w:spacing w:after="0"/>
              <w:rPr>
                <w:sz w:val="20"/>
                <w:szCs w:val="20"/>
                <w:color w:val="auto"/>
              </w:rPr>
            </w:pPr>
            <w:r>
              <w:rPr>
                <w:rFonts w:ascii="Arial" w:cs="Arial" w:eastAsia="Arial" w:hAnsi="Arial"/>
                <w:sz w:val="14"/>
                <w:szCs w:val="14"/>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19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7"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4"/>
          <w:szCs w:val="14"/>
          <w:color w:val="auto"/>
          <w:highlight w:val="black"/>
        </w:rPr>
        <w:t>☐</w:t>
      </w:r>
    </w:p>
    <w:p>
      <w:pPr>
        <w:spacing w:after="0" w:line="18" w:lineRule="exact"/>
        <w:rPr>
          <w:sz w:val="24"/>
          <w:szCs w:val="24"/>
          <w:color w:val="auto"/>
        </w:rPr>
      </w:pPr>
    </w:p>
    <w:p>
      <w:pPr>
        <w:ind w:right="3160"/>
        <w:spacing w:after="0" w:line="24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There were 673,692,317 shares of Common Stock outstanding at 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w:t>
            </w:r>
          </w:p>
        </w:tc>
        <w:tc>
          <w:tcPr>
            <w:tcW w:w="9480" w:type="dxa"/>
            <w:vAlign w:val="bottom"/>
            <w:tcBorders>
              <w:bottom w:val="single" w:sz="8" w:color="D7282F"/>
            </w:tcBorders>
          </w:tcPr>
          <w:p>
            <w:pPr>
              <w:ind w:left="80"/>
              <w:spacing w:after="0"/>
              <w:rPr>
                <w:sz w:val="20"/>
                <w:szCs w:val="20"/>
                <w:color w:val="auto"/>
              </w:rPr>
            </w:pPr>
            <w:r>
              <w:rPr>
                <w:rFonts w:ascii="Arial" w:cs="Arial" w:eastAsia="Arial" w:hAnsi="Arial"/>
                <w:sz w:val="16"/>
                <w:szCs w:val="16"/>
                <w:b w:val="1"/>
                <w:bCs w:val="1"/>
                <w:color w:val="D7282F"/>
              </w:rPr>
              <w:t>Financial Information</w:t>
            </w:r>
          </w:p>
        </w:tc>
        <w:tc>
          <w:tcPr>
            <w:tcW w:w="1000" w:type="dxa"/>
            <w:vAlign w:val="bottom"/>
            <w:tcBorders>
              <w:bottom w:val="single" w:sz="8" w:color="D7282F"/>
            </w:tcBorders>
          </w:tcPr>
          <w:p>
            <w:pPr>
              <w:spacing w:after="0"/>
              <w:rPr>
                <w:sz w:val="18"/>
                <w:szCs w:val="18"/>
                <w:color w:val="auto"/>
              </w:rPr>
            </w:pP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1</w:t>
            </w: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Financial Statements and Supplementary Data (unaudited):</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Operations (unaudited) – Three and Six Months Ended June 30, 2022 and 2021</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Comprehensive Income (unaudited) – Three and Six Months Ended June 30, 2022 and 2021</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Balance Sheet (unaudited) – June 30, 2022 and December 31, 2021</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3</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Cash Flows (unaudited) – Six Months Ended June 30, 2022 and 2021</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Consolidated Statement of Shareowners' Equity (unaudited) – Three and Six Months Ended June 30, 2022 and 2021</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 – Basis of Presentation</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6</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2 – Summary of Significant Accounting Policies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6</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3 – Acquisitions and Divestitures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7</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4 – Revenue Recognition and Contracts with Customers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7</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5 – Repositioning and Other Charges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11</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6 – Income Taxes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13</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7 – Inventories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13</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8 – Long-term Debt and Credit Agreements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14</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9 – Leases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15</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10 – Derivative Instruments and Hedging Transactions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16</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11 – Fair Value Measurements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19</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12 – Earnings Per Share</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21</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13 – Accumulated Other Comprehensive Income (Loss)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22</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14 – Commitments and Contingencies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22</w:t>
            </w:r>
          </w:p>
        </w:tc>
      </w:tr>
      <w:tr>
        <w:trPr>
          <w:trHeight w:val="209"/>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15 – Pension Benefits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27</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16 – Other (Income) Expense</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27</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17 – Segment Financial Data</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27</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Note 18 – Subsequent Events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29</w:t>
            </w:r>
          </w:p>
        </w:tc>
      </w:tr>
      <w:tr>
        <w:trPr>
          <w:trHeight w:val="209"/>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2</w:t>
            </w: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30</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3</w:t>
            </w: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Quantitative and Qualitative Disclosures About Market Risks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49</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auto"/>
              </w:rPr>
              <w:t>ITEM 4</w:t>
            </w:r>
          </w:p>
        </w:tc>
        <w:tc>
          <w:tcPr>
            <w:tcW w:w="9480" w:type="dxa"/>
            <w:vAlign w:val="bottom"/>
            <w:tcBorders>
              <w:bottom w:val="single" w:sz="8" w:color="D7282F"/>
            </w:tcBorders>
          </w:tcPr>
          <w:p>
            <w:pPr>
              <w:ind w:left="80"/>
              <w:spacing w:after="0"/>
              <w:rPr>
                <w:sz w:val="20"/>
                <w:szCs w:val="20"/>
                <w:color w:val="auto"/>
              </w:rPr>
            </w:pPr>
            <w:r>
              <w:rPr>
                <w:rFonts w:ascii="Arial" w:cs="Arial" w:eastAsia="Arial" w:hAnsi="Arial"/>
                <w:sz w:val="16"/>
                <w:szCs w:val="16"/>
                <w:color w:val="auto"/>
              </w:rPr>
              <w:t>Controls and Procedures</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50</w:t>
            </w:r>
          </w:p>
        </w:tc>
      </w:tr>
      <w:tr>
        <w:trPr>
          <w:trHeight w:val="210"/>
        </w:trPr>
        <w:tc>
          <w:tcPr>
            <w:tcW w:w="76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II</w:t>
            </w:r>
          </w:p>
        </w:tc>
        <w:tc>
          <w:tcPr>
            <w:tcW w:w="9480" w:type="dxa"/>
            <w:vAlign w:val="bottom"/>
            <w:tcBorders>
              <w:bottom w:val="single" w:sz="8" w:color="D7282F"/>
            </w:tcBorders>
          </w:tcPr>
          <w:p>
            <w:pPr>
              <w:ind w:left="80"/>
              <w:spacing w:after="0"/>
              <w:rPr>
                <w:sz w:val="20"/>
                <w:szCs w:val="20"/>
                <w:color w:val="auto"/>
              </w:rPr>
            </w:pPr>
            <w:r>
              <w:rPr>
                <w:rFonts w:ascii="Arial" w:cs="Arial" w:eastAsia="Arial" w:hAnsi="Arial"/>
                <w:sz w:val="16"/>
                <w:szCs w:val="16"/>
                <w:b w:val="1"/>
                <w:bCs w:val="1"/>
                <w:color w:val="D7282F"/>
              </w:rPr>
              <w:t>Other Information</w:t>
            </w:r>
          </w:p>
        </w:tc>
        <w:tc>
          <w:tcPr>
            <w:tcW w:w="1000" w:type="dxa"/>
            <w:vAlign w:val="bottom"/>
            <w:tcBorders>
              <w:bottom w:val="single" w:sz="8" w:color="D7282F"/>
            </w:tcBorders>
          </w:tcPr>
          <w:p>
            <w:pPr>
              <w:spacing w:after="0"/>
              <w:rPr>
                <w:sz w:val="18"/>
                <w:szCs w:val="18"/>
                <w:color w:val="auto"/>
              </w:rPr>
            </w:pPr>
          </w:p>
        </w:tc>
      </w:tr>
      <w:tr>
        <w:trPr>
          <w:trHeight w:val="209"/>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1</w:t>
            </w: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Legal Proceedings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51</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1A</w:t>
            </w: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Risk Factors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51</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2</w:t>
            </w: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52</w:t>
            </w:r>
          </w:p>
        </w:tc>
      </w:tr>
      <w:tr>
        <w:trPr>
          <w:trHeight w:val="210"/>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4</w:t>
            </w: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Mine Safety Disclosures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53</w:t>
            </w:r>
          </w:p>
        </w:tc>
      </w:tr>
      <w:tr>
        <w:trPr>
          <w:trHeight w:val="209"/>
        </w:trPr>
        <w:tc>
          <w:tcPr>
            <w:tcW w:w="760" w:type="dxa"/>
            <w:vAlign w:val="bottom"/>
            <w:tcBorders>
              <w:bottom w:val="single" w:sz="8" w:color="BCBDC0"/>
            </w:tcBorders>
          </w:tcPr>
          <w:p>
            <w:pPr>
              <w:ind w:left="20"/>
              <w:spacing w:after="0"/>
              <w:rPr>
                <w:sz w:val="20"/>
                <w:szCs w:val="20"/>
                <w:color w:val="auto"/>
              </w:rPr>
            </w:pPr>
            <w:r>
              <w:rPr>
                <w:rFonts w:ascii="Arial" w:cs="Arial" w:eastAsia="Arial" w:hAnsi="Arial"/>
                <w:sz w:val="16"/>
                <w:szCs w:val="16"/>
                <w:b w:val="1"/>
                <w:bCs w:val="1"/>
                <w:color w:val="auto"/>
              </w:rPr>
              <w:t>ITEM 6</w:t>
            </w: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Exhibits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54</w:t>
            </w:r>
          </w:p>
        </w:tc>
      </w:tr>
      <w:tr>
        <w:trPr>
          <w:trHeight w:val="210"/>
        </w:trPr>
        <w:tc>
          <w:tcPr>
            <w:tcW w:w="760" w:type="dxa"/>
            <w:vAlign w:val="bottom"/>
            <w:tcBorders>
              <w:bottom w:val="single" w:sz="8" w:color="BCBDC0"/>
            </w:tcBorders>
          </w:tcPr>
          <w:p>
            <w:pPr>
              <w:spacing w:after="0"/>
              <w:rPr>
                <w:sz w:val="18"/>
                <w:szCs w:val="18"/>
                <w:color w:val="auto"/>
              </w:rPr>
            </w:pPr>
          </w:p>
        </w:tc>
        <w:tc>
          <w:tcPr>
            <w:tcW w:w="9480" w:type="dxa"/>
            <w:vAlign w:val="bottom"/>
            <w:tcBorders>
              <w:bottom w:val="single" w:sz="8" w:color="BCBDC0"/>
            </w:tcBorders>
          </w:tcPr>
          <w:p>
            <w:pPr>
              <w:ind w:left="80"/>
              <w:spacing w:after="0"/>
              <w:rPr>
                <w:sz w:val="20"/>
                <w:szCs w:val="20"/>
                <w:color w:val="auto"/>
              </w:rPr>
            </w:pPr>
            <w:r>
              <w:rPr>
                <w:rFonts w:ascii="Arial" w:cs="Arial" w:eastAsia="Arial" w:hAnsi="Arial"/>
                <w:sz w:val="16"/>
                <w:szCs w:val="16"/>
                <w:color w:val="auto"/>
              </w:rPr>
              <w:t>Signatures</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6"/>
                <w:szCs w:val="16"/>
                <w:b w:val="1"/>
                <w:bCs w:val="1"/>
                <w:color w:val="D7282F"/>
              </w:rPr>
              <w:t>55</w:t>
            </w:r>
          </w:p>
        </w:tc>
      </w:tr>
      <w:tr>
        <w:trPr>
          <w:trHeight w:val="2201"/>
        </w:trPr>
        <w:tc>
          <w:tcPr>
            <w:tcW w:w="76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including the impact of the coronavirus pandemic (COVID-19) and the Russia-Ukraine conflict, that can affect our performance in both the near- and long-term. These forward-looking statements should be considered in light of the information included in this report and our other filings with the Securities and Exchange Commission (SEC), including, without limitation, the Risk Factors, as well as the description of trends and other factors in Management’s Discussion and Analysis of Financial Condition and Results of Operations, set forth in this report and our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International Inc. (Honeywell or the Company) invents and commercializes technologies that address some of the world’s most critical challenges around energy, safety, security, air travel, productivity, and global urbanization. We are a leading software-industrial company committed to introducing state of the art technology solutions to improve efficiency, productivity, sustainability, and safety in high growth businesses in broad-based, attractive industrial end markets.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website (honeywell.com) under the heading Investors (see SEC Filings) immediately after they are filed with, or furnished to, the SEC. Honeywell uses our Investor Relations website, investor.honeywell.com,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financial statements and related notes as of June 30, 2022, should be read in conjunction with the financial statements for the year ended December 31, 2021, contained in the Company's 2021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Six Months Ended June</w:t>
            </w:r>
          </w:p>
        </w:tc>
      </w:tr>
      <w:tr>
        <w:trPr>
          <w:trHeight w:val="185"/>
        </w:trPr>
        <w:tc>
          <w:tcPr>
            <w:tcW w:w="7480" w:type="dxa"/>
            <w:vAlign w:val="bottom"/>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w:t>
            </w:r>
          </w:p>
        </w:tc>
        <w:tc>
          <w:tcPr>
            <w:tcW w:w="600" w:type="dxa"/>
            <w:vAlign w:val="bottom"/>
            <w:tcBorders>
              <w:bottom w:val="single" w:sz="8" w:color="D7282F"/>
            </w:tcBorders>
          </w:tcPr>
          <w:p>
            <w:pPr>
              <w:spacing w:after="0"/>
              <w:rPr>
                <w:sz w:val="16"/>
                <w:szCs w:val="16"/>
                <w:color w:val="auto"/>
              </w:rPr>
            </w:pPr>
          </w:p>
        </w:tc>
      </w:tr>
      <w:tr>
        <w:trPr>
          <w:trHeight w:val="235"/>
        </w:trPr>
        <w:tc>
          <w:tcPr>
            <w:tcW w:w="7480" w:type="dxa"/>
            <w:vAlign w:val="bottom"/>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7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D7282F"/>
            </w:tcBorders>
          </w:tcPr>
          <w:p>
            <w:pPr>
              <w:spacing w:after="0"/>
              <w:rPr>
                <w:sz w:val="20"/>
                <w:szCs w:val="20"/>
                <w:color w:val="auto"/>
              </w:rPr>
            </w:pPr>
          </w:p>
        </w:tc>
        <w:tc>
          <w:tcPr>
            <w:tcW w:w="5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2021</w:t>
            </w:r>
          </w:p>
        </w:tc>
      </w:tr>
      <w:tr>
        <w:trPr>
          <w:trHeight w:val="196"/>
        </w:trPr>
        <w:tc>
          <w:tcPr>
            <w:tcW w:w="74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3640" w:type="dxa"/>
            <w:vAlign w:val="bottom"/>
            <w:tcBorders>
              <w:bottom w:val="single" w:sz="8" w:color="D7282F"/>
            </w:tcBorders>
            <w:gridSpan w:val="8"/>
          </w:tcPr>
          <w:p>
            <w:pPr>
              <w:jc w:val="right"/>
              <w:ind w:right="208"/>
              <w:spacing w:after="0"/>
              <w:rPr>
                <w:sz w:val="20"/>
                <w:szCs w:val="20"/>
                <w:color w:val="auto"/>
              </w:rPr>
            </w:pPr>
            <w:r>
              <w:rPr>
                <w:rFonts w:ascii="Arial" w:cs="Arial" w:eastAsia="Arial" w:hAnsi="Arial"/>
                <w:sz w:val="14"/>
                <w:szCs w:val="14"/>
                <w:b w:val="1"/>
                <w:bCs w:val="1"/>
                <w:color w:val="auto"/>
              </w:rPr>
              <w:t>(Dollars in millions, except per share amounts)</w:t>
            </w:r>
          </w:p>
        </w:tc>
      </w:tr>
      <w:tr>
        <w:trPr>
          <w:trHeight w:val="193"/>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 sales</w:t>
            </w:r>
          </w:p>
        </w:tc>
        <w:tc>
          <w:tcPr>
            <w:tcW w:w="1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6,684</w:t>
            </w:r>
          </w:p>
        </w:tc>
        <w:tc>
          <w:tcPr>
            <w:tcW w:w="32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6,639</w:t>
            </w:r>
          </w:p>
        </w:tc>
        <w:tc>
          <w:tcPr>
            <w:tcW w:w="2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12,816</w:t>
            </w:r>
          </w:p>
        </w:tc>
        <w:tc>
          <w:tcPr>
            <w:tcW w:w="4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13,048</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2,269</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2,169</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4,513</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4,214</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8,953</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8,808</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17,329</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17,262</w:t>
            </w:r>
          </w:p>
        </w:tc>
      </w:tr>
      <w:tr>
        <w:trPr>
          <w:trHeight w:val="193"/>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Costs, expenses and other</w:t>
            </w:r>
          </w:p>
        </w:tc>
        <w:tc>
          <w:tcPr>
            <w:tcW w:w="1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56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spacing w:after="0"/>
              <w:rPr>
                <w:sz w:val="16"/>
                <w:szCs w:val="16"/>
                <w:color w:val="auto"/>
              </w:rPr>
            </w:pPr>
          </w:p>
        </w:tc>
      </w:tr>
      <w:tr>
        <w:trPr>
          <w:trHeight w:val="196"/>
        </w:trPr>
        <w:tc>
          <w:tcPr>
            <w:tcW w:w="74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Cost of products sold</w:t>
            </w:r>
          </w:p>
        </w:tc>
        <w:tc>
          <w:tcPr>
            <w:tcW w:w="1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4,673</w:t>
            </w:r>
          </w:p>
        </w:tc>
        <w:tc>
          <w:tcPr>
            <w:tcW w:w="320" w:type="dxa"/>
            <w:vAlign w:val="bottom"/>
            <w:tcBorders>
              <w:bottom w:val="single" w:sz="8" w:color="BCBDC0"/>
            </w:tcBorders>
          </w:tcPr>
          <w:p>
            <w:pPr>
              <w:spacing w:after="0"/>
              <w:rPr>
                <w:sz w:val="17"/>
                <w:szCs w:val="17"/>
                <w:color w:val="auto"/>
              </w:rPr>
            </w:pPr>
          </w:p>
        </w:tc>
        <w:tc>
          <w:tcPr>
            <w:tcW w:w="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4,734</w:t>
            </w:r>
          </w:p>
        </w:tc>
        <w:tc>
          <w:tcPr>
            <w:tcW w:w="24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9,046</w:t>
            </w:r>
          </w:p>
        </w:tc>
        <w:tc>
          <w:tcPr>
            <w:tcW w:w="40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9,285</w:t>
            </w:r>
          </w:p>
        </w:tc>
      </w:tr>
      <w:tr>
        <w:trPr>
          <w:trHeight w:val="196"/>
        </w:trPr>
        <w:tc>
          <w:tcPr>
            <w:tcW w:w="74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Cost of services sold</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1,373</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1,269</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2,674</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2,427</w:t>
            </w:r>
          </w:p>
        </w:tc>
      </w:tr>
      <w:tr>
        <w:trPr>
          <w:trHeight w:val="199"/>
        </w:trPr>
        <w:tc>
          <w:tcPr>
            <w:tcW w:w="74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6,046</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6,003</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11,720</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11,712</w:t>
            </w:r>
          </w:p>
        </w:tc>
      </w:tr>
      <w:tr>
        <w:trPr>
          <w:trHeight w:val="193"/>
        </w:trPr>
        <w:tc>
          <w:tcPr>
            <w:tcW w:w="74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1,306</w:t>
            </w:r>
          </w:p>
        </w:tc>
        <w:tc>
          <w:tcPr>
            <w:tcW w:w="320" w:type="dxa"/>
            <w:vAlign w:val="bottom"/>
            <w:tcBorders>
              <w:bottom w:val="single" w:sz="8" w:color="BCBDC0"/>
            </w:tcBorders>
          </w:tcPr>
          <w:p>
            <w:pPr>
              <w:spacing w:after="0"/>
              <w:rPr>
                <w:sz w:val="16"/>
                <w:szCs w:val="16"/>
                <w:color w:val="auto"/>
              </w:rPr>
            </w:pPr>
          </w:p>
        </w:tc>
        <w:tc>
          <w:tcPr>
            <w:tcW w:w="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1,207</w:t>
            </w:r>
          </w:p>
        </w:tc>
        <w:tc>
          <w:tcPr>
            <w:tcW w:w="2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2,737</w:t>
            </w:r>
          </w:p>
        </w:tc>
        <w:tc>
          <w:tcPr>
            <w:tcW w:w="40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2,443</w:t>
            </w:r>
          </w:p>
        </w:tc>
      </w:tr>
      <w:tr>
        <w:trPr>
          <w:trHeight w:val="196"/>
        </w:trPr>
        <w:tc>
          <w:tcPr>
            <w:tcW w:w="74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Other (income) expense</w:t>
            </w:r>
          </w:p>
        </w:tc>
        <w:tc>
          <w:tcPr>
            <w:tcW w:w="1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(190)</w:t>
            </w:r>
          </w:p>
        </w:tc>
        <w:tc>
          <w:tcPr>
            <w:tcW w:w="320" w:type="dxa"/>
            <w:vAlign w:val="bottom"/>
            <w:tcBorders>
              <w:bottom w:val="single" w:sz="8" w:color="BCBDC0"/>
            </w:tcBorders>
          </w:tcPr>
          <w:p>
            <w:pPr>
              <w:spacing w:after="0"/>
              <w:rPr>
                <w:sz w:val="17"/>
                <w:szCs w:val="17"/>
                <w:color w:val="auto"/>
              </w:rPr>
            </w:pPr>
          </w:p>
        </w:tc>
        <w:tc>
          <w:tcPr>
            <w:tcW w:w="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(366)</w:t>
            </w:r>
          </w:p>
        </w:tc>
        <w:tc>
          <w:tcPr>
            <w:tcW w:w="24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(509)</w:t>
            </w:r>
          </w:p>
        </w:tc>
        <w:tc>
          <w:tcPr>
            <w:tcW w:w="400" w:type="dxa"/>
            <w:vAlign w:val="bottom"/>
            <w:tcBorders>
              <w:bottom w:val="single" w:sz="8" w:color="BCBDC0"/>
            </w:tcBorders>
          </w:tcPr>
          <w:p>
            <w:pPr>
              <w:spacing w:after="0"/>
              <w:rPr>
                <w:sz w:val="17"/>
                <w:szCs w:val="17"/>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(808)</w:t>
            </w:r>
          </w:p>
        </w:tc>
      </w:tr>
      <w:tr>
        <w:trPr>
          <w:trHeight w:val="196"/>
        </w:trPr>
        <w:tc>
          <w:tcPr>
            <w:tcW w:w="74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Interest and other financial charges</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87</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83</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172</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173</w:t>
            </w:r>
          </w:p>
        </w:tc>
      </w:tr>
      <w:tr>
        <w:trPr>
          <w:trHeight w:val="199"/>
        </w:trPr>
        <w:tc>
          <w:tcPr>
            <w:tcW w:w="74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7,249</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6,927</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14,120</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13,520</w:t>
            </w:r>
          </w:p>
        </w:tc>
      </w:tr>
      <w:tr>
        <w:trPr>
          <w:trHeight w:val="193"/>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Income before taxes</w:t>
            </w:r>
          </w:p>
        </w:tc>
        <w:tc>
          <w:tcPr>
            <w:tcW w:w="1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1,704</w:t>
            </w:r>
          </w:p>
        </w:tc>
        <w:tc>
          <w:tcPr>
            <w:tcW w:w="320" w:type="dxa"/>
            <w:vAlign w:val="bottom"/>
            <w:tcBorders>
              <w:bottom w:val="single" w:sz="8" w:color="BCBDC0"/>
            </w:tcBorders>
          </w:tcPr>
          <w:p>
            <w:pPr>
              <w:spacing w:after="0"/>
              <w:rPr>
                <w:sz w:val="16"/>
                <w:szCs w:val="16"/>
                <w:color w:val="auto"/>
              </w:rPr>
            </w:pPr>
          </w:p>
        </w:tc>
        <w:tc>
          <w:tcPr>
            <w:tcW w:w="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1,881</w:t>
            </w:r>
          </w:p>
        </w:tc>
        <w:tc>
          <w:tcPr>
            <w:tcW w:w="2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3,209</w:t>
            </w:r>
          </w:p>
        </w:tc>
        <w:tc>
          <w:tcPr>
            <w:tcW w:w="40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3,742</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441</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434</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812</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847</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1,263</w:t>
            </w:r>
          </w:p>
        </w:tc>
        <w:tc>
          <w:tcPr>
            <w:tcW w:w="3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1,447</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2,397</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2,895</w:t>
            </w:r>
          </w:p>
        </w:tc>
      </w:tr>
      <w:tr>
        <w:trPr>
          <w:trHeight w:val="193"/>
        </w:trPr>
        <w:tc>
          <w:tcPr>
            <w:tcW w:w="74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Less: Net income attributable to the noncontrolling interest</w:t>
            </w:r>
          </w:p>
        </w:tc>
        <w:tc>
          <w:tcPr>
            <w:tcW w:w="1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1,261</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1,430</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2,395</w:t>
            </w: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2,857</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 - basic</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1.86</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2.06</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3.51</w:t>
            </w: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4.11</w:t>
            </w:r>
          </w:p>
        </w:tc>
      </w:tr>
      <w:tr>
        <w:trPr>
          <w:trHeight w:val="196"/>
        </w:trPr>
        <w:tc>
          <w:tcPr>
            <w:tcW w:w="748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Earnings per share of common stock - assuming dilution</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C202E"/>
            </w:tcBorders>
          </w:tcPr>
          <w:p>
            <w:pPr>
              <w:jc w:val="right"/>
              <w:ind w:right="108"/>
              <w:spacing w:after="0"/>
              <w:rPr>
                <w:sz w:val="20"/>
                <w:szCs w:val="20"/>
                <w:color w:val="auto"/>
              </w:rPr>
            </w:pPr>
            <w:r>
              <w:rPr>
                <w:rFonts w:ascii="Arial" w:cs="Arial" w:eastAsia="Arial" w:hAnsi="Arial"/>
                <w:sz w:val="14"/>
                <w:szCs w:val="14"/>
                <w:b w:val="1"/>
                <w:bCs w:val="1"/>
                <w:color w:val="auto"/>
              </w:rPr>
              <w:t>1.84</w:t>
            </w:r>
          </w:p>
        </w:tc>
        <w:tc>
          <w:tcPr>
            <w:tcW w:w="320" w:type="dxa"/>
            <w:vAlign w:val="bottom"/>
            <w:tcBorders>
              <w:bottom w:val="single" w:sz="8" w:color="DC202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2.04</w:t>
            </w:r>
          </w:p>
        </w:tc>
        <w:tc>
          <w:tcPr>
            <w:tcW w:w="240" w:type="dxa"/>
            <w:vAlign w:val="bottom"/>
            <w:tcBorders>
              <w:bottom w:val="single" w:sz="8" w:color="DC202E"/>
            </w:tcBorders>
          </w:tcPr>
          <w:p>
            <w:pPr>
              <w:spacing w:after="0"/>
              <w:rPr>
                <w:sz w:val="17"/>
                <w:szCs w:val="17"/>
                <w:color w:val="auto"/>
              </w:rPr>
            </w:pPr>
          </w:p>
        </w:tc>
        <w:tc>
          <w:tcPr>
            <w:tcW w:w="16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3.48</w:t>
            </w:r>
          </w:p>
        </w:tc>
        <w:tc>
          <w:tcPr>
            <w:tcW w:w="40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4.06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Six Months Ended June</w:t>
            </w:r>
          </w:p>
        </w:tc>
      </w:tr>
      <w:tr>
        <w:trPr>
          <w:trHeight w:val="185"/>
        </w:trPr>
        <w:tc>
          <w:tcPr>
            <w:tcW w:w="7480" w:type="dxa"/>
            <w:vAlign w:val="bottom"/>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w:t>
            </w:r>
          </w:p>
        </w:tc>
        <w:tc>
          <w:tcPr>
            <w:tcW w:w="600" w:type="dxa"/>
            <w:vAlign w:val="bottom"/>
            <w:tcBorders>
              <w:bottom w:val="single" w:sz="8" w:color="D7282F"/>
            </w:tcBorders>
          </w:tcPr>
          <w:p>
            <w:pPr>
              <w:spacing w:after="0"/>
              <w:rPr>
                <w:sz w:val="16"/>
                <w:szCs w:val="16"/>
                <w:color w:val="auto"/>
              </w:rPr>
            </w:pPr>
          </w:p>
        </w:tc>
      </w:tr>
      <w:tr>
        <w:trPr>
          <w:trHeight w:val="235"/>
        </w:trPr>
        <w:tc>
          <w:tcPr>
            <w:tcW w:w="7480" w:type="dxa"/>
            <w:vAlign w:val="bottom"/>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7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D7282F"/>
            </w:tcBorders>
          </w:tcPr>
          <w:p>
            <w:pPr>
              <w:spacing w:after="0"/>
              <w:rPr>
                <w:sz w:val="20"/>
                <w:szCs w:val="20"/>
                <w:color w:val="auto"/>
              </w:rPr>
            </w:pPr>
          </w:p>
        </w:tc>
        <w:tc>
          <w:tcPr>
            <w:tcW w:w="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2021</w:t>
            </w:r>
          </w:p>
        </w:tc>
      </w:tr>
      <w:tr>
        <w:trPr>
          <w:trHeight w:val="196"/>
        </w:trPr>
        <w:tc>
          <w:tcPr>
            <w:tcW w:w="74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gridSpan w:val="4"/>
          </w:tcPr>
          <w:p>
            <w:pPr>
              <w:jc w:val="right"/>
              <w:ind w:right="148"/>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3"/>
        </w:trPr>
        <w:tc>
          <w:tcPr>
            <w:tcW w:w="7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1,263</w:t>
            </w:r>
          </w:p>
        </w:tc>
        <w:tc>
          <w:tcPr>
            <w:tcW w:w="3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1,447</w:t>
            </w:r>
          </w:p>
        </w:tc>
        <w:tc>
          <w:tcPr>
            <w:tcW w:w="2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2,397</w:t>
            </w:r>
          </w:p>
        </w:tc>
        <w:tc>
          <w:tcPr>
            <w:tcW w:w="4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2,895</w:t>
            </w:r>
          </w:p>
        </w:tc>
      </w:tr>
      <w:tr>
        <w:trPr>
          <w:trHeight w:val="196"/>
        </w:trPr>
        <w:tc>
          <w:tcPr>
            <w:tcW w:w="74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9"/>
        </w:trPr>
        <w:tc>
          <w:tcPr>
            <w:tcW w:w="748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Foreign exchange translation adjustment</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(102)</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129</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343</w:t>
            </w:r>
          </w:p>
        </w:tc>
      </w:tr>
      <w:tr>
        <w:trPr>
          <w:trHeight w:val="193"/>
        </w:trPr>
        <w:tc>
          <w:tcPr>
            <w:tcW w:w="7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Prior service (credit) cost recognized</w:t>
            </w:r>
          </w:p>
        </w:tc>
        <w:tc>
          <w:tcPr>
            <w:tcW w:w="1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w:t>
            </w:r>
          </w:p>
        </w:tc>
        <w:tc>
          <w:tcPr>
            <w:tcW w:w="40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w:t>
            </w:r>
          </w:p>
        </w:tc>
      </w:tr>
      <w:tr>
        <w:trPr>
          <w:trHeight w:val="199"/>
        </w:trPr>
        <w:tc>
          <w:tcPr>
            <w:tcW w:w="748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w:t>
            </w:r>
          </w:p>
        </w:tc>
      </w:tr>
      <w:tr>
        <w:trPr>
          <w:trHeight w:val="196"/>
        </w:trPr>
        <w:tc>
          <w:tcPr>
            <w:tcW w:w="748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Changes in fair value of available for sale investments</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w:t>
            </w:r>
          </w:p>
        </w:tc>
      </w:tr>
      <w:tr>
        <w:trPr>
          <w:trHeight w:val="193"/>
        </w:trPr>
        <w:tc>
          <w:tcPr>
            <w:tcW w:w="7480" w:type="dxa"/>
            <w:vAlign w:val="bottom"/>
            <w:tcBorders>
              <w:bottom w:val="single" w:sz="8" w:color="BCBDC0"/>
            </w:tcBorders>
          </w:tcPr>
          <w:p>
            <w:pPr>
              <w:ind w:left="520"/>
              <w:spacing w:after="0"/>
              <w:rPr>
                <w:sz w:val="20"/>
                <w:szCs w:val="20"/>
                <w:color w:val="auto"/>
              </w:rPr>
            </w:pPr>
            <w:r>
              <w:rPr>
                <w:rFonts w:ascii="Arial" w:cs="Arial" w:eastAsia="Arial" w:hAnsi="Arial"/>
                <w:sz w:val="14"/>
                <w:szCs w:val="14"/>
                <w:color w:val="auto"/>
              </w:rPr>
              <w:t>Cash flow hedges recognized in other comprehensive income (loss)</w:t>
            </w:r>
          </w:p>
        </w:tc>
        <w:tc>
          <w:tcPr>
            <w:tcW w:w="1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31</w:t>
            </w:r>
          </w:p>
        </w:tc>
        <w:tc>
          <w:tcPr>
            <w:tcW w:w="300" w:type="dxa"/>
            <w:vAlign w:val="bottom"/>
            <w:tcBorders>
              <w:bottom w:val="single" w:sz="8" w:color="BCBDC0"/>
            </w:tcBorders>
          </w:tcPr>
          <w:p>
            <w:pPr>
              <w:spacing w:after="0"/>
              <w:rPr>
                <w:sz w:val="16"/>
                <w:szCs w:val="16"/>
                <w:color w:val="auto"/>
              </w:rPr>
            </w:pPr>
          </w:p>
        </w:tc>
        <w:tc>
          <w:tcPr>
            <w:tcW w:w="5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39</w:t>
            </w:r>
          </w:p>
        </w:tc>
        <w:tc>
          <w:tcPr>
            <w:tcW w:w="400" w:type="dxa"/>
            <w:vAlign w:val="bottom"/>
            <w:tcBorders>
              <w:bottom w:val="single" w:sz="8" w:color="BCBDC0"/>
            </w:tcBorders>
          </w:tcPr>
          <w:p>
            <w:pPr>
              <w:spacing w:after="0"/>
              <w:rPr>
                <w:sz w:val="16"/>
                <w:szCs w:val="16"/>
                <w:color w:val="auto"/>
              </w:rPr>
            </w:pPr>
          </w:p>
        </w:tc>
        <w:tc>
          <w:tcPr>
            <w:tcW w:w="6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7480" w:type="dxa"/>
            <w:vAlign w:val="bottom"/>
            <w:tcBorders>
              <w:bottom w:val="single" w:sz="8" w:color="D7282F"/>
            </w:tcBorders>
          </w:tcPr>
          <w:p>
            <w:pPr>
              <w:ind w:left="520"/>
              <w:spacing w:after="0"/>
              <w:rPr>
                <w:sz w:val="20"/>
                <w:szCs w:val="20"/>
                <w:color w:val="auto"/>
              </w:rPr>
            </w:pPr>
            <w:r>
              <w:rPr>
                <w:rFonts w:ascii="Arial" w:cs="Arial" w:eastAsia="Arial" w:hAnsi="Arial"/>
                <w:sz w:val="14"/>
                <w:szCs w:val="14"/>
                <w:color w:val="auto"/>
              </w:rPr>
              <w:t>Less: Reclassification adjustment for gains (losses) included in net income</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7480" w:type="dxa"/>
            <w:vAlign w:val="bottom"/>
            <w:tcBorders>
              <w:bottom w:val="single" w:sz="8" w:color="D7282F"/>
            </w:tcBorders>
          </w:tcPr>
          <w:p>
            <w:pPr>
              <w:ind w:left="320"/>
              <w:spacing w:after="0"/>
              <w:rPr>
                <w:sz w:val="20"/>
                <w:szCs w:val="20"/>
                <w:color w:val="auto"/>
              </w:rPr>
            </w:pPr>
            <w:r>
              <w:rPr>
                <w:rFonts w:ascii="Arial" w:cs="Arial" w:eastAsia="Arial" w:hAnsi="Arial"/>
                <w:sz w:val="14"/>
                <w:szCs w:val="14"/>
                <w:b w:val="1"/>
                <w:bCs w:val="1"/>
                <w:color w:val="auto"/>
              </w:rPr>
              <w:t>Changes in fair value of cash flow hedges</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193"/>
        </w:trPr>
        <w:tc>
          <w:tcPr>
            <w:tcW w:w="74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(103)</w:t>
            </w:r>
          </w:p>
        </w:tc>
        <w:tc>
          <w:tcPr>
            <w:tcW w:w="3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303</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1,160</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1,556</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2,402</w:t>
            </w:r>
          </w:p>
        </w:tc>
        <w:tc>
          <w:tcPr>
            <w:tcW w:w="4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3,198</w:t>
            </w:r>
          </w:p>
        </w:tc>
      </w:tr>
      <w:tr>
        <w:trPr>
          <w:trHeight w:val="193"/>
        </w:trPr>
        <w:tc>
          <w:tcPr>
            <w:tcW w:w="7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Less: Comprehensive income attributable to the noncontrolling interest</w:t>
            </w:r>
          </w:p>
        </w:tc>
        <w:tc>
          <w:tcPr>
            <w:tcW w:w="1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1,165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1,539</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2,407</w:t>
            </w: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7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240" w:type="dxa"/>
            <w:vAlign w:val="bottom"/>
            <w:tcBorders>
              <w:bottom w:val="single" w:sz="8" w:color="D7282F"/>
            </w:tcBorders>
            <w:gridSpan w:val="3"/>
          </w:tcPr>
          <w:p>
            <w:pPr>
              <w:jc w:val="right"/>
              <w:ind w:right="988"/>
              <w:spacing w:after="0"/>
              <w:rPr>
                <w:sz w:val="20"/>
                <w:szCs w:val="20"/>
                <w:color w:val="auto"/>
              </w:rPr>
            </w:pPr>
            <w:r>
              <w:rPr>
                <w:rFonts w:ascii="Arial" w:cs="Arial" w:eastAsia="Arial" w:hAnsi="Arial"/>
                <w:sz w:val="14"/>
                <w:szCs w:val="14"/>
                <w:b w:val="1"/>
                <w:bCs w:val="1"/>
                <w:color w:val="auto"/>
              </w:rPr>
              <w:t>(Dollars in millions)</w:t>
            </w:r>
          </w:p>
        </w:tc>
      </w:tr>
      <w:tr>
        <w:trPr>
          <w:trHeight w:val="223"/>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BCBDC0"/>
            </w:tcBorders>
          </w:tcPr>
          <w:p>
            <w:pPr>
              <w:spacing w:after="0"/>
              <w:rPr>
                <w:sz w:val="19"/>
                <w:szCs w:val="19"/>
                <w:color w:val="auto"/>
              </w:rPr>
            </w:pPr>
          </w:p>
        </w:tc>
        <w:tc>
          <w:tcPr>
            <w:tcW w:w="1500" w:type="dxa"/>
            <w:vAlign w:val="bottom"/>
            <w:tcBorders>
              <w:bottom w:val="single" w:sz="8" w:color="BCBDC0"/>
            </w:tcBorders>
          </w:tcPr>
          <w:p>
            <w:pPr>
              <w:spacing w:after="0"/>
              <w:rPr>
                <w:sz w:val="19"/>
                <w:szCs w:val="19"/>
                <w:color w:val="auto"/>
              </w:rPr>
            </w:pPr>
          </w:p>
        </w:tc>
        <w:tc>
          <w:tcPr>
            <w:tcW w:w="260" w:type="dxa"/>
            <w:vAlign w:val="bottom"/>
            <w:tcBorders>
              <w:bottom w:val="single" w:sz="8" w:color="BCBDC0"/>
            </w:tcBorders>
          </w:tcPr>
          <w:p>
            <w:pPr>
              <w:spacing w:after="0"/>
              <w:rPr>
                <w:sz w:val="19"/>
                <w:szCs w:val="19"/>
                <w:color w:val="auto"/>
              </w:rPr>
            </w:pPr>
          </w:p>
        </w:tc>
        <w:tc>
          <w:tcPr>
            <w:tcW w:w="1480" w:type="dxa"/>
            <w:vAlign w:val="bottom"/>
            <w:tcBorders>
              <w:bottom w:val="single" w:sz="8" w:color="BCBDC0"/>
            </w:tcBorders>
          </w:tcPr>
          <w:p>
            <w:pPr>
              <w:spacing w:after="0"/>
              <w:rPr>
                <w:sz w:val="19"/>
                <w:szCs w:val="19"/>
                <w:color w:val="auto"/>
              </w:rPr>
            </w:pPr>
          </w:p>
        </w:tc>
      </w:tr>
      <w:tr>
        <w:trPr>
          <w:trHeight w:val="220"/>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Borders>
              <w:bottom w:val="single" w:sz="8" w:color="BCBDC0"/>
            </w:tcBorders>
          </w:tcPr>
          <w:p>
            <w:pPr>
              <w:spacing w:after="0"/>
              <w:rPr>
                <w:sz w:val="19"/>
                <w:szCs w:val="19"/>
                <w:color w:val="auto"/>
              </w:rPr>
            </w:pPr>
          </w:p>
        </w:tc>
        <w:tc>
          <w:tcPr>
            <w:tcW w:w="1500" w:type="dxa"/>
            <w:vAlign w:val="bottom"/>
            <w:tcBorders>
              <w:bottom w:val="single" w:sz="8" w:color="BCBDC0"/>
            </w:tcBorders>
          </w:tcPr>
          <w:p>
            <w:pPr>
              <w:spacing w:after="0"/>
              <w:rPr>
                <w:sz w:val="19"/>
                <w:szCs w:val="19"/>
                <w:color w:val="auto"/>
              </w:rPr>
            </w:pPr>
          </w:p>
        </w:tc>
        <w:tc>
          <w:tcPr>
            <w:tcW w:w="260" w:type="dxa"/>
            <w:vAlign w:val="bottom"/>
            <w:tcBorders>
              <w:bottom w:val="single" w:sz="8" w:color="BCBDC0"/>
            </w:tcBorders>
          </w:tcPr>
          <w:p>
            <w:pPr>
              <w:spacing w:after="0"/>
              <w:rPr>
                <w:sz w:val="19"/>
                <w:szCs w:val="19"/>
                <w:color w:val="auto"/>
              </w:rPr>
            </w:pPr>
          </w:p>
        </w:tc>
        <w:tc>
          <w:tcPr>
            <w:tcW w:w="1480" w:type="dxa"/>
            <w:vAlign w:val="bottom"/>
            <w:tcBorders>
              <w:bottom w:val="single" w:sz="8" w:color="BCBDC0"/>
            </w:tcBorders>
          </w:tcPr>
          <w:p>
            <w:pPr>
              <w:spacing w:after="0"/>
              <w:rPr>
                <w:sz w:val="19"/>
                <w:szCs w:val="19"/>
                <w:color w:val="auto"/>
              </w:rPr>
            </w:pP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8,248</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10,959</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Short-term investments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411</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564</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Accounts receivable, less allowances of $378 and $177, respectively</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7,738</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6,830</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Inventories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5,576</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5,138</w:t>
            </w:r>
          </w:p>
        </w:tc>
      </w:tr>
      <w:tr>
        <w:trPr>
          <w:trHeight w:val="196"/>
        </w:trPr>
        <w:tc>
          <w:tcPr>
            <w:tcW w:w="77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1,874</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1,881</w:t>
            </w:r>
          </w:p>
        </w:tc>
      </w:tr>
      <w:tr>
        <w:trPr>
          <w:trHeight w:val="199"/>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23,847</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25,372</w:t>
            </w:r>
          </w:p>
        </w:tc>
      </w:tr>
      <w:tr>
        <w:trPr>
          <w:trHeight w:val="193"/>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220" w:type="dxa"/>
            <w:vAlign w:val="bottom"/>
            <w:tcBorders>
              <w:bottom w:val="single" w:sz="8" w:color="BCBDC0"/>
            </w:tcBorders>
          </w:tcPr>
          <w:p>
            <w:pPr>
              <w:spacing w:after="0"/>
              <w:rPr>
                <w:sz w:val="16"/>
                <w:szCs w:val="16"/>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797</w:t>
            </w:r>
          </w:p>
        </w:tc>
        <w:tc>
          <w:tcPr>
            <w:tcW w:w="260" w:type="dxa"/>
            <w:vAlign w:val="bottom"/>
            <w:tcBorders>
              <w:bottom w:val="single" w:sz="8" w:color="BCBDC0"/>
            </w:tcBorders>
          </w:tcPr>
          <w:p>
            <w:pPr>
              <w:spacing w:after="0"/>
              <w:rPr>
                <w:sz w:val="16"/>
                <w:szCs w:val="16"/>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1,222</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Property, plant and equipment - net</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5,342</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5,562</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17,528</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17,756</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intangible assets - net</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3,385</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3,613</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Insurance recoveries for asbestos related liabilities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272</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322</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491</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489</w:t>
            </w:r>
          </w:p>
        </w:tc>
      </w:tr>
      <w:tr>
        <w:trPr>
          <w:trHeight w:val="196"/>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10,596</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10,134</w:t>
            </w:r>
          </w:p>
        </w:tc>
      </w:tr>
      <w:tr>
        <w:trPr>
          <w:trHeight w:val="199"/>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62,258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64,470</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spacing w:after="0"/>
              <w:rPr>
                <w:sz w:val="17"/>
                <w:szCs w:val="17"/>
                <w:color w:val="auto"/>
              </w:rPr>
            </w:pPr>
          </w:p>
        </w:tc>
      </w:tr>
      <w:tr>
        <w:trPr>
          <w:trHeight w:val="193"/>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Borders>
              <w:bottom w:val="single" w:sz="8" w:color="BCBDC0"/>
            </w:tcBorders>
          </w:tcPr>
          <w:p>
            <w:pPr>
              <w:spacing w:after="0"/>
              <w:rPr>
                <w:sz w:val="16"/>
                <w:szCs w:val="16"/>
                <w:color w:val="auto"/>
              </w:rPr>
            </w:pPr>
          </w:p>
        </w:tc>
        <w:tc>
          <w:tcPr>
            <w:tcW w:w="150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1480" w:type="dxa"/>
            <w:vAlign w:val="bottom"/>
            <w:tcBorders>
              <w:bottom w:val="single" w:sz="8" w:color="BCBDC0"/>
            </w:tcBorders>
          </w:tcPr>
          <w:p>
            <w:pPr>
              <w:spacing w:after="0"/>
              <w:rPr>
                <w:sz w:val="16"/>
                <w:szCs w:val="16"/>
                <w:color w:val="auto"/>
              </w:rPr>
            </w:pP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6,245</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6,484</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Commercial paper and other short-term borrowings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3,487</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3,542</w:t>
            </w:r>
          </w:p>
        </w:tc>
      </w:tr>
      <w:tr>
        <w:trPr>
          <w:trHeight w:val="196"/>
        </w:trPr>
        <w:tc>
          <w:tcPr>
            <w:tcW w:w="77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Current maturities of long-term debt</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3,099</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1,803</w:t>
            </w:r>
          </w:p>
        </w:tc>
      </w:tr>
      <w:tr>
        <w:trPr>
          <w:trHeight w:val="196"/>
        </w:trPr>
        <w:tc>
          <w:tcPr>
            <w:tcW w:w="77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Accrued liabilities</w:t>
            </w:r>
          </w:p>
        </w:tc>
        <w:tc>
          <w:tcPr>
            <w:tcW w:w="22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7,116</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7,679</w:t>
            </w:r>
          </w:p>
        </w:tc>
      </w:tr>
      <w:tr>
        <w:trPr>
          <w:trHeight w:val="199"/>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current liabilities</w:t>
            </w:r>
          </w:p>
        </w:tc>
        <w:tc>
          <w:tcPr>
            <w:tcW w:w="22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19,947</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19,508</w:t>
            </w:r>
          </w:p>
        </w:tc>
      </w:tr>
      <w:tr>
        <w:trPr>
          <w:trHeight w:val="193"/>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tcBorders>
              <w:bottom w:val="single" w:sz="8" w:color="BCBDC0"/>
            </w:tcBorders>
          </w:tcPr>
          <w:p>
            <w:pPr>
              <w:spacing w:after="0"/>
              <w:rPr>
                <w:sz w:val="16"/>
                <w:szCs w:val="16"/>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12,491</w:t>
            </w:r>
          </w:p>
        </w:tc>
        <w:tc>
          <w:tcPr>
            <w:tcW w:w="260" w:type="dxa"/>
            <w:vAlign w:val="bottom"/>
            <w:tcBorders>
              <w:bottom w:val="single" w:sz="8" w:color="BCBDC0"/>
            </w:tcBorders>
          </w:tcPr>
          <w:p>
            <w:pPr>
              <w:spacing w:after="0"/>
              <w:rPr>
                <w:sz w:val="16"/>
                <w:szCs w:val="16"/>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14,254</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2,421</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2,364</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212</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208</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Asbestos-related liabilities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1,780</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1,800</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7,210</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7,087</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spacing w:after="0"/>
              <w:rPr>
                <w:sz w:val="17"/>
                <w:szCs w:val="17"/>
                <w:color w:val="auto"/>
              </w:rPr>
            </w:pPr>
          </w:p>
        </w:tc>
      </w:tr>
      <w:tr>
        <w:trPr>
          <w:trHeight w:val="193"/>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Capital - common stock issued</w:t>
            </w:r>
          </w:p>
        </w:tc>
        <w:tc>
          <w:tcPr>
            <w:tcW w:w="220" w:type="dxa"/>
            <w:vAlign w:val="bottom"/>
            <w:tcBorders>
              <w:bottom w:val="single" w:sz="8" w:color="BCBDC0"/>
            </w:tcBorders>
          </w:tcPr>
          <w:p>
            <w:pPr>
              <w:spacing w:after="0"/>
              <w:rPr>
                <w:sz w:val="16"/>
                <w:szCs w:val="16"/>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958</w:t>
            </w:r>
          </w:p>
        </w:tc>
        <w:tc>
          <w:tcPr>
            <w:tcW w:w="260" w:type="dxa"/>
            <w:vAlign w:val="bottom"/>
            <w:tcBorders>
              <w:bottom w:val="single" w:sz="8" w:color="BCBDC0"/>
            </w:tcBorders>
          </w:tcPr>
          <w:p>
            <w:pPr>
              <w:spacing w:after="0"/>
              <w:rPr>
                <w:sz w:val="16"/>
                <w:szCs w:val="16"/>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780" w:type="dxa"/>
            <w:vAlign w:val="bottom"/>
            <w:tcBorders>
              <w:bottom w:val="single" w:sz="8" w:color="BCBDC0"/>
            </w:tcBorders>
          </w:tcPr>
          <w:p>
            <w:pPr>
              <w:ind w:left="560"/>
              <w:spacing w:after="0"/>
              <w:rPr>
                <w:sz w:val="20"/>
                <w:szCs w:val="20"/>
                <w:color w:val="auto"/>
              </w:rPr>
            </w:pPr>
            <w:r>
              <w:rPr>
                <w:rFonts w:ascii="Arial" w:cs="Arial" w:eastAsia="Arial" w:hAnsi="Arial"/>
                <w:sz w:val="14"/>
                <w:szCs w:val="14"/>
                <w:color w:val="auto"/>
              </w:rPr>
              <w:t>- additional paid-in capital</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8,397</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8,141</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(32,814)</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(30,462)</w:t>
            </w:r>
          </w:p>
        </w:tc>
      </w:tr>
      <w:tr>
        <w:trPr>
          <w:trHeight w:val="196"/>
        </w:trPr>
        <w:tc>
          <w:tcPr>
            <w:tcW w:w="77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BCBDC0"/>
            </w:tcBorders>
          </w:tcPr>
          <w:p>
            <w:pPr>
              <w:spacing w:after="0"/>
              <w:rPr>
                <w:sz w:val="17"/>
                <w:szCs w:val="17"/>
                <w:color w:val="auto"/>
              </w:rPr>
            </w:pPr>
          </w:p>
        </w:tc>
        <w:tc>
          <w:tcPr>
            <w:tcW w:w="150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(2,883)</w:t>
            </w:r>
          </w:p>
        </w:tc>
        <w:tc>
          <w:tcPr>
            <w:tcW w:w="26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(2,895)</w:t>
            </w:r>
          </w:p>
        </w:tc>
      </w:tr>
      <w:tr>
        <w:trPr>
          <w:trHeight w:val="196"/>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43,883</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42,827</w:t>
            </w:r>
          </w:p>
        </w:tc>
      </w:tr>
      <w:tr>
        <w:trPr>
          <w:trHeight w:val="199"/>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Honeywell shareowners’ equity</w:t>
            </w:r>
          </w:p>
        </w:tc>
        <w:tc>
          <w:tcPr>
            <w:tcW w:w="22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17,541</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18,569</w:t>
            </w:r>
          </w:p>
        </w:tc>
      </w:tr>
      <w:tr>
        <w:trPr>
          <w:trHeight w:val="193"/>
        </w:trPr>
        <w:tc>
          <w:tcPr>
            <w:tcW w:w="77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D7282F"/>
            </w:tcBorders>
          </w:tcPr>
          <w:p>
            <w:pPr>
              <w:spacing w:after="0"/>
              <w:rPr>
                <w:sz w:val="16"/>
                <w:szCs w:val="16"/>
                <w:color w:val="auto"/>
              </w:rPr>
            </w:pP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649</w:t>
            </w:r>
          </w:p>
        </w:tc>
        <w:tc>
          <w:tcPr>
            <w:tcW w:w="260" w:type="dxa"/>
            <w:vAlign w:val="bottom"/>
            <w:tcBorders>
              <w:bottom w:val="single" w:sz="8" w:color="D7282F"/>
            </w:tcBorders>
          </w:tcPr>
          <w:p>
            <w:pPr>
              <w:spacing w:after="0"/>
              <w:rPr>
                <w:sz w:val="16"/>
                <w:szCs w:val="16"/>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673</w:t>
            </w:r>
          </w:p>
        </w:tc>
      </w:tr>
      <w:tr>
        <w:trPr>
          <w:trHeight w:val="199"/>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shareowners’ equity</w:t>
            </w:r>
          </w:p>
        </w:tc>
        <w:tc>
          <w:tcPr>
            <w:tcW w:w="220" w:type="dxa"/>
            <w:vAlign w:val="bottom"/>
            <w:tcBorders>
              <w:bottom w:val="single" w:sz="8" w:color="D7282F"/>
            </w:tcBorders>
          </w:tcPr>
          <w:p>
            <w:pPr>
              <w:spacing w:after="0"/>
              <w:rPr>
                <w:sz w:val="17"/>
                <w:szCs w:val="17"/>
                <w:color w:val="auto"/>
              </w:rPr>
            </w:pP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18,190</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19,242</w:t>
            </w:r>
          </w:p>
        </w:tc>
      </w:tr>
      <w:tr>
        <w:trPr>
          <w:trHeight w:val="196"/>
        </w:trPr>
        <w:tc>
          <w:tcPr>
            <w:tcW w:w="778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62,258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54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420" w:type="dxa"/>
            <w:vAlign w:val="bottom"/>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6"/>
        </w:trPr>
        <w:tc>
          <w:tcPr>
            <w:tcW w:w="84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540" w:type="dxa"/>
            <w:vAlign w:val="bottom"/>
            <w:tcBorders>
              <w:bottom w:val="single" w:sz="8" w:color="D7282F"/>
            </w:tcBorders>
            <w:gridSpan w:val="3"/>
          </w:tcPr>
          <w:p>
            <w:pPr>
              <w:jc w:val="right"/>
              <w:ind w:right="66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84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spacing w:after="0"/>
              <w:rPr>
                <w:sz w:val="17"/>
                <w:szCs w:val="17"/>
                <w:color w:val="auto"/>
              </w:rPr>
            </w:pPr>
          </w:p>
        </w:tc>
      </w:tr>
      <w:tr>
        <w:trPr>
          <w:trHeight w:val="193"/>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2,397</w:t>
            </w:r>
          </w:p>
        </w:tc>
        <w:tc>
          <w:tcPr>
            <w:tcW w:w="42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2,895</w:t>
            </w:r>
          </w:p>
        </w:tc>
      </w:tr>
      <w:tr>
        <w:trPr>
          <w:trHeight w:val="196"/>
        </w:trPr>
        <w:tc>
          <w:tcPr>
            <w:tcW w:w="84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Less: Net income attributable to the noncontrolling interest</w:t>
            </w:r>
          </w:p>
        </w:tc>
        <w:tc>
          <w:tcPr>
            <w:tcW w:w="2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w:t>
            </w:r>
          </w:p>
        </w:tc>
      </w:tr>
      <w:tr>
        <w:trPr>
          <w:trHeight w:val="199"/>
        </w:trPr>
        <w:tc>
          <w:tcPr>
            <w:tcW w:w="84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Net income attributable to Honeywell</w:t>
            </w:r>
          </w:p>
        </w:tc>
        <w:tc>
          <w:tcPr>
            <w:tcW w:w="2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2,395</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2,857</w:t>
            </w:r>
          </w:p>
        </w:tc>
      </w:tr>
      <w:tr>
        <w:trPr>
          <w:trHeight w:val="193"/>
        </w:trPr>
        <w:tc>
          <w:tcPr>
            <w:tcW w:w="842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Adjustments to reconcile net income attributable to Honeywell to net cash provided by operating activities:</w:t>
            </w:r>
          </w:p>
        </w:tc>
        <w:tc>
          <w:tcPr>
            <w:tcW w:w="280" w:type="dxa"/>
            <w:vAlign w:val="bottom"/>
            <w:tcBorders>
              <w:bottom w:val="single" w:sz="8" w:color="BCBDC0"/>
            </w:tcBorders>
          </w:tcPr>
          <w:p>
            <w:pPr>
              <w:spacing w:after="0"/>
              <w:rPr>
                <w:sz w:val="16"/>
                <w:szCs w:val="16"/>
                <w:color w:val="auto"/>
              </w:rPr>
            </w:pPr>
          </w:p>
        </w:tc>
        <w:tc>
          <w:tcPr>
            <w:tcW w:w="112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1000" w:type="dxa"/>
            <w:vAlign w:val="bottom"/>
            <w:tcBorders>
              <w:bottom w:val="single" w:sz="8" w:color="BCBDC0"/>
            </w:tcBorders>
          </w:tcPr>
          <w:p>
            <w:pPr>
              <w:spacing w:after="0"/>
              <w:rPr>
                <w:sz w:val="16"/>
                <w:szCs w:val="16"/>
                <w:color w:val="auto"/>
              </w:rPr>
            </w:pP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Depreciation</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328</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335</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277</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290</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Gain on sale of non-strategic businesses and assets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(90)</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Repositioning and other charges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614</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242</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Net payments for repositioning and other charges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(220)</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(358)</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Pension and other postretirement income</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(521)</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(583)</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Pension and other postretirement benefit payments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(5)</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Stock compensation expense</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113</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116</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Deferred income taxes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120</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101</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81</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(277)</w:t>
            </w:r>
          </w:p>
        </w:tc>
      </w:tr>
      <w:tr>
        <w:trPr>
          <w:trHeight w:val="196"/>
        </w:trPr>
        <w:tc>
          <w:tcPr>
            <w:tcW w:w="8420" w:type="dxa"/>
            <w:vAlign w:val="bottom"/>
            <w:tcBorders>
              <w:bottom w:val="single" w:sz="8" w:color="BCBDC0"/>
            </w:tcBorders>
          </w:tcPr>
          <w:p>
            <w:pPr>
              <w:ind w:left="4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spacing w:after="0"/>
              <w:rPr>
                <w:sz w:val="17"/>
                <w:szCs w:val="17"/>
                <w:color w:val="auto"/>
              </w:rPr>
            </w:pPr>
          </w:p>
        </w:tc>
      </w:tr>
      <w:tr>
        <w:trPr>
          <w:trHeight w:val="196"/>
        </w:trPr>
        <w:tc>
          <w:tcPr>
            <w:tcW w:w="84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Accounts receivable</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(904)</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(127)</w:t>
            </w:r>
          </w:p>
        </w:tc>
      </w:tr>
      <w:tr>
        <w:trPr>
          <w:trHeight w:val="196"/>
        </w:trPr>
        <w:tc>
          <w:tcPr>
            <w:tcW w:w="84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Inventories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(434)</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(271)</w:t>
            </w:r>
          </w:p>
        </w:tc>
      </w:tr>
      <w:tr>
        <w:trPr>
          <w:trHeight w:val="196"/>
        </w:trPr>
        <w:tc>
          <w:tcPr>
            <w:tcW w:w="84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Other current assets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(38)</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(98)</w:t>
            </w:r>
          </w:p>
        </w:tc>
      </w:tr>
      <w:tr>
        <w:trPr>
          <w:trHeight w:val="196"/>
        </w:trPr>
        <w:tc>
          <w:tcPr>
            <w:tcW w:w="8420" w:type="dxa"/>
            <w:vAlign w:val="bottom"/>
            <w:tcBorders>
              <w:bottom w:val="single" w:sz="8" w:color="BCBDC0"/>
            </w:tcBorders>
          </w:tcPr>
          <w:p>
            <w:pPr>
              <w:ind w:left="680"/>
              <w:spacing w:after="0"/>
              <w:rPr>
                <w:sz w:val="20"/>
                <w:szCs w:val="20"/>
                <w:color w:val="auto"/>
              </w:rPr>
            </w:pPr>
            <w:r>
              <w:rPr>
                <w:rFonts w:ascii="Arial" w:cs="Arial" w:eastAsia="Arial" w:hAnsi="Arial"/>
                <w:sz w:val="14"/>
                <w:szCs w:val="14"/>
                <w:color w:val="auto"/>
              </w:rPr>
              <w:t>Accounts payable</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(240)</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402</w:t>
            </w:r>
          </w:p>
        </w:tc>
      </w:tr>
      <w:tr>
        <w:trPr>
          <w:trHeight w:val="196"/>
        </w:trPr>
        <w:tc>
          <w:tcPr>
            <w:tcW w:w="8420" w:type="dxa"/>
            <w:vAlign w:val="bottom"/>
            <w:tcBorders>
              <w:bottom w:val="single" w:sz="8" w:color="D7282F"/>
            </w:tcBorders>
          </w:tcPr>
          <w:p>
            <w:pPr>
              <w:ind w:left="680"/>
              <w:spacing w:after="0"/>
              <w:rPr>
                <w:sz w:val="20"/>
                <w:szCs w:val="20"/>
                <w:color w:val="auto"/>
              </w:rPr>
            </w:pPr>
            <w:r>
              <w:rPr>
                <w:rFonts w:ascii="Arial" w:cs="Arial" w:eastAsia="Arial" w:hAnsi="Arial"/>
                <w:sz w:val="14"/>
                <w:szCs w:val="14"/>
                <w:color w:val="auto"/>
              </w:rPr>
              <w:t>Accrued liabilities</w:t>
            </w:r>
          </w:p>
        </w:tc>
        <w:tc>
          <w:tcPr>
            <w:tcW w:w="2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(741)</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(256)</w:t>
            </w:r>
          </w:p>
        </w:tc>
      </w:tr>
      <w:tr>
        <w:trPr>
          <w:trHeight w:val="199"/>
        </w:trPr>
        <w:tc>
          <w:tcPr>
            <w:tcW w:w="8420" w:type="dxa"/>
            <w:vAlign w:val="bottom"/>
            <w:tcBorders>
              <w:bottom w:val="single" w:sz="8" w:color="D7282F"/>
            </w:tcBorders>
          </w:tcPr>
          <w:p>
            <w:pPr>
              <w:ind w:left="880"/>
              <w:spacing w:after="0"/>
              <w:rPr>
                <w:sz w:val="20"/>
                <w:szCs w:val="20"/>
                <w:color w:val="auto"/>
              </w:rPr>
            </w:pPr>
            <w:r>
              <w:rPr>
                <w:rFonts w:ascii="Arial" w:cs="Arial" w:eastAsia="Arial" w:hAnsi="Arial"/>
                <w:sz w:val="14"/>
                <w:szCs w:val="14"/>
                <w:b w:val="1"/>
                <w:bCs w:val="1"/>
                <w:color w:val="auto"/>
              </w:rPr>
              <w:t>Net cash provided by operating activities</w:t>
            </w:r>
          </w:p>
        </w:tc>
        <w:tc>
          <w:tcPr>
            <w:tcW w:w="2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825</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2,256</w:t>
            </w:r>
          </w:p>
        </w:tc>
      </w:tr>
      <w:tr>
        <w:trPr>
          <w:trHeight w:val="196"/>
        </w:trPr>
        <w:tc>
          <w:tcPr>
            <w:tcW w:w="84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spacing w:after="0"/>
              <w:rPr>
                <w:sz w:val="17"/>
                <w:szCs w:val="17"/>
                <w:color w:val="auto"/>
              </w:rPr>
            </w:pPr>
          </w:p>
        </w:tc>
      </w:tr>
      <w:tr>
        <w:trPr>
          <w:trHeight w:val="193"/>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Expenditures for property, plant and equipment</w:t>
            </w:r>
          </w:p>
        </w:tc>
        <w:tc>
          <w:tcPr>
            <w:tcW w:w="280" w:type="dxa"/>
            <w:vAlign w:val="bottom"/>
            <w:tcBorders>
              <w:bottom w:val="single" w:sz="8" w:color="BCBDC0"/>
            </w:tcBorders>
          </w:tcPr>
          <w:p>
            <w:pPr>
              <w:spacing w:after="0"/>
              <w:rPr>
                <w:sz w:val="16"/>
                <w:szCs w:val="16"/>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(341)</w:t>
            </w:r>
          </w:p>
        </w:tc>
        <w:tc>
          <w:tcPr>
            <w:tcW w:w="420" w:type="dxa"/>
            <w:vAlign w:val="bottom"/>
            <w:tcBorders>
              <w:bottom w:val="single" w:sz="8" w:color="BCBDC0"/>
            </w:tcBorders>
          </w:tcPr>
          <w:p>
            <w:pPr>
              <w:spacing w:after="0"/>
              <w:rPr>
                <w:sz w:val="16"/>
                <w:szCs w:val="16"/>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(406)</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disposals of property, plant and equipment</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11</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Increase in investments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(470)</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(1,397)</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Decrease in investments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646</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1,331</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Receipts from Garrett Motion Inc.</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409</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375</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Receipts (payments) from settlements of derivative contracts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337</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Cash paid for acquisitions, net of cash acquired</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(178)</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(1,327)</w:t>
            </w:r>
          </w:p>
        </w:tc>
      </w:tr>
      <w:tr>
        <w:trPr>
          <w:trHeight w:val="196"/>
        </w:trPr>
        <w:tc>
          <w:tcPr>
            <w:tcW w:w="84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Proceeds from sales of businesses, net of fees paid</w:t>
            </w:r>
          </w:p>
        </w:tc>
        <w:tc>
          <w:tcPr>
            <w:tcW w:w="2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190</w:t>
            </w:r>
          </w:p>
        </w:tc>
      </w:tr>
      <w:tr>
        <w:trPr>
          <w:trHeight w:val="199"/>
        </w:trPr>
        <w:tc>
          <w:tcPr>
            <w:tcW w:w="8420" w:type="dxa"/>
            <w:vAlign w:val="bottom"/>
            <w:tcBorders>
              <w:bottom w:val="single" w:sz="8" w:color="D7282F"/>
            </w:tcBorders>
          </w:tcPr>
          <w:p>
            <w:pPr>
              <w:ind w:left="880"/>
              <w:spacing w:after="0"/>
              <w:rPr>
                <w:sz w:val="20"/>
                <w:szCs w:val="20"/>
                <w:color w:val="auto"/>
              </w:rPr>
            </w:pPr>
            <w:r>
              <w:rPr>
                <w:rFonts w:ascii="Arial" w:cs="Arial" w:eastAsia="Arial" w:hAnsi="Arial"/>
                <w:sz w:val="14"/>
                <w:szCs w:val="14"/>
                <w:b w:val="1"/>
                <w:bCs w:val="1"/>
                <w:color w:val="auto"/>
              </w:rPr>
              <w:t>Net cash provided by (used for) investing activities</w:t>
            </w:r>
          </w:p>
        </w:tc>
        <w:tc>
          <w:tcPr>
            <w:tcW w:w="2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414</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(1,243)</w:t>
            </w:r>
          </w:p>
        </w:tc>
      </w:tr>
      <w:tr>
        <w:trPr>
          <w:trHeight w:val="196"/>
        </w:trPr>
        <w:tc>
          <w:tcPr>
            <w:tcW w:w="84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spacing w:after="0"/>
              <w:rPr>
                <w:sz w:val="17"/>
                <w:szCs w:val="17"/>
                <w:color w:val="auto"/>
              </w:rPr>
            </w:pPr>
          </w:p>
        </w:tc>
      </w:tr>
      <w:tr>
        <w:trPr>
          <w:trHeight w:val="193"/>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280" w:type="dxa"/>
            <w:vAlign w:val="bottom"/>
            <w:tcBorders>
              <w:bottom w:val="single" w:sz="8" w:color="BCBDC0"/>
            </w:tcBorders>
          </w:tcPr>
          <w:p>
            <w:pPr>
              <w:spacing w:after="0"/>
              <w:rPr>
                <w:sz w:val="16"/>
                <w:szCs w:val="16"/>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2,924</w:t>
            </w:r>
          </w:p>
        </w:tc>
        <w:tc>
          <w:tcPr>
            <w:tcW w:w="420" w:type="dxa"/>
            <w:vAlign w:val="bottom"/>
            <w:tcBorders>
              <w:bottom w:val="single" w:sz="8" w:color="BCBDC0"/>
            </w:tcBorders>
          </w:tcPr>
          <w:p>
            <w:pPr>
              <w:spacing w:after="0"/>
              <w:rPr>
                <w:sz w:val="16"/>
                <w:szCs w:val="16"/>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2,358</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Payments of commercial paper and other short-term borrowings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(2,926)</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(2,355)</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issuance of common stock</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75</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114</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Payments of long-term debt</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(89)</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(835)</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Repurchases of common stock</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(2,437)</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(1,849)</w:t>
            </w:r>
          </w:p>
        </w:tc>
      </w:tr>
      <w:tr>
        <w:trPr>
          <w:trHeight w:val="196"/>
        </w:trPr>
        <w:tc>
          <w:tcPr>
            <w:tcW w:w="842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Cash dividends paid</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(1,359)</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(1,304)</w:t>
            </w:r>
          </w:p>
        </w:tc>
      </w:tr>
      <w:tr>
        <w:trPr>
          <w:trHeight w:val="196"/>
        </w:trPr>
        <w:tc>
          <w:tcPr>
            <w:tcW w:w="842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(21)</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w:t>
            </w:r>
          </w:p>
        </w:tc>
      </w:tr>
      <w:tr>
        <w:trPr>
          <w:trHeight w:val="199"/>
        </w:trPr>
        <w:tc>
          <w:tcPr>
            <w:tcW w:w="8420" w:type="dxa"/>
            <w:vAlign w:val="bottom"/>
            <w:tcBorders>
              <w:bottom w:val="single" w:sz="8" w:color="D7282F"/>
            </w:tcBorders>
          </w:tcPr>
          <w:p>
            <w:pPr>
              <w:ind w:left="880"/>
              <w:spacing w:after="0"/>
              <w:rPr>
                <w:sz w:val="20"/>
                <w:szCs w:val="20"/>
                <w:color w:val="auto"/>
              </w:rPr>
            </w:pPr>
            <w:r>
              <w:rPr>
                <w:rFonts w:ascii="Arial" w:cs="Arial" w:eastAsia="Arial" w:hAnsi="Arial"/>
                <w:sz w:val="14"/>
                <w:szCs w:val="14"/>
                <w:b w:val="1"/>
                <w:bCs w:val="1"/>
                <w:color w:val="auto"/>
              </w:rPr>
              <w:t>Net cash used for financing activities</w:t>
            </w:r>
          </w:p>
        </w:tc>
        <w:tc>
          <w:tcPr>
            <w:tcW w:w="2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(3,832)</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(3,877)</w:t>
            </w:r>
          </w:p>
        </w:tc>
      </w:tr>
      <w:tr>
        <w:trPr>
          <w:trHeight w:val="193"/>
        </w:trPr>
        <w:tc>
          <w:tcPr>
            <w:tcW w:w="84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80" w:type="dxa"/>
            <w:vAlign w:val="bottom"/>
            <w:tcBorders>
              <w:bottom w:val="single" w:sz="8" w:color="BCBDC0"/>
            </w:tcBorders>
          </w:tcPr>
          <w:p>
            <w:pPr>
              <w:spacing w:after="0"/>
              <w:rPr>
                <w:sz w:val="16"/>
                <w:szCs w:val="16"/>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(118)</w:t>
            </w:r>
          </w:p>
        </w:tc>
        <w:tc>
          <w:tcPr>
            <w:tcW w:w="420" w:type="dxa"/>
            <w:vAlign w:val="bottom"/>
            <w:tcBorders>
              <w:bottom w:val="single" w:sz="8" w:color="BCBDC0"/>
            </w:tcBorders>
          </w:tcPr>
          <w:p>
            <w:pPr>
              <w:spacing w:after="0"/>
              <w:rPr>
                <w:sz w:val="16"/>
                <w:szCs w:val="16"/>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84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8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(2,711)</w:t>
            </w:r>
          </w:p>
        </w:tc>
        <w:tc>
          <w:tcPr>
            <w:tcW w:w="420" w:type="dxa"/>
            <w:vAlign w:val="bottom"/>
            <w:tcBorders>
              <w:bottom w:val="single" w:sz="8" w:color="BCBDC0"/>
            </w:tcBorders>
          </w:tcPr>
          <w:p>
            <w:pPr>
              <w:spacing w:after="0"/>
              <w:rPr>
                <w:sz w:val="17"/>
                <w:szCs w:val="17"/>
                <w:color w:val="auto"/>
              </w:rPr>
            </w:pP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(2,848)</w:t>
            </w:r>
          </w:p>
        </w:tc>
      </w:tr>
      <w:tr>
        <w:trPr>
          <w:trHeight w:val="196"/>
        </w:trPr>
        <w:tc>
          <w:tcPr>
            <w:tcW w:w="8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10,959</w:t>
            </w:r>
          </w:p>
        </w:tc>
        <w:tc>
          <w:tcPr>
            <w:tcW w:w="42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14,275</w:t>
            </w:r>
          </w:p>
        </w:tc>
      </w:tr>
      <w:tr>
        <w:trPr>
          <w:trHeight w:val="196"/>
        </w:trPr>
        <w:tc>
          <w:tcPr>
            <w:tcW w:w="8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8,248</w:t>
            </w: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11,427</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3120" w:type="dxa"/>
            <w:vAlign w:val="bottom"/>
            <w:tcBorders>
              <w:bottom w:val="single" w:sz="8" w:color="D7282F"/>
            </w:tcBorders>
            <w:gridSpan w:val="3"/>
          </w:tcPr>
          <w:p>
            <w:pPr>
              <w:jc w:val="right"/>
              <w:ind w:right="168"/>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1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1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1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D7282F"/>
            </w:tcBorders>
          </w:tcPr>
          <w:p>
            <w:pPr>
              <w:spacing w:after="0"/>
              <w:rPr>
                <w:sz w:val="18"/>
                <w:szCs w:val="18"/>
                <w:color w:val="auto"/>
              </w:rPr>
            </w:pPr>
          </w:p>
        </w:tc>
        <w:tc>
          <w:tcPr>
            <w:tcW w:w="1120" w:type="dxa"/>
            <w:vAlign w:val="bottom"/>
            <w:tcBorders>
              <w:bottom w:val="single" w:sz="8" w:color="D7282F"/>
            </w:tcBorders>
          </w:tcPr>
          <w:p>
            <w:pPr>
              <w:spacing w:after="0"/>
              <w:rPr>
                <w:sz w:val="18"/>
                <w:szCs w:val="18"/>
                <w:color w:val="auto"/>
              </w:rPr>
            </w:pPr>
          </w:p>
        </w:tc>
        <w:tc>
          <w:tcPr>
            <w:tcW w:w="800" w:type="dxa"/>
            <w:vAlign w:val="bottom"/>
            <w:tcBorders>
              <w:bottom w:val="single" w:sz="8" w:color="D7282F"/>
            </w:tcBorders>
          </w:tcPr>
          <w:p>
            <w:pPr>
              <w:spacing w:after="0"/>
              <w:rPr>
                <w:sz w:val="18"/>
                <w:szCs w:val="18"/>
                <w:color w:val="auto"/>
              </w:rPr>
            </w:pPr>
          </w:p>
        </w:tc>
        <w:tc>
          <w:tcPr>
            <w:tcW w:w="4000" w:type="dxa"/>
            <w:vAlign w:val="bottom"/>
            <w:tcBorders>
              <w:bottom w:val="single" w:sz="8" w:color="D7282F"/>
            </w:tcBorders>
            <w:gridSpan w:val="5"/>
          </w:tcPr>
          <w:p>
            <w:pPr>
              <w:jc w:val="right"/>
              <w:ind w:right="648"/>
              <w:spacing w:after="0"/>
              <w:rPr>
                <w:sz w:val="20"/>
                <w:szCs w:val="20"/>
                <w:color w:val="auto"/>
              </w:rPr>
            </w:pPr>
            <w:r>
              <w:rPr>
                <w:rFonts w:ascii="Arial" w:cs="Arial" w:eastAsia="Arial" w:hAnsi="Arial"/>
                <w:sz w:val="14"/>
                <w:szCs w:val="14"/>
                <w:b w:val="1"/>
                <w:bCs w:val="1"/>
                <w:color w:val="auto"/>
              </w:rPr>
              <w:t>(In millions, except per share amounts)</w:t>
            </w:r>
          </w:p>
        </w:tc>
        <w:tc>
          <w:tcPr>
            <w:tcW w:w="1200" w:type="dxa"/>
            <w:vAlign w:val="bottom"/>
            <w:tcBorders>
              <w:bottom w:val="single" w:sz="8" w:color="D7282F"/>
            </w:tcBorders>
          </w:tcPr>
          <w:p>
            <w:pPr>
              <w:spacing w:after="0"/>
              <w:rPr>
                <w:sz w:val="18"/>
                <w:szCs w:val="18"/>
                <w:color w:val="auto"/>
              </w:rPr>
            </w:pPr>
          </w:p>
        </w:tc>
        <w:tc>
          <w:tcPr>
            <w:tcW w:w="620" w:type="dxa"/>
            <w:vAlign w:val="bottom"/>
            <w:tcBorders>
              <w:bottom w:val="single" w:sz="8" w:color="D7282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20" w:type="dxa"/>
            <w:vAlign w:val="bottom"/>
            <w:tcBorders>
              <w:bottom w:val="single" w:sz="8" w:color="BCBDC0"/>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BCBDC0"/>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958</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BCBDC0"/>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8,326</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7,505</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8,141</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7,292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18</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134</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122</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8,397</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7,566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8,397</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7,566</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(276.9)</w:t>
            </w: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(31,420)</w:t>
            </w:r>
          </w:p>
        </w:tc>
        <w:tc>
          <w:tcPr>
            <w:tcW w:w="120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(263.0)</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(27,975)</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(272.8)</w:t>
            </w: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(30,462)</w:t>
            </w:r>
          </w:p>
        </w:tc>
        <w:tc>
          <w:tcPr>
            <w:tcW w:w="120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(260.8)</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(27,229)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2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(7.5)</w:t>
            </w: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(1,419)</w:t>
            </w:r>
          </w:p>
        </w:tc>
        <w:tc>
          <w:tcPr>
            <w:tcW w:w="120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(4.6)</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(1,027)</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(13.0)</w:t>
            </w: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(2,437)</w:t>
            </w:r>
          </w:p>
        </w:tc>
        <w:tc>
          <w:tcPr>
            <w:tcW w:w="120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(8.6)</w:t>
            </w: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0.5</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25</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0.4</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1.9</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85</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2.2</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color w:val="auto"/>
              </w:rPr>
              <w:t>(283.9)</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(32,814)</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color w:val="auto"/>
              </w:rPr>
              <w:t>(267.2)</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(28,978)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color w:val="auto"/>
              </w:rPr>
              <w:t>(283.9)</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(32,814)</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color w:val="auto"/>
              </w:rPr>
              <w:t>(267.2)</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(28,978)</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43,288</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40,682</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42,827</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39,905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1,261</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1,430</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2,395</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(666)</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(645)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(1,339)</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43,883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41,467</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43,883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41,467</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(2,787)</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(3,184)</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(2,895)</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(3,377)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(95)</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129</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31</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50"/>
        </w:trPr>
        <w:tc>
          <w:tcPr>
            <w:tcW w:w="3500" w:type="dxa"/>
            <w:vAlign w:val="bottom"/>
          </w:tcPr>
          <w:p>
            <w:pPr>
              <w:ind w:left="140"/>
              <w:spacing w:after="0" w:line="150" w:lineRule="exact"/>
              <w:rPr>
                <w:sz w:val="20"/>
                <w:szCs w:val="20"/>
                <w:color w:val="auto"/>
              </w:rPr>
            </w:pPr>
            <w:r>
              <w:rPr>
                <w:rFonts w:ascii="Arial" w:cs="Arial" w:eastAsia="Arial" w:hAnsi="Arial"/>
                <w:sz w:val="14"/>
                <w:szCs w:val="14"/>
                <w:color w:val="auto"/>
              </w:rPr>
              <w:t>Pension and other postretirement benefit</w:t>
            </w:r>
          </w:p>
        </w:tc>
        <w:tc>
          <w:tcPr>
            <w:tcW w:w="112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(17)</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(34)</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adjustments</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vMerge w:val="continue"/>
          </w:tcPr>
          <w:p>
            <w:pPr>
              <w:spacing w:after="0"/>
              <w:rPr>
                <w:sz w:val="16"/>
                <w:szCs w:val="16"/>
                <w:color w:val="auto"/>
              </w:rPr>
            </w:pP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vMerge w:val="continue"/>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vMerge w:val="continue"/>
          </w:tcPr>
          <w:p>
            <w:pPr>
              <w:spacing w:after="0"/>
              <w:rPr>
                <w:sz w:val="16"/>
                <w:szCs w:val="16"/>
                <w:color w:val="auto"/>
              </w:rPr>
            </w:pP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00" w:type="dxa"/>
            <w:vAlign w:val="bottom"/>
          </w:tcPr>
          <w:p>
            <w:pPr>
              <w:ind w:left="140"/>
              <w:spacing w:after="0" w:line="147" w:lineRule="exact"/>
              <w:rPr>
                <w:sz w:val="20"/>
                <w:szCs w:val="20"/>
                <w:color w:val="auto"/>
              </w:rPr>
            </w:pPr>
            <w:r>
              <w:rPr>
                <w:rFonts w:ascii="Arial" w:cs="Arial" w:eastAsia="Arial" w:hAnsi="Arial"/>
                <w:sz w:val="14"/>
                <w:szCs w:val="14"/>
                <w:color w:val="auto"/>
              </w:rPr>
              <w:t>Changes in fair value of available for sale</w:t>
            </w:r>
          </w:p>
        </w:tc>
        <w:tc>
          <w:tcPr>
            <w:tcW w:w="1120" w:type="dxa"/>
            <w:vAlign w:val="bottom"/>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(3)</w:t>
            </w:r>
          </w:p>
        </w:tc>
        <w:tc>
          <w:tcPr>
            <w:tcW w:w="120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(9)</w:t>
            </w:r>
          </w:p>
        </w:tc>
        <w:tc>
          <w:tcPr>
            <w:tcW w:w="1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investments</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vMerge w:val="continue"/>
          </w:tcPr>
          <w:p>
            <w:pPr>
              <w:spacing w:after="0"/>
              <w:rPr>
                <w:sz w:val="16"/>
                <w:szCs w:val="16"/>
                <w:color w:val="auto"/>
              </w:rPr>
            </w:pPr>
          </w:p>
        </w:tc>
        <w:tc>
          <w:tcPr>
            <w:tcW w:w="1200" w:type="dxa"/>
            <w:vAlign w:val="bottom"/>
            <w:tcBorders>
              <w:bottom w:val="single" w:sz="8" w:color="BCBDC0"/>
            </w:tcBorders>
          </w:tcPr>
          <w:p>
            <w:pPr>
              <w:spacing w:after="0"/>
              <w:rPr>
                <w:sz w:val="16"/>
                <w:szCs w:val="16"/>
                <w:color w:val="auto"/>
              </w:rPr>
            </w:pPr>
          </w:p>
        </w:tc>
        <w:tc>
          <w:tcPr>
            <w:tcW w:w="860" w:type="dxa"/>
            <w:vAlign w:val="bottom"/>
            <w:tcBorders>
              <w:bottom w:val="single" w:sz="8" w:color="BCBDC0"/>
            </w:tcBorders>
            <w:gridSpan w:val="2"/>
            <w:vMerge w:val="continue"/>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vMerge w:val="continue"/>
          </w:tcPr>
          <w:p>
            <w:pPr>
              <w:spacing w:after="0"/>
              <w:rPr>
                <w:sz w:val="16"/>
                <w:szCs w:val="16"/>
                <w:color w:val="auto"/>
              </w:rPr>
            </w:pP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19</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24</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(2,883)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(3,075)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(2,883)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(3,075)</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spacing w:after="0"/>
              <w:rPr>
                <w:sz w:val="17"/>
                <w:szCs w:val="17"/>
                <w:color w:val="auto"/>
              </w:rPr>
            </w:pP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686</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266</w:t>
            </w:r>
          </w:p>
        </w:tc>
        <w:tc>
          <w:tcPr>
            <w:tcW w:w="240" w:type="dxa"/>
            <w:vAlign w:val="bottom"/>
            <w:tcBorders>
              <w:bottom w:val="single" w:sz="8" w:color="BCBDC0"/>
            </w:tcBorders>
          </w:tcPr>
          <w:p>
            <w:pPr>
              <w:spacing w:after="0"/>
              <w:rPr>
                <w:sz w:val="16"/>
                <w:szCs w:val="16"/>
                <w:color w:val="auto"/>
              </w:rPr>
            </w:pPr>
          </w:p>
        </w:tc>
        <w:tc>
          <w:tcPr>
            <w:tcW w:w="1140" w:type="dxa"/>
            <w:vAlign w:val="bottom"/>
            <w:tcBorders>
              <w:bottom w:val="single" w:sz="8" w:color="BCBDC0"/>
            </w:tcBorders>
          </w:tcPr>
          <w:p>
            <w:pPr>
              <w:spacing w:after="0"/>
              <w:rPr>
                <w:sz w:val="16"/>
                <w:szCs w:val="16"/>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673</w:t>
            </w:r>
          </w:p>
        </w:tc>
        <w:tc>
          <w:tcPr>
            <w:tcW w:w="120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Acquisitions, divestitures, and other</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(7)</w:t>
            </w:r>
          </w:p>
        </w:tc>
        <w:tc>
          <w:tcPr>
            <w:tcW w:w="1200" w:type="dxa"/>
            <w:vAlign w:val="bottom"/>
            <w:tcBorders>
              <w:bottom w:val="single" w:sz="8" w:color="BCBDC0"/>
            </w:tcBorders>
          </w:tcPr>
          <w:p>
            <w:pPr>
              <w:spacing w:after="0"/>
              <w:rPr>
                <w:sz w:val="17"/>
                <w:szCs w:val="17"/>
                <w:color w:val="auto"/>
              </w:rPr>
            </w:pPr>
          </w:p>
        </w:tc>
        <w:tc>
          <w:tcPr>
            <w:tcW w:w="86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(7)</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Dividends paid</w:t>
            </w:r>
          </w:p>
        </w:tc>
        <w:tc>
          <w:tcPr>
            <w:tcW w:w="112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(32)</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BCBDC0"/>
            </w:tcBorders>
          </w:tcPr>
          <w:p>
            <w:pPr>
              <w:spacing w:after="0"/>
              <w:rPr>
                <w:sz w:val="17"/>
                <w:szCs w:val="17"/>
                <w:color w:val="auto"/>
              </w:rPr>
            </w:pPr>
          </w:p>
        </w:tc>
        <w:tc>
          <w:tcPr>
            <w:tcW w:w="1140" w:type="dxa"/>
            <w:vAlign w:val="bottom"/>
            <w:tcBorders>
              <w:bottom w:val="single" w:sz="8" w:color="BCBDC0"/>
            </w:tcBorders>
          </w:tcPr>
          <w:p>
            <w:pPr>
              <w:spacing w:after="0"/>
              <w:rPr>
                <w:sz w:val="17"/>
                <w:szCs w:val="17"/>
                <w:color w:val="auto"/>
              </w:rPr>
            </w:pPr>
          </w:p>
        </w:tc>
        <w:tc>
          <w:tcPr>
            <w:tcW w:w="80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(33)</w:t>
            </w:r>
          </w:p>
        </w:tc>
        <w:tc>
          <w:tcPr>
            <w:tcW w:w="120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14</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649</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649</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673.7</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18,190</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690.4</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18,202</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673.7</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18,190</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690.4</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18,202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0.980</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0.930</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1.960</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consisting only of normal recurring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and six months ended June 30, 2022 and 2021, were July 2, 2022, and July 3, 2021,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accounting policies of the Company are set forth in Note 1 to the Company's Consolidated Financial Statements contained in the Company’s 2021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212529"/>
        </w:rPr>
        <w:t>Certain prior year amounts have been reclassified to conform to the current year presentation.</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generally accepted accounting principles to contracts, hedging relationships,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transactions affected by the transition away from reference rates expected to be discontinued to alternative reference rates.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to expand the scope of this guidance to include derivatives. The guidance was effective upon issuance and may be applied prospectively to contract modifications made and hedging relationships entered into on or before December 31, 2022. The Company will apply the guidance to impacted transactions during the transition period. The adoption of this standard does not have a material impact on the Company’s Consolidated Financial Statements.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which requires contract assets and contract liabilities acquired in a business combination to be recognized and measured by the acquirer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date in accordance with ASC 606, Revenue from Contracts with Customers. This ASU should be applied prospectively to acquisitions occurring on or after the effective date of December 15, 2022, and early adoption is permitted. The Company adopted this guidance on January 1, 2022. The adoption of this standard does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AND DIVESTITURES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January 18, 2022, the Company acquired 100% of the issued and outstanding shares of US Digital Design, Inc., a leading provider of technologies for first responders, for total consideration of $185 million. The business is included within the Honeywell Building Technologies segment. The assets and liabilities acquired with US Digital Designs, Inc. are included in the Consolidated Balance Sheet as of June 30, 2022, including $47 million of intangible assets and $134 million allocated to goodwill, which is deductible for tax purposes. The purchase accounting is subject to final adjustment, primarily for the valuation of intangible assets, amounts allocated to goodwill, and tax balances.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During 2022, there were no significant divestitures that closed individually or in the aggregate.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2022, the Company had no material adjustments for acquisitions or divestitures completed during 2021. See Note 2 Acquisitions and Divestitures of Notes to Consolidated Financial Statements in the Company's 2021 Annual Report on Form 10-K for discussion of acquisitions and divestitures during 2021.</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generates revenue from a comprehensive offering of products and services, including software and technologies, that are sold to a variety of customers in multiple end markets. See the following table and related discussions by reportable business segment for details.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Aerospace</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Commercial Aviation Original Equipment</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527</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436</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1,005</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Commercial Aviation Aftermarket</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1,208</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1,015</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2,376</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1,925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Defense and Space</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1,163</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1,315</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2,266</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2,606</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2,898</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2,766</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5,647</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5,398</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Honeywell Building Technologies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936</w:t>
            </w: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812</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1,815</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1,596</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Building Solutions</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595</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595</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1,145</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1,531</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1,407</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2,960</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2,765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Performance Materials and Technologies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UOP</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565</w:t>
            </w: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571</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1,045</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Process Solutions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1,179</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1,166</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2,331</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Advanced Materials</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950</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815</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1,771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1,538</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2,694</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2,552</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5,147</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4,898</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Safety and Productivity Solutions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Safety and Retail</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488</w:t>
            </w: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616</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999</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Productivity Solutions and Services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442</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386</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833</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Warehouse and Workflow Solutions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640</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867</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1,239</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Advanced Sensing Technologies</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259</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214</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502</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1,829</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2,083</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3,573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4,201</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8,953</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8,808</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17,329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July 2022, the Company realigned certain business units within the Safety and Productivity Solutions reportable business segment. See Note 18 Subsequent Events for additional information.</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Aerospace </w:t>
      </w:r>
      <w:r>
        <w:rPr>
          <w:rFonts w:ascii="Arial" w:cs="Arial" w:eastAsia="Arial" w:hAnsi="Arial"/>
          <w:sz w:val="16"/>
          <w:szCs w:val="16"/>
          <w:color w:val="auto"/>
        </w:rPr>
        <w:t>– A global supplier of products, software and services for aircrafts that it sells to OEM and other customers in a variety of end markets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the Company's customers as tools to turn data into predictive maintenance and predictive analytics to enable better fleet management and make flight operations more efficient.</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Honeywell Building Technologies </w:t>
      </w:r>
      <w:r>
        <w:rPr>
          <w:rFonts w:ascii="Arial" w:cs="Arial" w:eastAsia="Arial" w:hAnsi="Arial"/>
          <w:sz w:val="16"/>
          <w:szCs w:val="16"/>
          <w:color w:val="auto"/>
        </w:rPr>
        <w:t>– A global provider of products, software, solutions, and technologies that enable building owners and occupants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the Company's customers to digitally manage buildings, connecting data from different assets to enable smart maintenance, improve building performance, and even protect from incoming security threats.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Performance Materials and Technologies </w:t>
      </w:r>
      <w:r>
        <w:rPr>
          <w:rFonts w:ascii="Arial" w:cs="Arial" w:eastAsia="Arial" w:hAnsi="Arial"/>
          <w:sz w:val="16"/>
          <w:szCs w:val="16"/>
          <w:color w:val="auto"/>
        </w:rPr>
        <w:t>– A global provider in developing and manufacturing high-quality performance chemicals and materials,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and automation solutions. The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Safety and Productivity Solutions </w:t>
      </w:r>
      <w:r>
        <w:rPr>
          <w:rFonts w:ascii="Arial" w:cs="Arial" w:eastAsia="Arial" w:hAnsi="Arial"/>
          <w:sz w:val="16"/>
          <w:szCs w:val="16"/>
          <w:color w:val="auto"/>
        </w:rPr>
        <w:t>– A global provider of products and software that improve productivity, workplace safety and asset performance to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around the globe. Safety products include PPE, apparel, gear, and footwear;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For a summary by disaggregated product and services sales for each segment, refer to Note 17 Segment Financial Data.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revenue from performance obligations to customers that are satisfied at a point in time and over time. The disaggregation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revenue based off timing of recognition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20" w:type="dxa"/>
            <w:vAlign w:val="bottom"/>
          </w:tcPr>
          <w:p>
            <w:pPr>
              <w:spacing w:after="0"/>
              <w:rPr>
                <w:sz w:val="17"/>
                <w:szCs w:val="17"/>
                <w:color w:val="auto"/>
              </w:rPr>
            </w:pPr>
          </w:p>
        </w:tc>
        <w:tc>
          <w:tcPr>
            <w:tcW w:w="242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620" w:type="dxa"/>
            <w:vAlign w:val="bottom"/>
            <w:tcBorders>
              <w:bottom w:val="single" w:sz="8" w:color="D7282F"/>
            </w:tcBorders>
          </w:tcPr>
          <w:p>
            <w:pPr>
              <w:spacing w:after="0"/>
              <w:rPr>
                <w:sz w:val="17"/>
                <w:szCs w:val="17"/>
                <w:color w:val="auto"/>
              </w:rPr>
            </w:pPr>
          </w:p>
        </w:tc>
        <w:tc>
          <w:tcPr>
            <w:tcW w:w="128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D7282F"/>
            </w:tcBorders>
          </w:tcPr>
          <w:p>
            <w:pPr>
              <w:spacing w:after="0"/>
              <w:rPr>
                <w:sz w:val="17"/>
                <w:szCs w:val="17"/>
                <w:color w:val="auto"/>
              </w:rPr>
            </w:pPr>
          </w:p>
        </w:tc>
        <w:tc>
          <w:tcPr>
            <w:tcW w:w="128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top w:val="single" w:sz="8" w:color="D7282F"/>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r>
        <w:trPr>
          <w:trHeight w:val="193"/>
        </w:trPr>
        <w:tc>
          <w:tcPr>
            <w:tcW w:w="66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8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61 %</w:t>
            </w:r>
          </w:p>
        </w:tc>
        <w:tc>
          <w:tcPr>
            <w:tcW w:w="9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58 %</w:t>
            </w:r>
          </w:p>
        </w:tc>
        <w:tc>
          <w:tcPr>
            <w:tcW w:w="240" w:type="dxa"/>
            <w:vAlign w:val="bottom"/>
            <w:tcBorders>
              <w:bottom w:val="single" w:sz="8" w:color="BCBDC0"/>
            </w:tcBorders>
          </w:tcPr>
          <w:p>
            <w:pPr>
              <w:spacing w:after="0"/>
              <w:rPr>
                <w:sz w:val="16"/>
                <w:szCs w:val="16"/>
                <w:color w:val="auto"/>
              </w:rPr>
            </w:pPr>
          </w:p>
        </w:tc>
        <w:tc>
          <w:tcPr>
            <w:tcW w:w="128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60 %</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58 %</w:t>
            </w:r>
          </w:p>
        </w:tc>
      </w:tr>
      <w:tr>
        <w:trPr>
          <w:trHeight w:val="196"/>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14</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14</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w:t>
            </w:r>
          </w:p>
        </w:tc>
      </w:tr>
      <w:tr>
        <w:trPr>
          <w:trHeight w:val="199"/>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product sales</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75</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75</w:t>
            </w: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74</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76</w:t>
            </w:r>
          </w:p>
        </w:tc>
      </w:tr>
      <w:tr>
        <w:trPr>
          <w:trHeight w:val="193"/>
        </w:trPr>
        <w:tc>
          <w:tcPr>
            <w:tcW w:w="66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80" w:type="dxa"/>
            <w:vAlign w:val="bottom"/>
            <w:tcBorders>
              <w:bottom w:val="single" w:sz="8" w:color="BCBDC0"/>
            </w:tcBorders>
          </w:tcPr>
          <w:p>
            <w:pPr>
              <w:jc w:val="right"/>
              <w:ind w:right="308"/>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BCBDC0"/>
            </w:tcBorders>
          </w:tcPr>
          <w:p>
            <w:pPr>
              <w:spacing w:after="0"/>
              <w:rPr>
                <w:sz w:val="16"/>
                <w:szCs w:val="16"/>
                <w:color w:val="auto"/>
              </w:rPr>
            </w:pPr>
          </w:p>
        </w:tc>
        <w:tc>
          <w:tcPr>
            <w:tcW w:w="1280" w:type="dxa"/>
            <w:vAlign w:val="bottom"/>
            <w:tcBorders>
              <w:bottom w:val="single" w:sz="8" w:color="BCBDC0"/>
            </w:tcBorders>
          </w:tcPr>
          <w:p>
            <w:pPr>
              <w:jc w:val="right"/>
              <w:ind w:right="308"/>
              <w:spacing w:after="0"/>
              <w:rPr>
                <w:sz w:val="20"/>
                <w:szCs w:val="20"/>
                <w:color w:val="auto"/>
              </w:rPr>
            </w:pPr>
            <w:r>
              <w:rPr>
                <w:rFonts w:ascii="Arial" w:cs="Arial" w:eastAsia="Arial" w:hAnsi="Arial"/>
                <w:sz w:val="14"/>
                <w:szCs w:val="14"/>
                <w:color w:val="auto"/>
              </w:rPr>
              <w:t>8</w:t>
            </w:r>
          </w:p>
        </w:tc>
        <w:tc>
          <w:tcPr>
            <w:tcW w:w="92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7</w:t>
            </w:r>
          </w:p>
        </w:tc>
      </w:tr>
      <w:tr>
        <w:trPr>
          <w:trHeight w:val="196"/>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18</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18</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r>
      <w:tr>
        <w:trPr>
          <w:trHeight w:val="199"/>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service sales</w:t>
            </w: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25</w:t>
            </w:r>
          </w:p>
        </w:tc>
        <w:tc>
          <w:tcPr>
            <w:tcW w:w="9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w:t>
            </w: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26</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r>
      <w:tr>
        <w:trPr>
          <w:trHeight w:val="196"/>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2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100 %</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records progress on satisfying performance obligations to customers, and the related billings and cash collections, on the Consolidated Balance Sheet in Accounts receivable - 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Unbilled receivable balance increases when the revenue associated with the contract is recognized prior to billing and decreases when billed in accordance with the terms of the contract. Contract liabilities increase when customers remit contractual cash payments in advance of the Company satisfying performance obligations under contractual arrangements, including those with performance obligations to be satisfied over a period of time. Contract liabilities decrease when revenue is recorded, either when a milestone is met triggering the contractual right to bill or when the performance obligation is satisfied.</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Borders>
              <w:bottom w:val="single" w:sz="8" w:color="D7282F"/>
            </w:tcBorders>
          </w:tcPr>
          <w:p>
            <w:pPr>
              <w:spacing w:after="0"/>
              <w:rPr>
                <w:sz w:val="17"/>
                <w:szCs w:val="17"/>
                <w:color w:val="auto"/>
              </w:rPr>
            </w:pPr>
          </w:p>
        </w:tc>
        <w:tc>
          <w:tcPr>
            <w:tcW w:w="3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3"/>
        </w:trPr>
        <w:tc>
          <w:tcPr>
            <w:tcW w:w="6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Contract assets - January 1</w:t>
            </w:r>
          </w:p>
        </w:tc>
        <w:tc>
          <w:tcPr>
            <w:tcW w:w="31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2,060</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1,618</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 - June 30</w:t>
            </w:r>
          </w:p>
        </w:tc>
        <w:tc>
          <w:tcPr>
            <w:tcW w:w="3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2,243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1,868</w:t>
            </w:r>
          </w:p>
        </w:tc>
      </w:tr>
      <w:tr>
        <w:trPr>
          <w:trHeight w:val="199"/>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Change in contract assets - increase (decrease)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250</w:t>
            </w:r>
          </w:p>
        </w:tc>
      </w:tr>
      <w:tr>
        <w:trPr>
          <w:trHeight w:val="193"/>
        </w:trPr>
        <w:tc>
          <w:tcPr>
            <w:tcW w:w="64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Contract liabilities - January 1</w:t>
            </w:r>
          </w:p>
        </w:tc>
        <w:tc>
          <w:tcPr>
            <w:tcW w:w="31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(4,290)</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(4,033)</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 - June 30</w:t>
            </w:r>
          </w:p>
        </w:tc>
        <w:tc>
          <w:tcPr>
            <w:tcW w:w="31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(4,329)</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(3,740)</w:t>
            </w:r>
          </w:p>
        </w:tc>
      </w:tr>
      <w:tr>
        <w:trPr>
          <w:trHeight w:val="199"/>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Change in contract liabilities - decrease (increase)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293</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change</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543</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three and six months ended June 30, 2022, the Company recognized revenue of $344 million and $1,271 million, respectively, that was previously included in the beginning balance of contract liabilities. For the three and six months ended June 30, 2021, the Company recognized revenue of $441 million and $1,516 million, respectively, that was previously included in the beginning balance of contract liabilities.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Contract assets include $2,213 million and $2,035 million of unbilled balances under long-term contracts as of June 30, 2022 and December 31, 2021, respectively. These amounts are billed in accordance with the terms of customer contracts to which they relate.</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 includes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Company's remaining performance obligations disaggregated by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Borders>
              <w:bottom w:val="single" w:sz="8" w:color="D7282F"/>
            </w:tcBorders>
          </w:tcPr>
          <w:p>
            <w:pPr>
              <w:spacing w:after="0"/>
              <w:rPr>
                <w:sz w:val="17"/>
                <w:szCs w:val="17"/>
                <w:color w:val="auto"/>
              </w:rPr>
            </w:pPr>
          </w:p>
        </w:tc>
        <w:tc>
          <w:tcPr>
            <w:tcW w:w="37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June 30, 2022</w:t>
            </w:r>
          </w:p>
        </w:tc>
      </w:tr>
      <w:tr>
        <w:trPr>
          <w:trHeight w:val="193"/>
        </w:trPr>
        <w:tc>
          <w:tcPr>
            <w:tcW w:w="62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Aerospace</w:t>
            </w:r>
          </w:p>
        </w:tc>
        <w:tc>
          <w:tcPr>
            <w:tcW w:w="37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10,538</w:t>
            </w:r>
          </w:p>
        </w:tc>
      </w:tr>
      <w:tr>
        <w:trPr>
          <w:trHeight w:val="196"/>
        </w:trPr>
        <w:tc>
          <w:tcPr>
            <w:tcW w:w="62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3700" w:type="dxa"/>
            <w:vAlign w:val="bottom"/>
            <w:tcBorders>
              <w:bottom w:val="single" w:sz="8" w:color="939598"/>
            </w:tcBorders>
          </w:tcPr>
          <w:p>
            <w:pPr>
              <w:spacing w:after="0"/>
              <w:rPr>
                <w:sz w:val="17"/>
                <w:szCs w:val="17"/>
                <w:color w:val="auto"/>
              </w:rPr>
            </w:pPr>
          </w:p>
        </w:tc>
        <w:tc>
          <w:tcPr>
            <w:tcW w:w="13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7,502</w:t>
            </w:r>
          </w:p>
        </w:tc>
      </w:tr>
      <w:tr>
        <w:trPr>
          <w:trHeight w:val="196"/>
        </w:trPr>
        <w:tc>
          <w:tcPr>
            <w:tcW w:w="62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3700" w:type="dxa"/>
            <w:vAlign w:val="bottom"/>
            <w:tcBorders>
              <w:bottom w:val="single" w:sz="8" w:color="939598"/>
            </w:tcBorders>
          </w:tcPr>
          <w:p>
            <w:pPr>
              <w:spacing w:after="0"/>
              <w:rPr>
                <w:sz w:val="17"/>
                <w:szCs w:val="17"/>
                <w:color w:val="auto"/>
              </w:rPr>
            </w:pPr>
          </w:p>
        </w:tc>
        <w:tc>
          <w:tcPr>
            <w:tcW w:w="13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7,858</w:t>
            </w:r>
          </w:p>
        </w:tc>
      </w:tr>
      <w:tr>
        <w:trPr>
          <w:trHeight w:val="196"/>
        </w:trPr>
        <w:tc>
          <w:tcPr>
            <w:tcW w:w="62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3700" w:type="dxa"/>
            <w:vAlign w:val="bottom"/>
            <w:tcBorders>
              <w:bottom w:val="single" w:sz="8" w:color="939598"/>
            </w:tcBorders>
          </w:tcPr>
          <w:p>
            <w:pPr>
              <w:spacing w:after="0"/>
              <w:rPr>
                <w:sz w:val="17"/>
                <w:szCs w:val="17"/>
                <w:color w:val="auto"/>
              </w:rPr>
            </w:pPr>
          </w:p>
        </w:tc>
        <w:tc>
          <w:tcPr>
            <w:tcW w:w="13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3,572</w:t>
            </w:r>
          </w:p>
        </w:tc>
      </w:tr>
      <w:tr>
        <w:trPr>
          <w:trHeight w:val="200"/>
        </w:trPr>
        <w:tc>
          <w:tcPr>
            <w:tcW w:w="624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Corporate and All Other</w:t>
            </w:r>
            <w:r>
              <w:rPr>
                <w:rFonts w:ascii="Arial" w:cs="Arial" w:eastAsia="Arial" w:hAnsi="Arial"/>
                <w:sz w:val="18"/>
                <w:szCs w:val="18"/>
                <w:color w:val="auto"/>
                <w:vertAlign w:val="superscript"/>
              </w:rPr>
              <w:t>(1)</w:t>
            </w:r>
          </w:p>
        </w:tc>
        <w:tc>
          <w:tcPr>
            <w:tcW w:w="370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624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b w:val="1"/>
                <w:bCs w:val="1"/>
                <w:color w:val="auto"/>
              </w:rPr>
              <w:t>Total Performance Obligations</w:t>
            </w:r>
            <w:r>
              <w:rPr>
                <w:rFonts w:ascii="Arial" w:cs="Arial" w:eastAsia="Arial" w:hAnsi="Arial"/>
                <w:sz w:val="18"/>
                <w:szCs w:val="18"/>
                <w:b w:val="1"/>
                <w:bCs w:val="1"/>
                <w:color w:val="auto"/>
                <w:vertAlign w:val="superscript"/>
              </w:rPr>
              <w:t>(2)</w:t>
            </w:r>
          </w:p>
        </w:tc>
        <w:tc>
          <w:tcPr>
            <w:tcW w:w="3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29,473</w:t>
            </w:r>
          </w:p>
        </w:tc>
      </w:tr>
    </w:tbl>
    <w:p>
      <w:pPr>
        <w:spacing w:after="0" w:line="18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remaining performance obligations within Corporate and All Other relate to the Quantinuum business.</w:t>
      </w:r>
    </w:p>
    <w:p>
      <w:pPr>
        <w:spacing w:after="0" w:line="11" w:lineRule="exact"/>
        <w:rPr>
          <w:rFonts w:ascii="Arial" w:cs="Arial" w:eastAsia="Arial" w:hAnsi="Arial"/>
          <w:sz w:val="13"/>
          <w:szCs w:val="13"/>
          <w:color w:val="auto"/>
        </w:rPr>
      </w:pP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Effective March 31, 2022, performance obligations exclude contracts with customers related to Russia as collectability is not reasonably assured.</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 obligations recognized as of June 30, 2022,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61% and 39%, respectively.</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repositioning and other charges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Severance</w:t>
            </w:r>
          </w:p>
        </w:tc>
        <w:tc>
          <w:tcPr>
            <w:tcW w:w="68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32</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32</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Asset impairments</w:t>
            </w:r>
          </w:p>
        </w:tc>
        <w:tc>
          <w:tcPr>
            <w:tcW w:w="680" w:type="dxa"/>
            <w:vAlign w:val="bottom"/>
            <w:tcBorders>
              <w:bottom w:val="single" w:sz="8" w:color="BCBDC0"/>
            </w:tcBorders>
          </w:tcPr>
          <w:p>
            <w:pPr>
              <w:spacing w:after="0"/>
              <w:rPr>
                <w:sz w:val="17"/>
                <w:szCs w:val="17"/>
                <w:color w:val="auto"/>
              </w:rPr>
            </w:pP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45</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148</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Exit costs</w:t>
            </w:r>
          </w:p>
        </w:tc>
        <w:tc>
          <w:tcPr>
            <w:tcW w:w="680" w:type="dxa"/>
            <w:vAlign w:val="bottom"/>
            <w:tcBorders>
              <w:bottom w:val="single" w:sz="8" w:color="BCBDC0"/>
            </w:tcBorders>
          </w:tcPr>
          <w:p>
            <w:pPr>
              <w:spacing w:after="0"/>
              <w:rPr>
                <w:sz w:val="17"/>
                <w:szCs w:val="17"/>
                <w:color w:val="auto"/>
              </w:rPr>
            </w:pP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41</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58</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68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(37)</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w:t>
            </w:r>
          </w:p>
        </w:tc>
        <w:tc>
          <w:tcPr>
            <w:tcW w:w="68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54</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70</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186</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190</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Asbestos related litigation charges, net of insurance and reimbursements</w:t>
            </w:r>
          </w:p>
        </w:tc>
        <w:tc>
          <w:tcPr>
            <w:tcW w:w="680" w:type="dxa"/>
            <w:vAlign w:val="bottom"/>
            <w:tcBorders>
              <w:bottom w:val="single" w:sz="8" w:color="BCBDC0"/>
            </w:tcBorders>
          </w:tcPr>
          <w:p>
            <w:pPr>
              <w:spacing w:after="0"/>
              <w:rPr>
                <w:sz w:val="16"/>
                <w:szCs w:val="16"/>
                <w:color w:val="auto"/>
              </w:rPr>
            </w:pP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40</w:t>
            </w: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86</w:t>
            </w: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680" w:type="dxa"/>
            <w:vAlign w:val="bottom"/>
            <w:tcBorders>
              <w:bottom w:val="single" w:sz="8" w:color="BCBDC0"/>
            </w:tcBorders>
          </w:tcPr>
          <w:p>
            <w:pPr>
              <w:spacing w:after="0"/>
              <w:rPr>
                <w:sz w:val="17"/>
                <w:szCs w:val="17"/>
                <w:color w:val="auto"/>
              </w:rPr>
            </w:pP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w:t>
            </w:r>
          </w:p>
        </w:tc>
        <w:tc>
          <w:tcPr>
            <w:tcW w:w="68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w w:val="94"/>
              </w:rPr>
              <w:t>131</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326</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w w:val="94"/>
              </w:rPr>
              <w:t>227</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101</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614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8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w w:val="94"/>
              </w:rPr>
              <w:t>145</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87</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344</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80" w:type="dxa"/>
            <w:vAlign w:val="bottom"/>
            <w:tcBorders>
              <w:bottom w:val="single" w:sz="8" w:color="BCBDC0"/>
            </w:tcBorders>
          </w:tcPr>
          <w:p>
            <w:pPr>
              <w:spacing w:after="0"/>
              <w:rPr>
                <w:sz w:val="17"/>
                <w:szCs w:val="17"/>
                <w:color w:val="auto"/>
              </w:rPr>
            </w:pP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213</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68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57</w:t>
            </w:r>
          </w:p>
        </w:tc>
        <w:tc>
          <w:tcPr>
            <w:tcW w:w="1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57</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w w:val="94"/>
              </w:rPr>
              <w:t>227</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101</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614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summarizes the pretax impact of total net repositioning and other charges by segment. These amounts are excluded from segment profit as described in Note 17 Segment Financial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Aerospace</w:t>
            </w:r>
          </w:p>
        </w:tc>
        <w:tc>
          <w:tcPr>
            <w:tcW w:w="68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15</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36</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680" w:type="dxa"/>
            <w:vAlign w:val="bottom"/>
            <w:tcBorders>
              <w:bottom w:val="single" w:sz="8" w:color="BCBDC0"/>
            </w:tcBorders>
          </w:tcPr>
          <w:p>
            <w:pPr>
              <w:spacing w:after="0"/>
              <w:rPr>
                <w:sz w:val="17"/>
                <w:szCs w:val="17"/>
                <w:color w:val="auto"/>
              </w:rPr>
            </w:pP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23</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37</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680" w:type="dxa"/>
            <w:vAlign w:val="bottom"/>
            <w:tcBorders>
              <w:bottom w:val="single" w:sz="8" w:color="BCBDC0"/>
            </w:tcBorders>
          </w:tcPr>
          <w:p>
            <w:pPr>
              <w:spacing w:after="0"/>
              <w:rPr>
                <w:sz w:val="17"/>
                <w:szCs w:val="17"/>
                <w:color w:val="auto"/>
              </w:rPr>
            </w:pP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88</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247</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680" w:type="dxa"/>
            <w:vAlign w:val="bottom"/>
            <w:tcBorders>
              <w:bottom w:val="single" w:sz="8" w:color="BCBDC0"/>
            </w:tcBorders>
          </w:tcPr>
          <w:p>
            <w:pPr>
              <w:spacing w:after="0"/>
              <w:rPr>
                <w:sz w:val="17"/>
                <w:szCs w:val="17"/>
                <w:color w:val="auto"/>
              </w:rPr>
            </w:pPr>
          </w:p>
        </w:tc>
        <w:tc>
          <w:tcPr>
            <w:tcW w:w="4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15</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59</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142</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8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86</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32</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152</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w w:val="94"/>
              </w:rPr>
              <w:t>227</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101</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614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June 30, 2022, the Company recognized gross repositioning charges totaling $91 million, including severance costs of $25 million related to workforce reductions of 468 manufacturing and administrative positions primarily in our Safety and Productivity Solutions segment. The workforce reductions were primarily related to our productivity and ongoing functional transformation initiatives. The repositioning charge included asset impairments of $25 million related to the write-down of certain manufacturing equipment. The repositioning charge also included exit costs of $41 million primarily related to current period exit costs incurred for new and previously approved repositioning projects and closure obligations associated with site transitions in our Performance Materials and Technologies and Aerospace segments. Also, $37 million of previously established reserves, primarily for severance, were returned to income due to adjustments to the scope of previously announced repositioning actions.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June 30, 2021, the Company recognized gross repositioning charges totaling $92 million, including severance costs of $32 related to workforce reductions of 3,628 manufacturing and administrative positions mainly in our Safety and Productivity Solutions segment. The workforce reductions were primarily related to the re-alignment of a product line in our Safety and Productivity Solutions segment and to our productivity and ongoing functional transformation initiatives. The repositioning charge included asset impairments of $45 million primarily related to the write-down of certain manufacturing equipment. The repositioning charge also included exit costs of $15 million primarily for current period exit costs incurred for previously approved repositioning projects. Also, $22 million of previously established reserves, primarily for severance, were returned to income due to adjustments to the scope of previously announced repositioning actions.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six months ended June 30, 2022, the Company recognized gross repositioning charges totaling $238 million primarily related to closing and relocating the production of certain respiratory manufacturing from a U.S.-based facility to a non-U.S facility in our Safety Productivity and Solutions segment, productivity and ongoing functional transformation initiatives, and other site transitions. The repositioning charge included asset impairments of $148 million related to the write-down of certain manufacturing equipment. The repositioning charge included exit costs of $58 million primarily related to current period exit costs incurred for new and previously approved repositioning projects and closure obligations associated with site transitions in our Performance Materials and Technologies and Aerospace segments. The repositioning charge also included severance costs of $32 million related to workforce reductions of 1,664 manufacturing and administrative positions across our segments. The workforce reductions were primarily related to cost savings actions taken in connection with our productivity and ongoing functional transformation initiatives and to site transitions to more cost-effective locations. Also, $52 million of previously established reserves, primarily for severance, were returned to income due to adjustments to the scope of previously announced repositioning actions.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the six months ended June 30, 2021, the Company recognized gross repositioning charges totaling $211 million including severance costs of $60 million related to workforce reductions of 4,649 manufacturing and administrative positions mainly in the Company's Safety and Productivity Solutions and Aerospace segments. The workforce reductions were primarily related to the re-alignment of a product line in our Safety and Productivity Solutions segment, site transitions, mainly in Aerospace, to more cost-effective locations, and our productivity and ongoing functional transformation initiatives. The repositioning charge included asset impairments of $87 million primarily related to the write-down of certain manufacturing and other equipment. The repositioning charge included exit costs of $64 million primarily for current period exit costs incurred for previously approved repositioning projects, closure obligations associated with site transitions, and lease obligations for equipment. Also, $21 million of previously established reserves, primarily for severance, were returned to income due to adjustments to the scope of previously announced repositioning actions.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total repositioning reserves: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4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4"/>
                <w:szCs w:val="14"/>
                <w:color w:val="auto"/>
              </w:rPr>
            </w:pPr>
          </w:p>
        </w:tc>
        <w:tc>
          <w:tcPr>
            <w:tcW w:w="880" w:type="dxa"/>
            <w:vAlign w:val="bottom"/>
          </w:tcPr>
          <w:p>
            <w:pPr>
              <w:jc w:val="right"/>
              <w:ind w:right="388"/>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Arial" w:cs="Arial" w:eastAsia="Arial" w:hAnsi="Arial"/>
                <w:sz w:val="14"/>
                <w:szCs w:val="14"/>
                <w:b w:val="1"/>
                <w:bCs w:val="1"/>
                <w:color w:val="auto"/>
              </w:rPr>
              <w:t>Exit</w:t>
            </w:r>
          </w:p>
        </w:tc>
        <w:tc>
          <w:tcPr>
            <w:tcW w:w="260" w:type="dxa"/>
            <w:vAlign w:val="bottom"/>
          </w:tcPr>
          <w:p>
            <w:pPr>
              <w:spacing w:after="0"/>
              <w:rPr>
                <w:sz w:val="14"/>
                <w:szCs w:val="14"/>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20" w:type="dxa"/>
            <w:vAlign w:val="bottom"/>
            <w:tcBorders>
              <w:bottom w:val="single" w:sz="8" w:color="D7282F"/>
            </w:tcBorders>
          </w:tcPr>
          <w:p>
            <w:pPr>
              <w:spacing w:after="0"/>
              <w:rPr>
                <w:sz w:val="16"/>
                <w:szCs w:val="16"/>
                <w:color w:val="auto"/>
              </w:rPr>
            </w:pPr>
          </w:p>
        </w:tc>
        <w:tc>
          <w:tcPr>
            <w:tcW w:w="258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Costs</w:t>
            </w:r>
          </w:p>
        </w:tc>
        <w:tc>
          <w:tcPr>
            <w:tcW w:w="116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Costs</w:t>
            </w: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2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289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411</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Charges</w:t>
            </w:r>
          </w:p>
        </w:tc>
        <w:tc>
          <w:tcPr>
            <w:tcW w:w="258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148</w:t>
            </w:r>
          </w:p>
        </w:tc>
        <w:tc>
          <w:tcPr>
            <w:tcW w:w="24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58</w:t>
            </w:r>
          </w:p>
        </w:tc>
        <w:tc>
          <w:tcPr>
            <w:tcW w:w="2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Usage - cash</w:t>
            </w:r>
          </w:p>
        </w:tc>
        <w:tc>
          <w:tcPr>
            <w:tcW w:w="258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(79)</w:t>
            </w:r>
          </w:p>
        </w:tc>
        <w:tc>
          <w:tcPr>
            <w:tcW w:w="28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(78)</w:t>
            </w:r>
          </w:p>
        </w:tc>
        <w:tc>
          <w:tcPr>
            <w:tcW w:w="2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Usage - noncash</w:t>
            </w:r>
          </w:p>
        </w:tc>
        <w:tc>
          <w:tcPr>
            <w:tcW w:w="258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(140)</w:t>
            </w:r>
          </w:p>
        </w:tc>
        <w:tc>
          <w:tcPr>
            <w:tcW w:w="2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58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5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(38)</w:t>
            </w:r>
          </w:p>
        </w:tc>
        <w:tc>
          <w:tcPr>
            <w:tcW w:w="28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2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208</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six months ended June 30, 2022 and 2021, were $31 million and $20 million, respectively.</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and six months ended June 30, 2022, the Company recognized Other charges of $124 million and $307 million, respectively. The Other charges included costs related to the initial suspension of substantially all of our sales, distribution and service activities in Russian and Belarus (the Suspension) and the Company’s plan to wind down existing businesses and operations in Russia due to the ongoing Russia-Ukraine conflict (the Wind down). Through the Wind down of our businesses and operations, we will seek to collect outstanding accounts receivables, liquidate our inventory and fixed assets, negotiate and settle existing contractual obligations, trade payables and guarantees, and terminate and payout severance to impacted employees.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Other charges include costs recorded by all segments, with the most significant impact within the Performance Materials and Technologies segment. The Other charges include costs recorded in Cost of products sold, Selling, general and administrative expenses, or Other (income) expense on the Consolidated Statement of Operations, based on the nature of each specific charge or accrual of reserve. For the three months ended June 30, 2022, Cost of products and services sold includes $60 million primarily related to inventory reserves and the write-down of other assets, Selling, general and administrative includes $7 million primarily related to employee severance, and Other (income) expense includes $57 million related to foreign exchange revaluation on an intercompany loan with a Russian affiliate and impairment of property, plant and equipment. For the six months ended June 30, 2022, Cost of products and services sold includes $60 million primarily related to inventory reserves and the write-down of other assets, Selling, general and administrative includes $190 million primarily related to reserves against outstanding accounts receivable and contract assets, impairment of intangible assets, the write-down of other assets, and employee severance, and Other (income) expense includes $57 million related to foreign exchange revaluation on an intercompany loan with a Russian affiliate and impairment of property, plant and equipment. For the three and six months ended June 30, 2022, the Other charges does not include a $2 million tax valuation allowance recorded to Tax expense on the Consolidated Statement of Operations, directly attributable to our Wind down of businesses and operations in Russia.</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Given the uncertainty inherent in our remaining obligations related to our contracts with Russian counterparties, we do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Suspension and Wind down activities, including any guarantee payments or any litigation costs or as otherwise related to our Wind down in Russia, could adversely affect the Company's consolidated results of operations in the periods recognized but would not be material with respect to the Company's consolidated financial position. See Note 14 Commitments and Contingencies for a discussion of the recognition and measurement of estimate for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effective tax rate was higher than the U.S. federal statutory rate of 21% and increased during 2022 compared to 2021 primarily due to charges and accrual of reserves directly attributable to the initial Suspension and Wind down of our businesses and operations in Russia with no corresponding tax benefit, an expense related to UOP matters with no corresponding tax benefit, lower tax benefits for employee share-based compensation, and incremental tax reserves and state taxes, partially offset by the favorable resolution of certain foreign tax matters.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Borders>
              <w:bottom w:val="single" w:sz="8" w:color="D7282F"/>
            </w:tcBorders>
          </w:tcPr>
          <w:p>
            <w:pPr>
              <w:spacing w:after="0"/>
              <w:rPr>
                <w:sz w:val="17"/>
                <w:szCs w:val="17"/>
                <w:color w:val="auto"/>
              </w:rPr>
            </w:pPr>
          </w:p>
        </w:tc>
        <w:tc>
          <w:tcPr>
            <w:tcW w:w="354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June 30, 2022</w:t>
            </w:r>
          </w:p>
        </w:tc>
        <w:tc>
          <w:tcPr>
            <w:tcW w:w="166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45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Raw materials</w:t>
            </w:r>
          </w:p>
        </w:tc>
        <w:tc>
          <w:tcPr>
            <w:tcW w:w="35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1,507</w:t>
            </w:r>
          </w:p>
        </w:tc>
        <w:tc>
          <w:tcPr>
            <w:tcW w:w="74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1,352</w:t>
            </w:r>
          </w:p>
        </w:tc>
      </w:tr>
      <w:tr>
        <w:trPr>
          <w:trHeight w:val="196"/>
        </w:trPr>
        <w:tc>
          <w:tcPr>
            <w:tcW w:w="45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Work in process</w:t>
            </w:r>
          </w:p>
        </w:tc>
        <w:tc>
          <w:tcPr>
            <w:tcW w:w="3540" w:type="dxa"/>
            <w:vAlign w:val="bottom"/>
            <w:tcBorders>
              <w:bottom w:val="single" w:sz="8" w:color="BCBDC0"/>
            </w:tcBorders>
          </w:tcPr>
          <w:p>
            <w:pPr>
              <w:spacing w:after="0"/>
              <w:rPr>
                <w:sz w:val="17"/>
                <w:szCs w:val="17"/>
                <w:color w:val="auto"/>
              </w:rPr>
            </w:pPr>
          </w:p>
        </w:tc>
        <w:tc>
          <w:tcPr>
            <w:tcW w:w="14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1,003</w:t>
            </w:r>
          </w:p>
        </w:tc>
        <w:tc>
          <w:tcPr>
            <w:tcW w:w="74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861</w:t>
            </w:r>
          </w:p>
        </w:tc>
      </w:tr>
      <w:tr>
        <w:trPr>
          <w:trHeight w:val="196"/>
        </w:trPr>
        <w:tc>
          <w:tcPr>
            <w:tcW w:w="45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54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3,066</w:t>
            </w:r>
          </w:p>
        </w:tc>
        <w:tc>
          <w:tcPr>
            <w:tcW w:w="7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2,925</w:t>
            </w:r>
          </w:p>
        </w:tc>
      </w:tr>
      <w:tr>
        <w:trPr>
          <w:trHeight w:val="199"/>
        </w:trPr>
        <w:tc>
          <w:tcPr>
            <w:tcW w:w="4580" w:type="dxa"/>
            <w:vAlign w:val="bottom"/>
            <w:tcBorders>
              <w:bottom w:val="single" w:sz="8" w:color="DC202E"/>
            </w:tcBorders>
          </w:tcPr>
          <w:p>
            <w:pPr>
              <w:spacing w:after="0"/>
              <w:rPr>
                <w:sz w:val="17"/>
                <w:szCs w:val="17"/>
                <w:color w:val="auto"/>
              </w:rPr>
            </w:pPr>
          </w:p>
        </w:tc>
        <w:tc>
          <w:tcPr>
            <w:tcW w:w="35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b w:val="1"/>
                <w:bCs w:val="1"/>
                <w:color w:val="auto"/>
              </w:rPr>
              <w:t>5,576</w:t>
            </w:r>
          </w:p>
        </w:tc>
        <w:tc>
          <w:tcPr>
            <w:tcW w:w="740" w:type="dxa"/>
            <w:vAlign w:val="bottom"/>
            <w:tcBorders>
              <w:bottom w:val="single" w:sz="8" w:color="DC202E"/>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5,138</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8. LONG-TERM DEBT AND CREDIT AGREEMENTS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June 30, 2022</w:t>
            </w:r>
          </w:p>
        </w:tc>
        <w:tc>
          <w:tcPr>
            <w:tcW w:w="164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0.483% notes due 2022</w:t>
            </w: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500</w:t>
            </w:r>
          </w:p>
        </w:tc>
        <w:tc>
          <w:tcPr>
            <w:tcW w:w="680" w:type="dxa"/>
            <w:vAlign w:val="bottom"/>
            <w:tcBorders>
              <w:bottom w:val="single" w:sz="8" w:color="BCBDC0"/>
            </w:tcBorders>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2.15% notes due 2022</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Floating rate notes due 2022</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1.30% Euro notes due 2023</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1,304</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1,416</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3.35% notes due 2023</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0.00% Euro notes due 2024</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522</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566</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2.30% notes due 2024</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750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1.35% notes due 2025</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1,250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2.50% notes due 2026</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1.10% notes due 2027</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1,000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2.25% Euro notes due 2028</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783</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849</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2.70% notes due 2029</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750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1.95% notes due 2030</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1,000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1.75% notes due 2031</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1,500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0.75% Euro notes due 2032</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522</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566</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5.70% notes due 2036</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441</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5.70% notes due 2037</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462</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5.375% notes due 2041</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417</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3.812% notes due 2047</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445</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445</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2.80% notes due 2050</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750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22</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6.625% debentures due 2028</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201</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9.065% debentures due 2033</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51</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(including capitalized leases), 8.7% weighted average interest rate maturing at various dates through 2027</w:t>
            </w: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123</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332</w:t>
            </w:r>
          </w:p>
        </w:tc>
      </w:tr>
      <w:tr>
        <w:trPr>
          <w:trHeight w:val="196"/>
        </w:trPr>
        <w:tc>
          <w:tcPr>
            <w:tcW w:w="7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52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(203)</w:t>
            </w:r>
          </w:p>
        </w:tc>
        <w:tc>
          <w:tcPr>
            <w:tcW w:w="68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(211)</w:t>
            </w:r>
          </w:p>
        </w:tc>
      </w:tr>
      <w:tr>
        <w:trPr>
          <w:trHeight w:val="199"/>
        </w:trPr>
        <w:tc>
          <w:tcPr>
            <w:tcW w:w="760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14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b w:val="1"/>
                <w:bCs w:val="1"/>
                <w:color w:val="auto"/>
              </w:rPr>
              <w:t>15,590</w:t>
            </w:r>
          </w:p>
        </w:tc>
        <w:tc>
          <w:tcPr>
            <w:tcW w:w="6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spacing w:after="0"/>
              <w:rPr>
                <w:sz w:val="20"/>
                <w:szCs w:val="20"/>
                <w:color w:val="auto"/>
              </w:rPr>
            </w:pPr>
            <w:r>
              <w:rPr>
                <w:rFonts w:ascii="Arial" w:cs="Arial" w:eastAsia="Arial" w:hAnsi="Arial"/>
                <w:sz w:val="14"/>
                <w:szCs w:val="14"/>
                <w:b w:val="1"/>
                <w:bCs w:val="1"/>
                <w:color w:val="auto"/>
              </w:rPr>
              <w:t>16,057</w:t>
            </w:r>
          </w:p>
        </w:tc>
      </w:tr>
      <w:tr>
        <w:trPr>
          <w:trHeight w:val="193"/>
        </w:trPr>
        <w:tc>
          <w:tcPr>
            <w:tcW w:w="7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Less-current portion</w:t>
            </w:r>
          </w:p>
        </w:tc>
        <w:tc>
          <w:tcPr>
            <w:tcW w:w="520" w:type="dxa"/>
            <w:vAlign w:val="bottom"/>
            <w:tcBorders>
              <w:bottom w:val="single" w:sz="8" w:color="D7282F"/>
            </w:tcBorders>
          </w:tcPr>
          <w:p>
            <w:pPr>
              <w:spacing w:after="0"/>
              <w:rPr>
                <w:sz w:val="16"/>
                <w:szCs w:val="16"/>
                <w:color w:val="auto"/>
              </w:rPr>
            </w:pPr>
          </w:p>
        </w:tc>
        <w:tc>
          <w:tcPr>
            <w:tcW w:w="14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(3,099)</w:t>
            </w:r>
          </w:p>
        </w:tc>
        <w:tc>
          <w:tcPr>
            <w:tcW w:w="68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(1,803)</w:t>
            </w:r>
          </w:p>
        </w:tc>
      </w:tr>
      <w:tr>
        <w:trPr>
          <w:trHeight w:val="199"/>
        </w:trPr>
        <w:tc>
          <w:tcPr>
            <w:tcW w:w="76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12,491</w:t>
            </w:r>
          </w:p>
        </w:tc>
        <w:tc>
          <w:tcPr>
            <w:tcW w:w="6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14,254</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March 24, 2022, the Company entered into a $4.0 billion Amended and Restated Five Year Credit Agreement (the 5-Year Credit Agreement) and a $1.5 billion 364-Day Credit Agreement (the 364-Day Credit Agreement). The 5-Year Credit Agreement amended and restated the previously reported $4.0 billion amended and restated five-year credit agreement dated as of March 31, 2021. Commitments under the 5-Year Credit Agreement can be increased pursuant to the terms of the 5-Year Credit Agreement to an aggregate amount not to exceed $4.5 billion. The 364-Day Credit Agreement replaced the $1.5 billion 364-day credit agreement dated as of March 31, 2021, which was terminated in accordance with its terms effective March 24, 2022. Amounts borrowed under the 364-Day Credit Agreement are required to be repaid no later than March 23, 2023, unless (i) Honeywell elects to convert all then outstanding amounts into a term loan, upon which such amounts shall be repaid in full on March 23, 2024, or (ii) the 364-Day Credit Agreement is terminated earlier pursuant to its terms. The 5-Year Credit Agreement and the 364-Day Credit Agreement are maintained for general corporate purposes.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there were no outstanding borrowings under the 5-Year Credit Agreement or the 364-Day Credit Agreement.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9. LEASES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2021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Pr>
          <w:p>
            <w:pPr>
              <w:spacing w:after="0"/>
              <w:rPr>
                <w:sz w:val="17"/>
                <w:szCs w:val="17"/>
                <w:color w:val="auto"/>
              </w:rPr>
            </w:pPr>
          </w:p>
        </w:tc>
        <w:tc>
          <w:tcPr>
            <w:tcW w:w="200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92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924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Net right-of-use assets obtained in exchange for lease obligations:</w:t>
            </w:r>
          </w:p>
        </w:tc>
        <w:tc>
          <w:tcPr>
            <w:tcW w:w="72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9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Operating leases</w:t>
            </w:r>
          </w:p>
        </w:tc>
        <w:tc>
          <w:tcPr>
            <w:tcW w:w="72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64</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243</w:t>
            </w:r>
          </w:p>
        </w:tc>
      </w:tr>
      <w:tr>
        <w:trPr>
          <w:trHeight w:val="196"/>
        </w:trPr>
        <w:tc>
          <w:tcPr>
            <w:tcW w:w="924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Finance leases</w:t>
            </w:r>
          </w:p>
        </w:tc>
        <w:tc>
          <w:tcPr>
            <w:tcW w:w="72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3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9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114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82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r>
      <w:tr>
        <w:trPr>
          <w:trHeight w:val="193"/>
        </w:trPr>
        <w:tc>
          <w:tcPr>
            <w:tcW w:w="7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140" w:type="dxa"/>
            <w:vAlign w:val="bottom"/>
            <w:tcBorders>
              <w:bottom w:val="single" w:sz="8" w:color="D7282F"/>
            </w:tcBorders>
          </w:tcPr>
          <w:p>
            <w:pPr>
              <w:jc w:val="right"/>
              <w:ind w:right="9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908</w:t>
            </w: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947</w:t>
            </w:r>
          </w:p>
        </w:tc>
      </w:tr>
      <w:tr>
        <w:trPr>
          <w:trHeight w:val="196"/>
        </w:trPr>
        <w:tc>
          <w:tcPr>
            <w:tcW w:w="79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Accrued liabilities</w:t>
            </w:r>
          </w:p>
        </w:tc>
        <w:tc>
          <w:tcPr>
            <w:tcW w:w="1140" w:type="dxa"/>
            <w:vAlign w:val="bottom"/>
            <w:tcBorders>
              <w:bottom w:val="single" w:sz="8" w:color="B1B3B3"/>
            </w:tcBorders>
          </w:tcPr>
          <w:p>
            <w:pPr>
              <w:spacing w:after="0"/>
              <w:rPr>
                <w:sz w:val="17"/>
                <w:szCs w:val="17"/>
                <w:color w:val="auto"/>
              </w:rPr>
            </w:pPr>
          </w:p>
        </w:tc>
        <w:tc>
          <w:tcPr>
            <w:tcW w:w="38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200</w:t>
            </w:r>
          </w:p>
        </w:tc>
        <w:tc>
          <w:tcPr>
            <w:tcW w:w="82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185</w:t>
            </w:r>
          </w:p>
        </w:tc>
      </w:tr>
      <w:tr>
        <w:trPr>
          <w:trHeight w:val="196"/>
        </w:trPr>
        <w:tc>
          <w:tcPr>
            <w:tcW w:w="79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Other liabilities</w:t>
            </w:r>
          </w:p>
        </w:tc>
        <w:tc>
          <w:tcPr>
            <w:tcW w:w="11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798</w:t>
            </w:r>
          </w:p>
        </w:tc>
        <w:tc>
          <w:tcPr>
            <w:tcW w:w="8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847</w:t>
            </w:r>
          </w:p>
        </w:tc>
      </w:tr>
      <w:tr>
        <w:trPr>
          <w:trHeight w:val="199"/>
        </w:trPr>
        <w:tc>
          <w:tcPr>
            <w:tcW w:w="79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operating lease liabilities</w:t>
            </w:r>
          </w:p>
        </w:tc>
        <w:tc>
          <w:tcPr>
            <w:tcW w:w="1140" w:type="dxa"/>
            <w:vAlign w:val="bottom"/>
            <w:tcBorders>
              <w:bottom w:val="single" w:sz="8" w:color="D7282F"/>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998</w:t>
            </w: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1,032</w:t>
            </w:r>
          </w:p>
        </w:tc>
      </w:tr>
      <w:tr>
        <w:trPr>
          <w:trHeight w:val="196"/>
        </w:trPr>
        <w:tc>
          <w:tcPr>
            <w:tcW w:w="79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Financing leases</w:t>
            </w:r>
          </w:p>
        </w:tc>
        <w:tc>
          <w:tcPr>
            <w:tcW w:w="114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82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r>
      <w:tr>
        <w:trPr>
          <w:trHeight w:val="193"/>
        </w:trPr>
        <w:tc>
          <w:tcPr>
            <w:tcW w:w="79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Property, plant and equipment</w:t>
            </w:r>
          </w:p>
        </w:tc>
        <w:tc>
          <w:tcPr>
            <w:tcW w:w="1140" w:type="dxa"/>
            <w:vAlign w:val="bottom"/>
            <w:tcBorders>
              <w:bottom w:val="single" w:sz="8" w:color="BCBDC0"/>
            </w:tcBorders>
          </w:tcPr>
          <w:p>
            <w:pPr>
              <w:jc w:val="right"/>
              <w:ind w:right="9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322</w:t>
            </w:r>
          </w:p>
        </w:tc>
        <w:tc>
          <w:tcPr>
            <w:tcW w:w="82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325</w:t>
            </w:r>
          </w:p>
        </w:tc>
      </w:tr>
      <w:tr>
        <w:trPr>
          <w:trHeight w:val="196"/>
        </w:trPr>
        <w:tc>
          <w:tcPr>
            <w:tcW w:w="79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Accumulated depreciation</w:t>
            </w:r>
          </w:p>
        </w:tc>
        <w:tc>
          <w:tcPr>
            <w:tcW w:w="11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(160)</w:t>
            </w:r>
          </w:p>
        </w:tc>
        <w:tc>
          <w:tcPr>
            <w:tcW w:w="8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(177)</w:t>
            </w:r>
          </w:p>
        </w:tc>
      </w:tr>
      <w:tr>
        <w:trPr>
          <w:trHeight w:val="199"/>
        </w:trPr>
        <w:tc>
          <w:tcPr>
            <w:tcW w:w="79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Property, plant and equipment - net</w:t>
            </w:r>
          </w:p>
        </w:tc>
        <w:tc>
          <w:tcPr>
            <w:tcW w:w="1140" w:type="dxa"/>
            <w:vAlign w:val="bottom"/>
            <w:tcBorders>
              <w:bottom w:val="single" w:sz="8" w:color="D7282F"/>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162</w:t>
            </w: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w:t>
            </w:r>
          </w:p>
        </w:tc>
      </w:tr>
      <w:tr>
        <w:trPr>
          <w:trHeight w:val="193"/>
        </w:trPr>
        <w:tc>
          <w:tcPr>
            <w:tcW w:w="798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Current maturities of long-term debt</w:t>
            </w:r>
          </w:p>
        </w:tc>
        <w:tc>
          <w:tcPr>
            <w:tcW w:w="114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64</w:t>
            </w:r>
          </w:p>
        </w:tc>
        <w:tc>
          <w:tcPr>
            <w:tcW w:w="82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57</w:t>
            </w:r>
          </w:p>
        </w:tc>
      </w:tr>
      <w:tr>
        <w:trPr>
          <w:trHeight w:val="196"/>
        </w:trPr>
        <w:tc>
          <w:tcPr>
            <w:tcW w:w="798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Long-term debt</w:t>
            </w:r>
          </w:p>
        </w:tc>
        <w:tc>
          <w:tcPr>
            <w:tcW w:w="11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102</w:t>
            </w:r>
          </w:p>
        </w:tc>
        <w:tc>
          <w:tcPr>
            <w:tcW w:w="8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99</w:t>
            </w:r>
          </w:p>
        </w:tc>
      </w:tr>
      <w:tr>
        <w:trPr>
          <w:trHeight w:val="199"/>
        </w:trPr>
        <w:tc>
          <w:tcPr>
            <w:tcW w:w="79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financing lease liabilities</w:t>
            </w:r>
          </w:p>
        </w:tc>
        <w:tc>
          <w:tcPr>
            <w:tcW w:w="1140" w:type="dxa"/>
            <w:vAlign w:val="bottom"/>
            <w:tcBorders>
              <w:bottom w:val="single" w:sz="8" w:color="D7282F"/>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166</w:t>
            </w: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156</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10. DERIVATIVE INSTRUMENTS AND HEDGING TRANSACTIONS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Honeywell's credit, market, foreign currency, and interest rate risk management policies are described in Note 11 Derivative Instruments and Hedging Transactions of Notes to Consolidated Financial Statements in the Company's 2021 Annual Report on Form 10-K. During March 2022, the Company entered into certain commodity contracts. The Company's risk management policy related to commodity contracts is described in the below section. All derivative assets are presented in Other current assets or Other assets. All derivative liabilities are presented in Accrued liabilities or Other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COMMODITY CONTRACTS RISK MANAGEMENT</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operations subject us to risk related to the price volatility of certain commodities. To mitigate the commodity price risk associated with the Company's operations, the Company may enter into commodity derivative instruments. In March 2022, the Company entered into various contracts to mitigate commodity price volatility. The Company elected to apply hedge accounting to these contracts.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 as of June 30, 2022, and December 31,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Notional</w:t>
            </w:r>
          </w:p>
        </w:tc>
        <w:tc>
          <w:tcPr>
            <w:tcW w:w="82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Fair Value Asset</w:t>
            </w:r>
          </w:p>
        </w:tc>
        <w:tc>
          <w:tcPr>
            <w:tcW w:w="38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Fair Value (Liability)</w:t>
            </w:r>
          </w:p>
        </w:tc>
        <w:tc>
          <w:tcPr>
            <w:tcW w:w="4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10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June 30, 2022</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June 30, 2022</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June 30, 2022</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gridSpan w:val="2"/>
            <w:vMerge w:val="continue"/>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gridSpan w:val="2"/>
            <w:vMerge w:val="continue"/>
          </w:tcPr>
          <w:p>
            <w:pPr>
              <w:spacing w:after="0"/>
              <w:rPr>
                <w:sz w:val="16"/>
                <w:szCs w:val="16"/>
                <w:color w:val="auto"/>
              </w:rPr>
            </w:pPr>
          </w:p>
        </w:tc>
        <w:tc>
          <w:tcPr>
            <w:tcW w:w="7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gridSpan w:val="2"/>
            <w:vMerge w:val="continue"/>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400" w:type="dxa"/>
            <w:vAlign w:val="bottom"/>
            <w:tcBorders>
              <w:bottom w:val="single" w:sz="8" w:color="BCBDC0"/>
            </w:tcBorders>
          </w:tcPr>
          <w:p>
            <w:pPr>
              <w:spacing w:after="0"/>
              <w:rPr>
                <w:sz w:val="19"/>
                <w:szCs w:val="19"/>
                <w:color w:val="auto"/>
              </w:rPr>
            </w:pPr>
          </w:p>
        </w:tc>
        <w:tc>
          <w:tcPr>
            <w:tcW w:w="660" w:type="dxa"/>
            <w:vAlign w:val="bottom"/>
            <w:tcBorders>
              <w:bottom w:val="single" w:sz="8" w:color="BCBDC0"/>
            </w:tcBorders>
          </w:tcPr>
          <w:p>
            <w:pPr>
              <w:spacing w:after="0"/>
              <w:rPr>
                <w:sz w:val="19"/>
                <w:szCs w:val="19"/>
                <w:color w:val="auto"/>
              </w:rPr>
            </w:pPr>
          </w:p>
        </w:tc>
        <w:tc>
          <w:tcPr>
            <w:tcW w:w="360" w:type="dxa"/>
            <w:vAlign w:val="bottom"/>
            <w:tcBorders>
              <w:bottom w:val="single" w:sz="8" w:color="BCBDC0"/>
            </w:tcBorders>
          </w:tcPr>
          <w:p>
            <w:pPr>
              <w:spacing w:after="0"/>
              <w:rPr>
                <w:sz w:val="19"/>
                <w:szCs w:val="19"/>
                <w:color w:val="auto"/>
              </w:rPr>
            </w:pPr>
          </w:p>
        </w:tc>
        <w:tc>
          <w:tcPr>
            <w:tcW w:w="820" w:type="dxa"/>
            <w:vAlign w:val="bottom"/>
            <w:tcBorders>
              <w:bottom w:val="single" w:sz="8" w:color="BCBDC0"/>
            </w:tcBorders>
          </w:tcPr>
          <w:p>
            <w:pPr>
              <w:spacing w:after="0"/>
              <w:rPr>
                <w:sz w:val="19"/>
                <w:szCs w:val="19"/>
                <w:color w:val="auto"/>
              </w:rPr>
            </w:pPr>
          </w:p>
        </w:tc>
        <w:tc>
          <w:tcPr>
            <w:tcW w:w="220" w:type="dxa"/>
            <w:vAlign w:val="bottom"/>
            <w:tcBorders>
              <w:bottom w:val="single" w:sz="8" w:color="BCBDC0"/>
            </w:tcBorders>
          </w:tcPr>
          <w:p>
            <w:pPr>
              <w:spacing w:after="0"/>
              <w:rPr>
                <w:sz w:val="19"/>
                <w:szCs w:val="19"/>
                <w:color w:val="auto"/>
              </w:rPr>
            </w:pPr>
          </w:p>
        </w:tc>
        <w:tc>
          <w:tcPr>
            <w:tcW w:w="440" w:type="dxa"/>
            <w:vAlign w:val="bottom"/>
            <w:tcBorders>
              <w:bottom w:val="single" w:sz="8" w:color="BCBDC0"/>
            </w:tcBorders>
          </w:tcPr>
          <w:p>
            <w:pPr>
              <w:spacing w:after="0"/>
              <w:rPr>
                <w:sz w:val="19"/>
                <w:szCs w:val="19"/>
                <w:color w:val="auto"/>
              </w:rPr>
            </w:pPr>
          </w:p>
        </w:tc>
        <w:tc>
          <w:tcPr>
            <w:tcW w:w="620" w:type="dxa"/>
            <w:vAlign w:val="bottom"/>
            <w:tcBorders>
              <w:bottom w:val="single" w:sz="8" w:color="BCBDC0"/>
            </w:tcBorders>
          </w:tcPr>
          <w:p>
            <w:pPr>
              <w:spacing w:after="0"/>
              <w:rPr>
                <w:sz w:val="19"/>
                <w:szCs w:val="19"/>
                <w:color w:val="auto"/>
              </w:rPr>
            </w:pPr>
          </w:p>
        </w:tc>
        <w:tc>
          <w:tcPr>
            <w:tcW w:w="780" w:type="dxa"/>
            <w:vAlign w:val="bottom"/>
            <w:tcBorders>
              <w:bottom w:val="single" w:sz="8" w:color="BCBDC0"/>
            </w:tcBorders>
          </w:tcPr>
          <w:p>
            <w:pPr>
              <w:spacing w:after="0"/>
              <w:rPr>
                <w:sz w:val="19"/>
                <w:szCs w:val="19"/>
                <w:color w:val="auto"/>
              </w:rPr>
            </w:pPr>
          </w:p>
        </w:tc>
        <w:tc>
          <w:tcPr>
            <w:tcW w:w="380" w:type="dxa"/>
            <w:vAlign w:val="bottom"/>
            <w:tcBorders>
              <w:bottom w:val="single" w:sz="8" w:color="BCBDC0"/>
            </w:tcBorders>
          </w:tcPr>
          <w:p>
            <w:pPr>
              <w:spacing w:after="0"/>
              <w:rPr>
                <w:sz w:val="19"/>
                <w:szCs w:val="19"/>
                <w:color w:val="auto"/>
              </w:rPr>
            </w:pPr>
          </w:p>
        </w:tc>
        <w:tc>
          <w:tcPr>
            <w:tcW w:w="240" w:type="dxa"/>
            <w:vAlign w:val="bottom"/>
            <w:tcBorders>
              <w:bottom w:val="single" w:sz="8" w:color="BCBDC0"/>
            </w:tcBorders>
          </w:tcPr>
          <w:p>
            <w:pPr>
              <w:spacing w:after="0"/>
              <w:rPr>
                <w:sz w:val="19"/>
                <w:szCs w:val="19"/>
                <w:color w:val="auto"/>
              </w:rPr>
            </w:pPr>
          </w:p>
        </w:tc>
        <w:tc>
          <w:tcPr>
            <w:tcW w:w="380" w:type="dxa"/>
            <w:vAlign w:val="bottom"/>
            <w:tcBorders>
              <w:bottom w:val="single" w:sz="8" w:color="BCBDC0"/>
            </w:tcBorders>
          </w:tcPr>
          <w:p>
            <w:pPr>
              <w:spacing w:after="0"/>
              <w:rPr>
                <w:sz w:val="19"/>
                <w:szCs w:val="19"/>
                <w:color w:val="auto"/>
              </w:rPr>
            </w:pPr>
          </w:p>
        </w:tc>
        <w:tc>
          <w:tcPr>
            <w:tcW w:w="680" w:type="dxa"/>
            <w:vAlign w:val="bottom"/>
            <w:tcBorders>
              <w:bottom w:val="single" w:sz="8" w:color="BCBDC0"/>
            </w:tcBorders>
          </w:tcPr>
          <w:p>
            <w:pPr>
              <w:spacing w:after="0"/>
              <w:rPr>
                <w:sz w:val="19"/>
                <w:szCs w:val="19"/>
                <w:color w:val="auto"/>
              </w:rPr>
            </w:pPr>
          </w:p>
        </w:tc>
        <w:tc>
          <w:tcPr>
            <w:tcW w:w="780" w:type="dxa"/>
            <w:vAlign w:val="bottom"/>
            <w:tcBorders>
              <w:bottom w:val="single" w:sz="8" w:color="BCBDC0"/>
            </w:tcBorders>
          </w:tcPr>
          <w:p>
            <w:pPr>
              <w:spacing w:after="0"/>
              <w:rPr>
                <w:sz w:val="19"/>
                <w:szCs w:val="19"/>
                <w:color w:val="auto"/>
              </w:rPr>
            </w:pPr>
          </w:p>
        </w:tc>
        <w:tc>
          <w:tcPr>
            <w:tcW w:w="400" w:type="dxa"/>
            <w:vAlign w:val="bottom"/>
            <w:tcBorders>
              <w:bottom w:val="single" w:sz="8" w:color="BCBDC0"/>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8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Interest rate swap agreements</w:t>
            </w:r>
          </w:p>
        </w:tc>
        <w:tc>
          <w:tcPr>
            <w:tcW w:w="4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3,150</w:t>
            </w:r>
          </w:p>
        </w:tc>
        <w:tc>
          <w:tcPr>
            <w:tcW w:w="36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3,150</w:t>
            </w:r>
          </w:p>
        </w:tc>
        <w:tc>
          <w:tcPr>
            <w:tcW w:w="220" w:type="dxa"/>
            <w:vAlign w:val="bottom"/>
            <w:tcBorders>
              <w:bottom w:val="single" w:sz="8" w:color="BCBDC0"/>
            </w:tcBorders>
          </w:tcPr>
          <w:p>
            <w:pPr>
              <w:spacing w:after="0"/>
              <w:rPr>
                <w:sz w:val="16"/>
                <w:szCs w:val="16"/>
                <w:color w:val="auto"/>
              </w:rPr>
            </w:pPr>
          </w:p>
        </w:tc>
        <w:tc>
          <w:tcPr>
            <w:tcW w:w="4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4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w:t>
            </w:r>
          </w:p>
        </w:tc>
        <w:tc>
          <w:tcPr>
            <w:tcW w:w="24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(108)</w:t>
            </w:r>
          </w:p>
        </w:tc>
        <w:tc>
          <w:tcPr>
            <w:tcW w:w="780" w:type="dxa"/>
            <w:vAlign w:val="bottom"/>
            <w:tcBorders>
              <w:bottom w:val="single" w:sz="8" w:color="BCBDC0"/>
            </w:tcBorders>
          </w:tcPr>
          <w:p>
            <w:pPr>
              <w:jc w:val="right"/>
              <w:ind w:right="4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0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40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3,637</w:t>
            </w:r>
          </w:p>
        </w:tc>
        <w:tc>
          <w:tcPr>
            <w:tcW w:w="360" w:type="dxa"/>
            <w:vAlign w:val="bottom"/>
            <w:tcBorders>
              <w:bottom w:val="single" w:sz="8" w:color="BCBDC0"/>
            </w:tcBorders>
          </w:tcPr>
          <w:p>
            <w:pPr>
              <w:spacing w:after="0"/>
              <w:rPr>
                <w:sz w:val="16"/>
                <w:szCs w:val="16"/>
                <w:color w:val="auto"/>
              </w:rPr>
            </w:pPr>
          </w:p>
        </w:tc>
        <w:tc>
          <w:tcPr>
            <w:tcW w:w="8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647</w:t>
            </w:r>
          </w:p>
        </w:tc>
        <w:tc>
          <w:tcPr>
            <w:tcW w:w="220" w:type="dxa"/>
            <w:vAlign w:val="bottom"/>
            <w:tcBorders>
              <w:bottom w:val="single" w:sz="8" w:color="BCBDC0"/>
            </w:tcBorders>
          </w:tcPr>
          <w:p>
            <w:pPr>
              <w:spacing w:after="0"/>
              <w:rPr>
                <w:sz w:val="16"/>
                <w:szCs w:val="16"/>
                <w:color w:val="auto"/>
              </w:rPr>
            </w:pPr>
          </w:p>
        </w:tc>
        <w:tc>
          <w:tcPr>
            <w:tcW w:w="44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34</w:t>
            </w:r>
          </w:p>
        </w:tc>
        <w:tc>
          <w:tcPr>
            <w:tcW w:w="78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w:t>
            </w:r>
          </w:p>
        </w:tc>
        <w:tc>
          <w:tcPr>
            <w:tcW w:w="78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Commodity contracts</w:t>
            </w:r>
          </w:p>
        </w:tc>
        <w:tc>
          <w:tcPr>
            <w:tcW w:w="40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BCBDC0"/>
            </w:tcBorders>
          </w:tcPr>
          <w:p>
            <w:pPr>
              <w:spacing w:after="0"/>
              <w:rPr>
                <w:sz w:val="17"/>
                <w:szCs w:val="17"/>
                <w:color w:val="auto"/>
              </w:rPr>
            </w:pPr>
          </w:p>
        </w:tc>
        <w:tc>
          <w:tcPr>
            <w:tcW w:w="104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w:t>
            </w:r>
          </w:p>
        </w:tc>
        <w:tc>
          <w:tcPr>
            <w:tcW w:w="78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40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40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278</w:t>
            </w:r>
          </w:p>
        </w:tc>
        <w:tc>
          <w:tcPr>
            <w:tcW w:w="360" w:type="dxa"/>
            <w:vAlign w:val="bottom"/>
            <w:tcBorders>
              <w:bottom w:val="single" w:sz="8" w:color="BCBDC0"/>
            </w:tcBorders>
          </w:tcPr>
          <w:p>
            <w:pPr>
              <w:spacing w:after="0"/>
              <w:rPr>
                <w:sz w:val="16"/>
                <w:szCs w:val="16"/>
                <w:color w:val="auto"/>
              </w:rPr>
            </w:pPr>
          </w:p>
        </w:tc>
        <w:tc>
          <w:tcPr>
            <w:tcW w:w="8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746</w:t>
            </w:r>
          </w:p>
        </w:tc>
        <w:tc>
          <w:tcPr>
            <w:tcW w:w="220" w:type="dxa"/>
            <w:vAlign w:val="bottom"/>
            <w:tcBorders>
              <w:bottom w:val="single" w:sz="8" w:color="BCBDC0"/>
            </w:tcBorders>
          </w:tcPr>
          <w:p>
            <w:pPr>
              <w:spacing w:after="0"/>
              <w:rPr>
                <w:sz w:val="16"/>
                <w:szCs w:val="16"/>
                <w:color w:val="auto"/>
              </w:rPr>
            </w:pPr>
          </w:p>
        </w:tc>
        <w:tc>
          <w:tcPr>
            <w:tcW w:w="440" w:type="dxa"/>
            <w:vAlign w:val="bottom"/>
            <w:tcBorders>
              <w:bottom w:val="single" w:sz="8" w:color="BCBDC0"/>
            </w:tcBorders>
          </w:tcPr>
          <w:p>
            <w:pPr>
              <w:spacing w:after="0"/>
              <w:rPr>
                <w:sz w:val="16"/>
                <w:szCs w:val="16"/>
                <w:color w:val="auto"/>
              </w:rPr>
            </w:pPr>
          </w:p>
        </w:tc>
        <w:tc>
          <w:tcPr>
            <w:tcW w:w="62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124</w:t>
            </w:r>
          </w:p>
        </w:tc>
        <w:tc>
          <w:tcPr>
            <w:tcW w:w="78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92</w:t>
            </w:r>
          </w:p>
        </w:tc>
        <w:tc>
          <w:tcPr>
            <w:tcW w:w="240" w:type="dxa"/>
            <w:vAlign w:val="bottom"/>
            <w:tcBorders>
              <w:bottom w:val="single" w:sz="8" w:color="BCBDC0"/>
            </w:tcBorders>
          </w:tcPr>
          <w:p>
            <w:pPr>
              <w:spacing w:after="0"/>
              <w:rPr>
                <w:sz w:val="16"/>
                <w:szCs w:val="16"/>
                <w:color w:val="auto"/>
              </w:rPr>
            </w:pPr>
          </w:p>
        </w:tc>
        <w:tc>
          <w:tcPr>
            <w:tcW w:w="38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Cross currency swap agreements</w:t>
            </w:r>
          </w:p>
        </w:tc>
        <w:tc>
          <w:tcPr>
            <w:tcW w:w="4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1,200</w:t>
            </w:r>
          </w:p>
        </w:tc>
        <w:tc>
          <w:tcPr>
            <w:tcW w:w="3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1,200</w:t>
            </w:r>
          </w:p>
        </w:tc>
        <w:tc>
          <w:tcPr>
            <w:tcW w:w="22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135</w:t>
            </w:r>
          </w:p>
        </w:tc>
        <w:tc>
          <w:tcPr>
            <w:tcW w:w="78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4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8,274</w:t>
            </w:r>
          </w:p>
        </w:tc>
        <w:tc>
          <w:tcPr>
            <w:tcW w:w="3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5,743</w:t>
            </w:r>
          </w:p>
        </w:tc>
        <w:tc>
          <w:tcPr>
            <w:tcW w:w="22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293</w:t>
            </w:r>
          </w:p>
        </w:tc>
        <w:tc>
          <w:tcPr>
            <w:tcW w:w="78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(112)</w:t>
            </w:r>
          </w:p>
        </w:tc>
        <w:tc>
          <w:tcPr>
            <w:tcW w:w="7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0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440" w:type="dxa"/>
            <w:vAlign w:val="bottom"/>
            <w:tcBorders>
              <w:bottom w:val="single" w:sz="8" w:color="BCBDC0"/>
            </w:tcBorders>
          </w:tcPr>
          <w:p>
            <w:pPr>
              <w:spacing w:after="0"/>
              <w:rPr>
                <w:sz w:val="17"/>
                <w:szCs w:val="17"/>
                <w:color w:val="auto"/>
              </w:rPr>
            </w:pPr>
          </w:p>
        </w:tc>
        <w:tc>
          <w:tcPr>
            <w:tcW w:w="62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38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40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9,374</w:t>
            </w: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11,278</w:t>
            </w:r>
          </w:p>
        </w:tc>
        <w:tc>
          <w:tcPr>
            <w:tcW w:w="22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384</w:t>
            </w:r>
          </w:p>
        </w:tc>
        <w:tc>
          <w:tcPr>
            <w:tcW w:w="78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278</w:t>
            </w:r>
          </w:p>
        </w:tc>
        <w:tc>
          <w:tcPr>
            <w:tcW w:w="2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(379)</w:t>
            </w:r>
          </w:p>
        </w:tc>
        <w:tc>
          <w:tcPr>
            <w:tcW w:w="78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ind w:left="4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99"/>
        </w:trPr>
        <w:tc>
          <w:tcPr>
            <w:tcW w:w="4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Derivatives at Fair Value</w:t>
            </w: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17,648</w:t>
            </w:r>
          </w:p>
        </w:tc>
        <w:tc>
          <w:tcPr>
            <w:tcW w:w="3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17,021</w:t>
            </w:r>
          </w:p>
        </w:tc>
        <w:tc>
          <w:tcPr>
            <w:tcW w:w="22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677</w:t>
            </w:r>
          </w:p>
        </w:tc>
        <w:tc>
          <w:tcPr>
            <w:tcW w:w="7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473</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(491)</w:t>
            </w:r>
          </w:p>
        </w:tc>
        <w:tc>
          <w:tcPr>
            <w:tcW w:w="7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D7282F"/>
            </w:tcBorders>
          </w:tcPr>
          <w:p>
            <w:pPr>
              <w:ind w:left="40"/>
              <w:spacing w:after="0"/>
              <w:rPr>
                <w:sz w:val="20"/>
                <w:szCs w:val="20"/>
                <w:color w:val="auto"/>
              </w:rPr>
            </w:pPr>
            <w:r>
              <w:rPr>
                <w:rFonts w:ascii="Arial" w:cs="Arial" w:eastAsia="Arial" w:hAnsi="Arial"/>
                <w:sz w:val="14"/>
                <w:szCs w:val="14"/>
                <w:b w:val="1"/>
                <w:bCs w:val="1"/>
                <w:color w:val="auto"/>
              </w:rPr>
              <w:t>(282)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the derivative instruments listed above,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$2,449 million and $4,074 million as of June 30, 2022, and December 31, 2021,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on the Consolidated Balance Sheet related to cumulative basis adjustments for fair value hedges: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Cumulative Amount of Fair</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24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Carrying Amount of the Hedged</w:t>
            </w:r>
          </w:p>
        </w:tc>
        <w:tc>
          <w:tcPr>
            <w:tcW w:w="2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rPr>
              <w:t>Value Hedging Adjustment</w:t>
            </w:r>
          </w:p>
        </w:tc>
        <w:tc>
          <w:tcPr>
            <w:tcW w:w="0" w:type="dxa"/>
            <w:vAlign w:val="bottom"/>
          </w:tcPr>
          <w:p>
            <w:pPr>
              <w:spacing w:after="0"/>
              <w:rPr>
                <w:sz w:val="1"/>
                <w:szCs w:val="1"/>
                <w:color w:val="auto"/>
              </w:rPr>
            </w:pPr>
          </w:p>
        </w:tc>
      </w:tr>
      <w:tr>
        <w:trPr>
          <w:trHeight w:val="144"/>
        </w:trPr>
        <w:tc>
          <w:tcPr>
            <w:tcW w:w="650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2000" w:type="dxa"/>
            <w:vAlign w:val="bottom"/>
            <w:gridSpan w:val="3"/>
          </w:tcPr>
          <w:p>
            <w:pPr>
              <w:jc w:val="center"/>
              <w:ind w:left="188"/>
              <w:spacing w:after="0" w:line="145" w:lineRule="exact"/>
              <w:rPr>
                <w:sz w:val="20"/>
                <w:szCs w:val="20"/>
                <w:color w:val="auto"/>
              </w:rPr>
            </w:pPr>
            <w:r>
              <w:rPr>
                <w:rFonts w:ascii="Arial" w:cs="Arial" w:eastAsia="Arial" w:hAnsi="Arial"/>
                <w:sz w:val="14"/>
                <w:szCs w:val="14"/>
                <w:b w:val="1"/>
                <w:bCs w:val="1"/>
                <w:color w:val="auto"/>
              </w:rPr>
              <w:t>Included in the Carrying</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500" w:type="dxa"/>
            <w:vAlign w:val="bottom"/>
          </w:tcPr>
          <w:p>
            <w:pPr>
              <w:spacing w:after="0"/>
              <w:rPr>
                <w:sz w:val="16"/>
                <w:szCs w:val="16"/>
                <w:color w:val="auto"/>
              </w:rPr>
            </w:pPr>
          </w:p>
        </w:tc>
        <w:tc>
          <w:tcPr>
            <w:tcW w:w="9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w w:val="97"/>
              </w:rPr>
              <w:t>Item</w:t>
            </w:r>
          </w:p>
        </w:tc>
        <w:tc>
          <w:tcPr>
            <w:tcW w:w="8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tcBorders>
              <w:bottom w:val="single" w:sz="8" w:color="D7282F"/>
            </w:tcBorders>
            <w:gridSpan w:val="4"/>
          </w:tcPr>
          <w:p>
            <w:pPr>
              <w:jc w:val="center"/>
              <w:spacing w:after="0"/>
              <w:rPr>
                <w:sz w:val="20"/>
                <w:szCs w:val="20"/>
                <w:color w:val="auto"/>
              </w:rPr>
            </w:pPr>
            <w:r>
              <w:rPr>
                <w:rFonts w:ascii="Arial" w:cs="Arial" w:eastAsia="Arial" w:hAnsi="Arial"/>
                <w:sz w:val="14"/>
                <w:szCs w:val="14"/>
                <w:b w:val="1"/>
                <w:bCs w:val="1"/>
                <w:color w:val="auto"/>
              </w:rPr>
              <w:t>Amount of the Hedged Item</w:t>
            </w:r>
          </w:p>
        </w:tc>
        <w:tc>
          <w:tcPr>
            <w:tcW w:w="0" w:type="dxa"/>
            <w:vAlign w:val="bottom"/>
          </w:tcPr>
          <w:p>
            <w:pPr>
              <w:spacing w:after="0"/>
              <w:rPr>
                <w:sz w:val="1"/>
                <w:szCs w:val="1"/>
                <w:color w:val="auto"/>
              </w:rPr>
            </w:pPr>
          </w:p>
        </w:tc>
      </w:tr>
      <w:tr>
        <w:trPr>
          <w:trHeight w:val="173"/>
        </w:trPr>
        <w:tc>
          <w:tcPr>
            <w:tcW w:w="6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Line in the Consolidated Balance Sheet of Hedged Item</w:t>
            </w: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2022</w:t>
            </w:r>
          </w:p>
        </w:tc>
        <w:tc>
          <w:tcPr>
            <w:tcW w:w="15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June 30, 2022</w:t>
            </w:r>
          </w:p>
        </w:tc>
        <w:tc>
          <w:tcPr>
            <w:tcW w:w="118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500" w:type="dxa"/>
            <w:vAlign w:val="bottom"/>
            <w:tcBorders>
              <w:bottom w:val="single" w:sz="8" w:color="D7282F"/>
            </w:tcBorders>
            <w:vMerge w:val="continue"/>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vMerge w:val="continue"/>
          </w:tcPr>
          <w:p>
            <w:pPr>
              <w:spacing w:after="0"/>
              <w:rPr>
                <w:sz w:val="16"/>
                <w:szCs w:val="16"/>
                <w:color w:val="auto"/>
              </w:rPr>
            </w:pPr>
          </w:p>
        </w:tc>
        <w:tc>
          <w:tcPr>
            <w:tcW w:w="9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3,042</w:t>
            </w:r>
          </w:p>
        </w:tc>
        <w:tc>
          <w:tcPr>
            <w:tcW w:w="4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3,210</w:t>
            </w:r>
          </w:p>
        </w:tc>
        <w:tc>
          <w:tcPr>
            <w:tcW w:w="220" w:type="dxa"/>
            <w:vAlign w:val="bottom"/>
            <w:tcBorders>
              <w:bottom w:val="single" w:sz="8" w:color="D7282F"/>
            </w:tcBorders>
          </w:tcPr>
          <w:p>
            <w:pPr>
              <w:spacing w:after="0"/>
              <w:rPr>
                <w:sz w:val="16"/>
                <w:szCs w:val="16"/>
                <w:color w:val="auto"/>
              </w:rPr>
            </w:pPr>
          </w:p>
        </w:tc>
        <w:tc>
          <w:tcPr>
            <w:tcW w:w="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(108)</w:t>
            </w:r>
          </w:p>
        </w:tc>
        <w:tc>
          <w:tcPr>
            <w:tcW w:w="920" w:type="dxa"/>
            <w:vAlign w:val="bottom"/>
            <w:tcBorders>
              <w:bottom w:val="single" w:sz="8" w:color="D7282F"/>
            </w:tcBorders>
          </w:tcPr>
          <w:p>
            <w:pPr>
              <w:jc w:val="right"/>
              <w:ind w:right="5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spacing w:after="0"/>
              <w:rPr>
                <w:sz w:val="17"/>
                <w:szCs w:val="17"/>
                <w:color w:val="auto"/>
              </w:rPr>
            </w:pPr>
          </w:p>
        </w:tc>
        <w:tc>
          <w:tcPr>
            <w:tcW w:w="2620" w:type="dxa"/>
            <w:vAlign w:val="bottom"/>
            <w:tcBorders>
              <w:bottom w:val="single" w:sz="8" w:color="D7282F"/>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 2022</w:t>
            </w:r>
          </w:p>
        </w:tc>
        <w:tc>
          <w:tcPr>
            <w:tcW w:w="28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gridSpan w:val="2"/>
          </w:tcPr>
          <w:p>
            <w:pPr>
              <w:jc w:val="center"/>
              <w:ind w:right="48"/>
              <w:spacing w:after="0" w:line="147" w:lineRule="exact"/>
              <w:rPr>
                <w:sz w:val="20"/>
                <w:szCs w:val="20"/>
                <w:color w:val="auto"/>
              </w:rPr>
            </w:pPr>
            <w:r>
              <w:rPr>
                <w:rFonts w:ascii="Arial" w:cs="Arial" w:eastAsia="Arial" w:hAnsi="Arial"/>
                <w:sz w:val="14"/>
                <w:szCs w:val="14"/>
                <w:b w:val="1"/>
                <w:bCs w:val="1"/>
                <w:color w:val="auto"/>
              </w:rPr>
              <w:t>Selling, general</w:t>
            </w:r>
          </w:p>
        </w:tc>
        <w:tc>
          <w:tcPr>
            <w:tcW w:w="280" w:type="dxa"/>
            <w:vAlign w:val="bottom"/>
          </w:tcPr>
          <w:p>
            <w:pPr>
              <w:spacing w:after="0"/>
              <w:rPr>
                <w:sz w:val="12"/>
                <w:szCs w:val="12"/>
                <w:color w:val="auto"/>
              </w:rPr>
            </w:pPr>
          </w:p>
        </w:tc>
        <w:tc>
          <w:tcPr>
            <w:tcW w:w="9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3"/>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99"/>
              </w:rPr>
              <w:t>Cost of</w:t>
            </w:r>
          </w:p>
        </w:tc>
        <w:tc>
          <w:tcPr>
            <w:tcW w:w="400" w:type="dxa"/>
            <w:vAlign w:val="bottom"/>
          </w:tcPr>
          <w:p>
            <w:pPr>
              <w:spacing w:after="0"/>
              <w:rPr>
                <w:sz w:val="12"/>
                <w:szCs w:val="12"/>
                <w:color w:val="auto"/>
              </w:rPr>
            </w:pPr>
          </w:p>
        </w:tc>
        <w:tc>
          <w:tcPr>
            <w:tcW w:w="940" w:type="dxa"/>
            <w:vAlign w:val="bottom"/>
          </w:tcPr>
          <w:p>
            <w:pPr>
              <w:jc w:val="center"/>
              <w:ind w:right="448"/>
              <w:spacing w:after="0" w:line="145"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34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rPr>
              <w:t>administrative</w:t>
            </w:r>
          </w:p>
        </w:tc>
        <w:tc>
          <w:tcPr>
            <w:tcW w:w="124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7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Financial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vMerge w:val="continue"/>
          </w:tcPr>
          <w:p>
            <w:pPr>
              <w:spacing w:after="0"/>
              <w:rPr>
                <w:sz w:val="16"/>
                <w:szCs w:val="16"/>
                <w:color w:val="auto"/>
              </w:rPr>
            </w:pPr>
          </w:p>
        </w:tc>
        <w:tc>
          <w:tcPr>
            <w:tcW w:w="1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1340" w:type="dxa"/>
            <w:vAlign w:val="bottom"/>
            <w:tcBorders>
              <w:bottom w:val="single" w:sz="8" w:color="D7282F"/>
            </w:tcBorders>
            <w:gridSpan w:val="2"/>
          </w:tcPr>
          <w:p>
            <w:pPr>
              <w:jc w:val="center"/>
              <w:ind w:right="48"/>
              <w:spacing w:after="0"/>
              <w:rPr>
                <w:sz w:val="20"/>
                <w:szCs w:val="20"/>
                <w:color w:val="auto"/>
              </w:rPr>
            </w:pPr>
            <w:r>
              <w:rPr>
                <w:rFonts w:ascii="Arial" w:cs="Arial" w:eastAsia="Arial" w:hAnsi="Arial"/>
                <w:sz w:val="14"/>
                <w:szCs w:val="14"/>
                <w:b w:val="1"/>
                <w:bCs w:val="1"/>
                <w:color w:val="auto"/>
              </w:rPr>
              <w:t>expenses</w:t>
            </w:r>
          </w:p>
        </w:tc>
        <w:tc>
          <w:tcPr>
            <w:tcW w:w="1240" w:type="dxa"/>
            <w:vAlign w:val="bottom"/>
            <w:tcBorders>
              <w:bottom w:val="single" w:sz="8" w:color="D7282F"/>
            </w:tcBorders>
            <w:gridSpan w:val="2"/>
          </w:tcPr>
          <w:p>
            <w:pPr>
              <w:jc w:val="center"/>
              <w:ind w:right="128"/>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w w:val="99"/>
              </w:rPr>
              <w:t>Charges</w:t>
            </w:r>
          </w:p>
        </w:tc>
        <w:tc>
          <w:tcPr>
            <w:tcW w:w="3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BCBDC0"/>
            </w:tcBorders>
            <w:gridSpan w:val="2"/>
          </w:tcPr>
          <w:p>
            <w:pPr>
              <w:ind w:left="40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8,953</w:t>
            </w: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4,673</w:t>
            </w:r>
          </w:p>
        </w:tc>
        <w:tc>
          <w:tcPr>
            <w:tcW w:w="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1,373</w:t>
            </w:r>
          </w:p>
        </w:tc>
        <w:tc>
          <w:tcPr>
            <w:tcW w:w="4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1,306</w:t>
            </w:r>
          </w:p>
        </w:tc>
        <w:tc>
          <w:tcPr>
            <w:tcW w:w="2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(190)</w:t>
            </w:r>
          </w:p>
        </w:tc>
        <w:tc>
          <w:tcPr>
            <w:tcW w:w="840" w:type="dxa"/>
            <w:vAlign w:val="bottom"/>
            <w:tcBorders>
              <w:bottom w:val="single" w:sz="8" w:color="BCBDC0"/>
            </w:tcBorders>
            <w:gridSpan w:val="2"/>
          </w:tcPr>
          <w:p>
            <w:pPr>
              <w:jc w:val="right"/>
              <w:ind w:right="5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2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4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36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comprehensive income into income</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vMerge w:val="continue"/>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Hedged items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Derivatives designated as hedges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2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4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excluded from effectiveness testing</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40" w:type="dxa"/>
            <w:vAlign w:val="bottom"/>
            <w:gridSpan w:val="2"/>
          </w:tcPr>
          <w:p>
            <w:pPr>
              <w:ind w:left="360"/>
              <w:spacing w:after="0" w:line="145" w:lineRule="exact"/>
              <w:rPr>
                <w:sz w:val="20"/>
                <w:szCs w:val="20"/>
                <w:color w:val="auto"/>
              </w:rPr>
            </w:pPr>
            <w:r>
              <w:rPr>
                <w:rFonts w:ascii="Arial" w:cs="Arial" w:eastAsia="Arial" w:hAnsi="Arial"/>
                <w:sz w:val="14"/>
                <w:szCs w:val="14"/>
                <w:color w:val="auto"/>
              </w:rPr>
              <w:t>recognized in earnings using an amortization</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approach</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vMerge w:val="continue"/>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Gain or (loss) on derivatives not designated as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281</w:t>
            </w:r>
          </w:p>
        </w:tc>
        <w:tc>
          <w:tcPr>
            <w:tcW w:w="120" w:type="dxa"/>
            <w:vAlign w:val="bottom"/>
            <w:tcBorders>
              <w:bottom w:val="single" w:sz="8" w:color="D7282F"/>
            </w:tcBorders>
          </w:tcPr>
          <w:p>
            <w:pPr>
              <w:spacing w:after="0"/>
              <w:rPr>
                <w:sz w:val="16"/>
                <w:szCs w:val="16"/>
                <w:color w:val="auto"/>
              </w:rPr>
            </w:pPr>
          </w:p>
        </w:tc>
        <w:tc>
          <w:tcPr>
            <w:tcW w:w="720" w:type="dxa"/>
            <w:vAlign w:val="bottom"/>
            <w:tcBorders>
              <w:bottom w:val="single" w:sz="8" w:color="DC202E"/>
            </w:tcBorders>
          </w:tcPr>
          <w:p>
            <w:pPr>
              <w:spacing w:after="0"/>
              <w:rPr>
                <w:sz w:val="16"/>
                <w:szCs w:val="16"/>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8"/>
        </w:trPr>
        <w:tc>
          <w:tcPr>
            <w:tcW w:w="3780" w:type="dxa"/>
            <w:vAlign w:val="bottom"/>
          </w:tcPr>
          <w:p>
            <w:pPr>
              <w:spacing w:after="0"/>
              <w:rPr>
                <w:sz w:val="24"/>
                <w:szCs w:val="24"/>
                <w:color w:val="auto"/>
              </w:rPr>
            </w:pPr>
          </w:p>
        </w:tc>
        <w:tc>
          <w:tcPr>
            <w:tcW w:w="560" w:type="dxa"/>
            <w:vAlign w:val="bottom"/>
            <w:tcBorders>
              <w:bottom w:val="single" w:sz="8" w:color="D7282F"/>
            </w:tcBorders>
          </w:tcPr>
          <w:p>
            <w:pPr>
              <w:spacing w:after="0"/>
              <w:rPr>
                <w:sz w:val="24"/>
                <w:szCs w:val="24"/>
                <w:color w:val="auto"/>
              </w:rPr>
            </w:pPr>
          </w:p>
        </w:tc>
        <w:tc>
          <w:tcPr>
            <w:tcW w:w="70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spacing w:after="0"/>
              <w:rPr>
                <w:sz w:val="24"/>
                <w:szCs w:val="24"/>
                <w:color w:val="auto"/>
              </w:rPr>
            </w:pPr>
          </w:p>
        </w:tc>
        <w:tc>
          <w:tcPr>
            <w:tcW w:w="2620" w:type="dxa"/>
            <w:vAlign w:val="bottom"/>
            <w:tcBorders>
              <w:bottom w:val="single" w:sz="8" w:color="D7282F"/>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 2021</w:t>
            </w:r>
          </w:p>
        </w:tc>
        <w:tc>
          <w:tcPr>
            <w:tcW w:w="28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720" w:type="dxa"/>
            <w:vAlign w:val="bottom"/>
            <w:tcBorders>
              <w:bottom w:val="single" w:sz="8" w:color="D7282F"/>
            </w:tcBorders>
          </w:tcPr>
          <w:p>
            <w:pPr>
              <w:spacing w:after="0"/>
              <w:rPr>
                <w:sz w:val="24"/>
                <w:szCs w:val="24"/>
                <w:color w:val="auto"/>
              </w:rPr>
            </w:pPr>
          </w:p>
        </w:tc>
        <w:tc>
          <w:tcPr>
            <w:tcW w:w="3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gridSpan w:val="2"/>
          </w:tcPr>
          <w:p>
            <w:pPr>
              <w:jc w:val="center"/>
              <w:ind w:right="48"/>
              <w:spacing w:after="0" w:line="143" w:lineRule="exact"/>
              <w:rPr>
                <w:sz w:val="20"/>
                <w:szCs w:val="20"/>
                <w:color w:val="auto"/>
              </w:rPr>
            </w:pPr>
            <w:r>
              <w:rPr>
                <w:rFonts w:ascii="Arial" w:cs="Arial" w:eastAsia="Arial" w:hAnsi="Arial"/>
                <w:sz w:val="14"/>
                <w:szCs w:val="14"/>
                <w:b w:val="1"/>
                <w:bCs w:val="1"/>
                <w:color w:val="auto"/>
              </w:rPr>
              <w:t>Selling, general</w:t>
            </w:r>
          </w:p>
        </w:tc>
        <w:tc>
          <w:tcPr>
            <w:tcW w:w="280" w:type="dxa"/>
            <w:vAlign w:val="bottom"/>
          </w:tcPr>
          <w:p>
            <w:pPr>
              <w:spacing w:after="0"/>
              <w:rPr>
                <w:sz w:val="12"/>
                <w:szCs w:val="12"/>
                <w:color w:val="auto"/>
              </w:rPr>
            </w:pPr>
          </w:p>
        </w:tc>
        <w:tc>
          <w:tcPr>
            <w:tcW w:w="9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3"/>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99"/>
              </w:rPr>
              <w:t>Cost of</w:t>
            </w:r>
          </w:p>
        </w:tc>
        <w:tc>
          <w:tcPr>
            <w:tcW w:w="400" w:type="dxa"/>
            <w:vAlign w:val="bottom"/>
          </w:tcPr>
          <w:p>
            <w:pPr>
              <w:spacing w:after="0"/>
              <w:rPr>
                <w:sz w:val="12"/>
                <w:szCs w:val="12"/>
                <w:color w:val="auto"/>
              </w:rPr>
            </w:pPr>
          </w:p>
        </w:tc>
        <w:tc>
          <w:tcPr>
            <w:tcW w:w="940" w:type="dxa"/>
            <w:vAlign w:val="bottom"/>
          </w:tcPr>
          <w:p>
            <w:pPr>
              <w:jc w:val="center"/>
              <w:ind w:right="448"/>
              <w:spacing w:after="0" w:line="149"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34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rPr>
              <w:t>administrative</w:t>
            </w:r>
          </w:p>
        </w:tc>
        <w:tc>
          <w:tcPr>
            <w:tcW w:w="124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7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Financial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vMerge w:val="continue"/>
          </w:tcPr>
          <w:p>
            <w:pPr>
              <w:spacing w:after="0"/>
              <w:rPr>
                <w:sz w:val="16"/>
                <w:szCs w:val="16"/>
                <w:color w:val="auto"/>
              </w:rPr>
            </w:pPr>
          </w:p>
        </w:tc>
        <w:tc>
          <w:tcPr>
            <w:tcW w:w="1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1340" w:type="dxa"/>
            <w:vAlign w:val="bottom"/>
            <w:tcBorders>
              <w:bottom w:val="single" w:sz="8" w:color="D7282F"/>
            </w:tcBorders>
            <w:gridSpan w:val="2"/>
          </w:tcPr>
          <w:p>
            <w:pPr>
              <w:jc w:val="center"/>
              <w:ind w:right="48"/>
              <w:spacing w:after="0"/>
              <w:rPr>
                <w:sz w:val="20"/>
                <w:szCs w:val="20"/>
                <w:color w:val="auto"/>
              </w:rPr>
            </w:pPr>
            <w:r>
              <w:rPr>
                <w:rFonts w:ascii="Arial" w:cs="Arial" w:eastAsia="Arial" w:hAnsi="Arial"/>
                <w:sz w:val="14"/>
                <w:szCs w:val="14"/>
                <w:b w:val="1"/>
                <w:bCs w:val="1"/>
                <w:color w:val="auto"/>
              </w:rPr>
              <w:t>expenses</w:t>
            </w:r>
          </w:p>
        </w:tc>
        <w:tc>
          <w:tcPr>
            <w:tcW w:w="1240" w:type="dxa"/>
            <w:vAlign w:val="bottom"/>
            <w:tcBorders>
              <w:bottom w:val="single" w:sz="8" w:color="D7282F"/>
            </w:tcBorders>
            <w:gridSpan w:val="2"/>
          </w:tcPr>
          <w:p>
            <w:pPr>
              <w:jc w:val="center"/>
              <w:ind w:right="128"/>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w w:val="99"/>
              </w:rPr>
              <w:t>Charges</w:t>
            </w:r>
          </w:p>
        </w:tc>
        <w:tc>
          <w:tcPr>
            <w:tcW w:w="3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BCBDC0"/>
            </w:tcBorders>
            <w:gridSpan w:val="2"/>
          </w:tcPr>
          <w:p>
            <w:pPr>
              <w:ind w:left="40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8,808</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4,734</w:t>
            </w:r>
          </w:p>
        </w:tc>
        <w:tc>
          <w:tcPr>
            <w:tcW w:w="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1,269</w:t>
            </w:r>
          </w:p>
        </w:tc>
        <w:tc>
          <w:tcPr>
            <w:tcW w:w="4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1,207</w:t>
            </w:r>
          </w:p>
        </w:tc>
        <w:tc>
          <w:tcPr>
            <w:tcW w:w="2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(366)</w:t>
            </w:r>
          </w:p>
        </w:tc>
        <w:tc>
          <w:tcPr>
            <w:tcW w:w="840" w:type="dxa"/>
            <w:vAlign w:val="bottom"/>
            <w:tcBorders>
              <w:bottom w:val="single" w:sz="8" w:color="BCBDC0"/>
            </w:tcBorders>
            <w:gridSpan w:val="2"/>
          </w:tcPr>
          <w:p>
            <w:pPr>
              <w:jc w:val="right"/>
              <w:ind w:right="5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2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40" w:type="dxa"/>
            <w:vAlign w:val="bottom"/>
            <w:gridSpan w:val="2"/>
          </w:tcPr>
          <w:p>
            <w:pPr>
              <w:ind w:left="360"/>
              <w:spacing w:after="0" w:line="146" w:lineRule="exact"/>
              <w:rPr>
                <w:sz w:val="20"/>
                <w:szCs w:val="20"/>
                <w:color w:val="auto"/>
              </w:rPr>
            </w:pPr>
            <w:r>
              <w:rPr>
                <w:rFonts w:ascii="Arial" w:cs="Arial" w:eastAsia="Arial" w:hAnsi="Arial"/>
                <w:sz w:val="14"/>
                <w:szCs w:val="14"/>
                <w:color w:val="auto"/>
              </w:rPr>
              <w:t>Amount reclassified from accumulated other</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comprehensive income into income</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vMerge w:val="continue"/>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Hedged items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Derivatives designated as hedges</w:t>
            </w:r>
          </w:p>
        </w:tc>
        <w:tc>
          <w:tcPr>
            <w:tcW w:w="7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0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28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120" w:type="dxa"/>
            <w:vAlign w:val="bottom"/>
            <w:tcBorders>
              <w:bottom w:val="single" w:sz="8" w:color="BCBDC0"/>
            </w:tcBorders>
          </w:tcPr>
          <w:p>
            <w:pPr>
              <w:spacing w:after="0"/>
              <w:rPr>
                <w:sz w:val="17"/>
                <w:szCs w:val="17"/>
                <w:color w:val="auto"/>
              </w:rPr>
            </w:pPr>
          </w:p>
        </w:tc>
        <w:tc>
          <w:tcPr>
            <w:tcW w:w="7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40" w:type="dxa"/>
            <w:vAlign w:val="bottom"/>
            <w:gridSpan w:val="2"/>
          </w:tcPr>
          <w:p>
            <w:pPr>
              <w:ind w:left="360"/>
              <w:spacing w:after="0" w:line="146" w:lineRule="exact"/>
              <w:rPr>
                <w:sz w:val="20"/>
                <w:szCs w:val="20"/>
                <w:color w:val="auto"/>
              </w:rPr>
            </w:pPr>
            <w:r>
              <w:rPr>
                <w:rFonts w:ascii="Arial" w:cs="Arial" w:eastAsia="Arial" w:hAnsi="Arial"/>
                <w:sz w:val="14"/>
                <w:szCs w:val="14"/>
                <w:color w:val="auto"/>
              </w:rPr>
              <w:t>Amount excluded from effectiveness testing</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340" w:type="dxa"/>
            <w:vAlign w:val="bottom"/>
            <w:gridSpan w:val="2"/>
          </w:tcPr>
          <w:p>
            <w:pPr>
              <w:ind w:left="360"/>
              <w:spacing w:after="0" w:line="139" w:lineRule="exact"/>
              <w:rPr>
                <w:sz w:val="20"/>
                <w:szCs w:val="20"/>
                <w:color w:val="auto"/>
              </w:rPr>
            </w:pPr>
            <w:r>
              <w:rPr>
                <w:rFonts w:ascii="Arial" w:cs="Arial" w:eastAsia="Arial" w:hAnsi="Arial"/>
                <w:sz w:val="14"/>
                <w:szCs w:val="14"/>
                <w:color w:val="auto"/>
              </w:rPr>
              <w:t>recognized in earnings using an amortization</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4"/>
        </w:trPr>
        <w:tc>
          <w:tcPr>
            <w:tcW w:w="434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approach</w:t>
            </w:r>
          </w:p>
        </w:tc>
        <w:tc>
          <w:tcPr>
            <w:tcW w:w="70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vMerge w:val="continue"/>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4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Gain or (loss) on derivatives not designated as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0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120" w:type="dxa"/>
            <w:vAlign w:val="bottom"/>
            <w:tcBorders>
              <w:bottom w:val="single" w:sz="8" w:color="BCBDC0"/>
            </w:tcBorders>
          </w:tcPr>
          <w:p>
            <w:pPr>
              <w:spacing w:after="0"/>
              <w:rPr>
                <w:sz w:val="16"/>
                <w:szCs w:val="16"/>
                <w:color w:val="auto"/>
              </w:rPr>
            </w:pPr>
          </w:p>
        </w:tc>
        <w:tc>
          <w:tcPr>
            <w:tcW w:w="7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color w:val="auto"/>
              </w:rPr>
              <w:t>Foreign currency exchange contracts</w:t>
            </w: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2540" w:type="dxa"/>
            <w:vAlign w:val="bottom"/>
            <w:tcBorders>
              <w:bottom w:val="single" w:sz="8" w:color="D7282F"/>
            </w:tcBorders>
            <w:gridSpan w:val="4"/>
          </w:tcPr>
          <w:p>
            <w:pPr>
              <w:ind w:left="100"/>
              <w:spacing w:after="0"/>
              <w:rPr>
                <w:sz w:val="20"/>
                <w:szCs w:val="20"/>
                <w:color w:val="auto"/>
              </w:rPr>
            </w:pPr>
            <w:r>
              <w:rPr>
                <w:rFonts w:ascii="Arial" w:cs="Arial" w:eastAsia="Arial" w:hAnsi="Arial"/>
                <w:sz w:val="14"/>
                <w:szCs w:val="14"/>
                <w:b w:val="1"/>
                <w:bCs w:val="1"/>
                <w:color w:val="auto"/>
              </w:rPr>
              <w:t>Six Months Ended June 30, 2022</w:t>
            </w:r>
          </w:p>
        </w:tc>
        <w:tc>
          <w:tcPr>
            <w:tcW w:w="30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gridSpan w:val="2"/>
          </w:tcPr>
          <w:p>
            <w:pPr>
              <w:jc w:val="center"/>
              <w:ind w:right="28"/>
              <w:spacing w:after="0" w:line="147" w:lineRule="exact"/>
              <w:rPr>
                <w:sz w:val="20"/>
                <w:szCs w:val="20"/>
                <w:color w:val="auto"/>
              </w:rPr>
            </w:pPr>
            <w:r>
              <w:rPr>
                <w:rFonts w:ascii="Arial" w:cs="Arial" w:eastAsia="Arial" w:hAnsi="Arial"/>
                <w:sz w:val="14"/>
                <w:szCs w:val="14"/>
                <w:b w:val="1"/>
                <w:bCs w:val="1"/>
                <w:color w:val="auto"/>
              </w:rPr>
              <w:t>Selling, general</w:t>
            </w:r>
          </w:p>
        </w:tc>
        <w:tc>
          <w:tcPr>
            <w:tcW w:w="300" w:type="dxa"/>
            <w:vAlign w:val="bottom"/>
          </w:tcPr>
          <w:p>
            <w:pPr>
              <w:spacing w:after="0"/>
              <w:rPr>
                <w:sz w:val="12"/>
                <w:szCs w:val="12"/>
                <w:color w:val="auto"/>
              </w:rPr>
            </w:pPr>
          </w:p>
        </w:tc>
        <w:tc>
          <w:tcPr>
            <w:tcW w:w="9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Cost of</w:t>
            </w:r>
          </w:p>
        </w:tc>
        <w:tc>
          <w:tcPr>
            <w:tcW w:w="400" w:type="dxa"/>
            <w:vAlign w:val="bottom"/>
          </w:tcPr>
          <w:p>
            <w:pPr>
              <w:spacing w:after="0"/>
              <w:rPr>
                <w:sz w:val="12"/>
                <w:szCs w:val="12"/>
                <w:color w:val="auto"/>
              </w:rPr>
            </w:pPr>
          </w:p>
        </w:tc>
        <w:tc>
          <w:tcPr>
            <w:tcW w:w="920" w:type="dxa"/>
            <w:vAlign w:val="bottom"/>
          </w:tcPr>
          <w:p>
            <w:pPr>
              <w:jc w:val="center"/>
              <w:ind w:right="428"/>
              <w:spacing w:after="0" w:line="145" w:lineRule="exact"/>
              <w:rPr>
                <w:sz w:val="20"/>
                <w:szCs w:val="20"/>
                <w:color w:val="auto"/>
              </w:rPr>
            </w:pPr>
            <w:r>
              <w:rPr>
                <w:rFonts w:ascii="Arial" w:cs="Arial" w:eastAsia="Arial" w:hAnsi="Arial"/>
                <w:sz w:val="14"/>
                <w:szCs w:val="14"/>
                <w:b w:val="1"/>
                <w:bCs w:val="1"/>
                <w:color w:val="auto"/>
              </w:rPr>
              <w:t>and</w:t>
            </w: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4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3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administrative</w:t>
            </w:r>
          </w:p>
        </w:tc>
        <w:tc>
          <w:tcPr>
            <w:tcW w:w="126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rPr>
              <w:t>Financial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vMerge w:val="continue"/>
          </w:tcPr>
          <w:p>
            <w:pPr>
              <w:spacing w:after="0"/>
              <w:rPr>
                <w:sz w:val="16"/>
                <w:szCs w:val="16"/>
                <w:color w:val="auto"/>
              </w:rPr>
            </w:pP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20" w:type="dxa"/>
            <w:vAlign w:val="bottom"/>
            <w:tcBorders>
              <w:bottom w:val="single" w:sz="8" w:color="D7282F"/>
            </w:tcBorders>
            <w:gridSpan w:val="2"/>
          </w:tcPr>
          <w:p>
            <w:pPr>
              <w:ind w:left="100"/>
              <w:spacing w:after="0"/>
              <w:rPr>
                <w:sz w:val="20"/>
                <w:szCs w:val="20"/>
                <w:color w:val="auto"/>
              </w:rPr>
            </w:pPr>
            <w:r>
              <w:rPr>
                <w:rFonts w:ascii="Arial" w:cs="Arial" w:eastAsia="Arial" w:hAnsi="Arial"/>
                <w:sz w:val="14"/>
                <w:szCs w:val="14"/>
                <w:b w:val="1"/>
                <w:bCs w:val="1"/>
                <w:color w:val="auto"/>
              </w:rPr>
              <w:t>Services Sold</w:t>
            </w:r>
          </w:p>
        </w:tc>
        <w:tc>
          <w:tcPr>
            <w:tcW w:w="1320" w:type="dxa"/>
            <w:vAlign w:val="bottom"/>
            <w:tcBorders>
              <w:bottom w:val="single" w:sz="8" w:color="D7282F"/>
            </w:tcBorders>
            <w:gridSpan w:val="2"/>
          </w:tcPr>
          <w:p>
            <w:pPr>
              <w:jc w:val="center"/>
              <w:ind w:right="28"/>
              <w:spacing w:after="0"/>
              <w:rPr>
                <w:sz w:val="20"/>
                <w:szCs w:val="20"/>
                <w:color w:val="auto"/>
              </w:rPr>
            </w:pPr>
            <w:r>
              <w:rPr>
                <w:rFonts w:ascii="Arial" w:cs="Arial" w:eastAsia="Arial" w:hAnsi="Arial"/>
                <w:sz w:val="14"/>
                <w:szCs w:val="14"/>
                <w:b w:val="1"/>
                <w:bCs w:val="1"/>
                <w:color w:val="auto"/>
              </w:rPr>
              <w:t>expenses</w:t>
            </w:r>
          </w:p>
        </w:tc>
        <w:tc>
          <w:tcPr>
            <w:tcW w:w="1260" w:type="dxa"/>
            <w:vAlign w:val="bottom"/>
            <w:tcBorders>
              <w:bottom w:val="single" w:sz="8" w:color="D7282F"/>
            </w:tcBorders>
            <w:gridSpan w:val="2"/>
          </w:tcPr>
          <w:p>
            <w:pPr>
              <w:jc w:val="center"/>
              <w:ind w:right="10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w w:val="99"/>
              </w:rPr>
              <w:t>Charges</w:t>
            </w:r>
          </w:p>
        </w:tc>
        <w:tc>
          <w:tcPr>
            <w:tcW w:w="3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Borders>
              <w:bottom w:val="single" w:sz="8" w:color="BCBDC0"/>
            </w:tcBorders>
            <w:gridSpan w:val="2"/>
          </w:tcPr>
          <w:p>
            <w:pPr>
              <w:ind w:left="40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17,329</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9,046</w:t>
            </w:r>
          </w:p>
        </w:tc>
        <w:tc>
          <w:tcPr>
            <w:tcW w:w="300" w:type="dxa"/>
            <w:vAlign w:val="bottom"/>
            <w:tcBorders>
              <w:bottom w:val="single" w:sz="8" w:color="BCBDC0"/>
            </w:tcBorders>
          </w:tcPr>
          <w:p>
            <w:pPr>
              <w:ind w:left="2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2,674</w:t>
            </w:r>
          </w:p>
        </w:tc>
        <w:tc>
          <w:tcPr>
            <w:tcW w:w="4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2,737</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(509)</w:t>
            </w:r>
          </w:p>
        </w:tc>
        <w:tc>
          <w:tcPr>
            <w:tcW w:w="840" w:type="dxa"/>
            <w:vAlign w:val="bottom"/>
            <w:tcBorders>
              <w:bottom w:val="single" w:sz="8" w:color="BCBDC0"/>
            </w:tcBorders>
          </w:tcPr>
          <w:p>
            <w:pPr>
              <w:jc w:val="right"/>
              <w:ind w:right="5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4"/>
              </w:rPr>
              <w:t>172</w:t>
            </w:r>
          </w:p>
        </w:tc>
        <w:tc>
          <w:tcPr>
            <w:tcW w:w="0" w:type="dxa"/>
            <w:vAlign w:val="bottom"/>
          </w:tcPr>
          <w:p>
            <w:pPr>
              <w:spacing w:after="0"/>
              <w:rPr>
                <w:sz w:val="1"/>
                <w:szCs w:val="1"/>
                <w:color w:val="auto"/>
              </w:rPr>
            </w:pPr>
          </w:p>
        </w:tc>
      </w:tr>
      <w:tr>
        <w:trPr>
          <w:trHeight w:val="199"/>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4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0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comprehensive income into income</w:t>
            </w:r>
          </w:p>
        </w:tc>
        <w:tc>
          <w:tcPr>
            <w:tcW w:w="74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Hedged items</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4"/>
              </w:rPr>
              <w:t>168</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Derivatives designated as hedges</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99"/>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4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00" w:type="dxa"/>
            <w:vAlign w:val="bottom"/>
            <w:gridSpan w:val="2"/>
          </w:tcPr>
          <w:p>
            <w:pPr>
              <w:ind w:left="360"/>
              <w:spacing w:after="0" w:line="151" w:lineRule="exact"/>
              <w:rPr>
                <w:sz w:val="20"/>
                <w:szCs w:val="20"/>
                <w:color w:val="auto"/>
              </w:rPr>
            </w:pPr>
            <w:r>
              <w:rPr>
                <w:rFonts w:ascii="Arial" w:cs="Arial" w:eastAsia="Arial" w:hAnsi="Arial"/>
                <w:sz w:val="14"/>
                <w:szCs w:val="14"/>
                <w:color w:val="auto"/>
              </w:rPr>
              <w:t>Amount excluded from effectiveness testing</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00" w:type="dxa"/>
            <w:vAlign w:val="bottom"/>
            <w:gridSpan w:val="2"/>
          </w:tcPr>
          <w:p>
            <w:pPr>
              <w:ind w:left="360"/>
              <w:spacing w:after="0" w:line="145" w:lineRule="exact"/>
              <w:rPr>
                <w:sz w:val="20"/>
                <w:szCs w:val="20"/>
                <w:color w:val="auto"/>
              </w:rPr>
            </w:pPr>
            <w:r>
              <w:rPr>
                <w:rFonts w:ascii="Arial" w:cs="Arial" w:eastAsia="Arial" w:hAnsi="Arial"/>
                <w:sz w:val="14"/>
                <w:szCs w:val="14"/>
                <w:color w:val="auto"/>
              </w:rPr>
              <w:t>recognized in earnings using an amortization</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approach</w:t>
            </w:r>
          </w:p>
        </w:tc>
        <w:tc>
          <w:tcPr>
            <w:tcW w:w="74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Gain or (loss) on derivatives not designated as</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0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347</w:t>
            </w:r>
          </w:p>
        </w:tc>
        <w:tc>
          <w:tcPr>
            <w:tcW w:w="8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8"/>
        </w:trPr>
        <w:tc>
          <w:tcPr>
            <w:tcW w:w="3780" w:type="dxa"/>
            <w:vAlign w:val="bottom"/>
          </w:tcPr>
          <w:p>
            <w:pPr>
              <w:spacing w:after="0"/>
              <w:rPr>
                <w:sz w:val="24"/>
                <w:szCs w:val="24"/>
                <w:color w:val="auto"/>
              </w:rPr>
            </w:pPr>
          </w:p>
        </w:tc>
        <w:tc>
          <w:tcPr>
            <w:tcW w:w="520" w:type="dxa"/>
            <w:vAlign w:val="bottom"/>
            <w:tcBorders>
              <w:bottom w:val="single" w:sz="8" w:color="D7282F"/>
            </w:tcBorders>
          </w:tcPr>
          <w:p>
            <w:pPr>
              <w:spacing w:after="0"/>
              <w:rPr>
                <w:sz w:val="24"/>
                <w:szCs w:val="24"/>
                <w:color w:val="auto"/>
              </w:rPr>
            </w:pPr>
          </w:p>
        </w:tc>
        <w:tc>
          <w:tcPr>
            <w:tcW w:w="74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2540" w:type="dxa"/>
            <w:vAlign w:val="bottom"/>
            <w:tcBorders>
              <w:bottom w:val="single" w:sz="8" w:color="D7282F"/>
            </w:tcBorders>
            <w:gridSpan w:val="4"/>
          </w:tcPr>
          <w:p>
            <w:pPr>
              <w:ind w:left="100"/>
              <w:spacing w:after="0"/>
              <w:rPr>
                <w:sz w:val="20"/>
                <w:szCs w:val="20"/>
                <w:color w:val="auto"/>
              </w:rPr>
            </w:pPr>
            <w:r>
              <w:rPr>
                <w:rFonts w:ascii="Arial" w:cs="Arial" w:eastAsia="Arial" w:hAnsi="Arial"/>
                <w:sz w:val="14"/>
                <w:szCs w:val="14"/>
                <w:b w:val="1"/>
                <w:bCs w:val="1"/>
                <w:color w:val="auto"/>
              </w:rPr>
              <w:t>Six Months Ended June 30, 2021</w:t>
            </w:r>
          </w:p>
        </w:tc>
        <w:tc>
          <w:tcPr>
            <w:tcW w:w="30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840" w:type="dxa"/>
            <w:vAlign w:val="bottom"/>
            <w:tcBorders>
              <w:bottom w:val="single" w:sz="8" w:color="D7282F"/>
            </w:tcBorders>
          </w:tcPr>
          <w:p>
            <w:pPr>
              <w:spacing w:after="0"/>
              <w:rPr>
                <w:sz w:val="24"/>
                <w:szCs w:val="24"/>
                <w:color w:val="auto"/>
              </w:rPr>
            </w:pPr>
          </w:p>
        </w:tc>
        <w:tc>
          <w:tcPr>
            <w:tcW w:w="3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gridSpan w:val="2"/>
          </w:tcPr>
          <w:p>
            <w:pPr>
              <w:jc w:val="center"/>
              <w:ind w:right="28"/>
              <w:spacing w:after="0" w:line="143" w:lineRule="exact"/>
              <w:rPr>
                <w:sz w:val="20"/>
                <w:szCs w:val="20"/>
                <w:color w:val="auto"/>
              </w:rPr>
            </w:pPr>
            <w:r>
              <w:rPr>
                <w:rFonts w:ascii="Arial" w:cs="Arial" w:eastAsia="Arial" w:hAnsi="Arial"/>
                <w:sz w:val="14"/>
                <w:szCs w:val="14"/>
                <w:b w:val="1"/>
                <w:bCs w:val="1"/>
                <w:color w:val="auto"/>
              </w:rPr>
              <w:t>Selling, general</w:t>
            </w:r>
          </w:p>
        </w:tc>
        <w:tc>
          <w:tcPr>
            <w:tcW w:w="300" w:type="dxa"/>
            <w:vAlign w:val="bottom"/>
          </w:tcPr>
          <w:p>
            <w:pPr>
              <w:spacing w:after="0"/>
              <w:rPr>
                <w:sz w:val="12"/>
                <w:szCs w:val="12"/>
                <w:color w:val="auto"/>
              </w:rPr>
            </w:pPr>
          </w:p>
        </w:tc>
        <w:tc>
          <w:tcPr>
            <w:tcW w:w="9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Cost of</w:t>
            </w:r>
          </w:p>
        </w:tc>
        <w:tc>
          <w:tcPr>
            <w:tcW w:w="400" w:type="dxa"/>
            <w:vAlign w:val="bottom"/>
          </w:tcPr>
          <w:p>
            <w:pPr>
              <w:spacing w:after="0"/>
              <w:rPr>
                <w:sz w:val="12"/>
                <w:szCs w:val="12"/>
                <w:color w:val="auto"/>
              </w:rPr>
            </w:pPr>
          </w:p>
        </w:tc>
        <w:tc>
          <w:tcPr>
            <w:tcW w:w="920" w:type="dxa"/>
            <w:vAlign w:val="bottom"/>
          </w:tcPr>
          <w:p>
            <w:pPr>
              <w:jc w:val="center"/>
              <w:ind w:right="428"/>
              <w:spacing w:after="0" w:line="149" w:lineRule="exact"/>
              <w:rPr>
                <w:sz w:val="20"/>
                <w:szCs w:val="20"/>
                <w:color w:val="auto"/>
              </w:rPr>
            </w:pPr>
            <w:r>
              <w:rPr>
                <w:rFonts w:ascii="Arial" w:cs="Arial" w:eastAsia="Arial" w:hAnsi="Arial"/>
                <w:sz w:val="14"/>
                <w:szCs w:val="14"/>
                <w:b w:val="1"/>
                <w:bCs w:val="1"/>
                <w:color w:val="auto"/>
              </w:rPr>
              <w:t>and</w:t>
            </w: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3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administrative</w:t>
            </w:r>
          </w:p>
        </w:tc>
        <w:tc>
          <w:tcPr>
            <w:tcW w:w="126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rPr>
              <w:t>(Income)</w:t>
            </w:r>
          </w:p>
        </w:tc>
        <w:tc>
          <w:tcPr>
            <w:tcW w:w="8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rPr>
              <w:t>Financial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vMerge w:val="continue"/>
          </w:tcPr>
          <w:p>
            <w:pPr>
              <w:spacing w:after="0"/>
              <w:rPr>
                <w:sz w:val="16"/>
                <w:szCs w:val="16"/>
                <w:color w:val="auto"/>
              </w:rPr>
            </w:pP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20" w:type="dxa"/>
            <w:vAlign w:val="bottom"/>
            <w:tcBorders>
              <w:bottom w:val="single" w:sz="8" w:color="D7282F"/>
            </w:tcBorders>
            <w:gridSpan w:val="2"/>
          </w:tcPr>
          <w:p>
            <w:pPr>
              <w:ind w:left="100"/>
              <w:spacing w:after="0"/>
              <w:rPr>
                <w:sz w:val="20"/>
                <w:szCs w:val="20"/>
                <w:color w:val="auto"/>
              </w:rPr>
            </w:pPr>
            <w:r>
              <w:rPr>
                <w:rFonts w:ascii="Arial" w:cs="Arial" w:eastAsia="Arial" w:hAnsi="Arial"/>
                <w:sz w:val="14"/>
                <w:szCs w:val="14"/>
                <w:b w:val="1"/>
                <w:bCs w:val="1"/>
                <w:color w:val="auto"/>
              </w:rPr>
              <w:t>Services Sold</w:t>
            </w:r>
          </w:p>
        </w:tc>
        <w:tc>
          <w:tcPr>
            <w:tcW w:w="1320" w:type="dxa"/>
            <w:vAlign w:val="bottom"/>
            <w:tcBorders>
              <w:bottom w:val="single" w:sz="8" w:color="D7282F"/>
            </w:tcBorders>
            <w:gridSpan w:val="2"/>
          </w:tcPr>
          <w:p>
            <w:pPr>
              <w:jc w:val="center"/>
              <w:ind w:right="28"/>
              <w:spacing w:after="0"/>
              <w:rPr>
                <w:sz w:val="20"/>
                <w:szCs w:val="20"/>
                <w:color w:val="auto"/>
              </w:rPr>
            </w:pPr>
            <w:r>
              <w:rPr>
                <w:rFonts w:ascii="Arial" w:cs="Arial" w:eastAsia="Arial" w:hAnsi="Arial"/>
                <w:sz w:val="14"/>
                <w:szCs w:val="14"/>
                <w:b w:val="1"/>
                <w:bCs w:val="1"/>
                <w:color w:val="auto"/>
              </w:rPr>
              <w:t>expenses</w:t>
            </w:r>
          </w:p>
        </w:tc>
        <w:tc>
          <w:tcPr>
            <w:tcW w:w="1260" w:type="dxa"/>
            <w:vAlign w:val="bottom"/>
            <w:tcBorders>
              <w:bottom w:val="single" w:sz="8" w:color="D7282F"/>
            </w:tcBorders>
            <w:gridSpan w:val="2"/>
          </w:tcPr>
          <w:p>
            <w:pPr>
              <w:jc w:val="center"/>
              <w:ind w:right="108"/>
              <w:spacing w:after="0"/>
              <w:rPr>
                <w:sz w:val="20"/>
                <w:szCs w:val="20"/>
                <w:color w:val="auto"/>
              </w:rPr>
            </w:pPr>
            <w:r>
              <w:rPr>
                <w:rFonts w:ascii="Arial" w:cs="Arial" w:eastAsia="Arial" w:hAnsi="Arial"/>
                <w:sz w:val="14"/>
                <w:szCs w:val="14"/>
                <w:b w:val="1"/>
                <w:bCs w:val="1"/>
                <w:color w:val="auto"/>
              </w:rPr>
              <w:t>Expense</w:t>
            </w:r>
          </w:p>
        </w:tc>
        <w:tc>
          <w:tcPr>
            <w:tcW w:w="84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w w:val="99"/>
              </w:rPr>
              <w:t>Charges</w:t>
            </w:r>
          </w:p>
        </w:tc>
        <w:tc>
          <w:tcPr>
            <w:tcW w:w="3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Borders>
              <w:bottom w:val="single" w:sz="8" w:color="BCBDC0"/>
            </w:tcBorders>
            <w:gridSpan w:val="2"/>
          </w:tcPr>
          <w:p>
            <w:pPr>
              <w:ind w:left="40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17,262</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9,285</w:t>
            </w:r>
          </w:p>
        </w:tc>
        <w:tc>
          <w:tcPr>
            <w:tcW w:w="300" w:type="dxa"/>
            <w:vAlign w:val="bottom"/>
            <w:tcBorders>
              <w:bottom w:val="single" w:sz="8" w:color="BCBDC0"/>
            </w:tcBorders>
          </w:tcPr>
          <w:p>
            <w:pPr>
              <w:ind w:left="2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2,427</w:t>
            </w:r>
          </w:p>
        </w:tc>
        <w:tc>
          <w:tcPr>
            <w:tcW w:w="40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2,443</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(808)</w:t>
            </w:r>
          </w:p>
        </w:tc>
        <w:tc>
          <w:tcPr>
            <w:tcW w:w="840" w:type="dxa"/>
            <w:vAlign w:val="bottom"/>
            <w:tcBorders>
              <w:bottom w:val="single" w:sz="8" w:color="BCBDC0"/>
            </w:tcBorders>
          </w:tcPr>
          <w:p>
            <w:pPr>
              <w:jc w:val="right"/>
              <w:ind w:right="5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4"/>
              </w:rPr>
              <w:t>173</w:t>
            </w:r>
          </w:p>
        </w:tc>
        <w:tc>
          <w:tcPr>
            <w:tcW w:w="0" w:type="dxa"/>
            <w:vAlign w:val="bottom"/>
          </w:tcPr>
          <w:p>
            <w:pPr>
              <w:spacing w:after="0"/>
              <w:rPr>
                <w:sz w:val="1"/>
                <w:szCs w:val="1"/>
                <w:color w:val="auto"/>
              </w:rPr>
            </w:pPr>
          </w:p>
        </w:tc>
      </w:tr>
      <w:tr>
        <w:trPr>
          <w:trHeight w:val="199"/>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74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00" w:type="dxa"/>
            <w:vAlign w:val="bottom"/>
            <w:gridSpan w:val="2"/>
          </w:tcPr>
          <w:p>
            <w:pPr>
              <w:ind w:left="360"/>
              <w:spacing w:after="0" w:line="146" w:lineRule="exact"/>
              <w:rPr>
                <w:sz w:val="20"/>
                <w:szCs w:val="20"/>
                <w:color w:val="auto"/>
              </w:rPr>
            </w:pPr>
            <w:r>
              <w:rPr>
                <w:rFonts w:ascii="Arial" w:cs="Arial" w:eastAsia="Arial" w:hAnsi="Arial"/>
                <w:sz w:val="14"/>
                <w:szCs w:val="14"/>
                <w:color w:val="auto"/>
              </w:rPr>
              <w:t>Amount reclassified from accumulated other</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comprehensive income into income</w:t>
            </w:r>
          </w:p>
        </w:tc>
        <w:tc>
          <w:tcPr>
            <w:tcW w:w="74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Hedged items</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Derivatives designated as hedges</w:t>
            </w: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9"/>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Gain or (loss) on net investment hedges:</w:t>
            </w:r>
          </w:p>
        </w:tc>
        <w:tc>
          <w:tcPr>
            <w:tcW w:w="740" w:type="dxa"/>
            <w:vAlign w:val="bottom"/>
            <w:tcBorders>
              <w:bottom w:val="single" w:sz="8" w:color="BCBDC0"/>
            </w:tcBorders>
          </w:tcPr>
          <w:p>
            <w:pPr>
              <w:spacing w:after="0"/>
              <w:rPr>
                <w:sz w:val="17"/>
                <w:szCs w:val="17"/>
                <w:color w:val="auto"/>
              </w:rPr>
            </w:pPr>
          </w:p>
        </w:tc>
        <w:tc>
          <w:tcPr>
            <w:tcW w:w="32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92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9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30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Borders>
              <w:bottom w:val="single" w:sz="8" w:color="BCBDC0"/>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00" w:type="dxa"/>
            <w:vAlign w:val="bottom"/>
            <w:gridSpan w:val="2"/>
          </w:tcPr>
          <w:p>
            <w:pPr>
              <w:ind w:left="360"/>
              <w:spacing w:after="0" w:line="146" w:lineRule="exact"/>
              <w:rPr>
                <w:sz w:val="20"/>
                <w:szCs w:val="20"/>
                <w:color w:val="auto"/>
              </w:rPr>
            </w:pPr>
            <w:r>
              <w:rPr>
                <w:rFonts w:ascii="Arial" w:cs="Arial" w:eastAsia="Arial" w:hAnsi="Arial"/>
                <w:sz w:val="14"/>
                <w:szCs w:val="14"/>
                <w:color w:val="auto"/>
              </w:rPr>
              <w:t>Amount excluded from effectiveness testing</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300" w:type="dxa"/>
            <w:vAlign w:val="bottom"/>
            <w:gridSpan w:val="2"/>
          </w:tcPr>
          <w:p>
            <w:pPr>
              <w:ind w:left="360"/>
              <w:spacing w:after="0" w:line="139" w:lineRule="exact"/>
              <w:rPr>
                <w:sz w:val="20"/>
                <w:szCs w:val="20"/>
                <w:color w:val="auto"/>
              </w:rPr>
            </w:pPr>
            <w:r>
              <w:rPr>
                <w:rFonts w:ascii="Arial" w:cs="Arial" w:eastAsia="Arial" w:hAnsi="Arial"/>
                <w:sz w:val="14"/>
                <w:szCs w:val="14"/>
                <w:color w:val="auto"/>
              </w:rPr>
              <w:t>recognized in earnings using an amortization</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4"/>
        </w:trPr>
        <w:tc>
          <w:tcPr>
            <w:tcW w:w="4300" w:type="dxa"/>
            <w:vAlign w:val="bottom"/>
            <w:tcBorders>
              <w:bottom w:val="single" w:sz="8" w:color="BCBDC0"/>
            </w:tcBorders>
            <w:gridSpan w:val="2"/>
          </w:tcPr>
          <w:p>
            <w:pPr>
              <w:ind w:left="360"/>
              <w:spacing w:after="0"/>
              <w:rPr>
                <w:sz w:val="20"/>
                <w:szCs w:val="20"/>
                <w:color w:val="auto"/>
              </w:rPr>
            </w:pPr>
            <w:r>
              <w:rPr>
                <w:rFonts w:ascii="Arial" w:cs="Arial" w:eastAsia="Arial" w:hAnsi="Arial"/>
                <w:sz w:val="14"/>
                <w:szCs w:val="14"/>
                <w:color w:val="auto"/>
              </w:rPr>
              <w:t>approach</w:t>
            </w:r>
          </w:p>
        </w:tc>
        <w:tc>
          <w:tcPr>
            <w:tcW w:w="740" w:type="dxa"/>
            <w:vAlign w:val="bottom"/>
            <w:tcBorders>
              <w:bottom w:val="single" w:sz="8" w:color="BCBDC0"/>
            </w:tcBorders>
            <w:vMerge w:val="continue"/>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vMerge w:val="continue"/>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vMerge w:val="continue"/>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Gain or (loss) on derivatives not designated as</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00" w:type="dxa"/>
            <w:vAlign w:val="bottom"/>
            <w:tcBorders>
              <w:bottom w:val="single" w:sz="8" w:color="BCBDC0"/>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740" w:type="dxa"/>
            <w:vAlign w:val="bottom"/>
            <w:tcBorders>
              <w:bottom w:val="single" w:sz="8" w:color="BCBDC0"/>
            </w:tcBorders>
          </w:tcPr>
          <w:p>
            <w:pPr>
              <w:spacing w:after="0"/>
              <w:rPr>
                <w:sz w:val="16"/>
                <w:szCs w:val="16"/>
                <w:color w:val="auto"/>
              </w:rPr>
            </w:pPr>
          </w:p>
        </w:tc>
        <w:tc>
          <w:tcPr>
            <w:tcW w:w="32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400" w:type="dxa"/>
            <w:vAlign w:val="bottom"/>
            <w:tcBorders>
              <w:bottom w:val="single" w:sz="8" w:color="BCBDC0"/>
            </w:tcBorders>
          </w:tcPr>
          <w:p>
            <w:pPr>
              <w:spacing w:after="0"/>
              <w:rPr>
                <w:sz w:val="16"/>
                <w:szCs w:val="16"/>
                <w:color w:val="auto"/>
              </w:rPr>
            </w:pPr>
          </w:p>
        </w:tc>
        <w:tc>
          <w:tcPr>
            <w:tcW w:w="92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9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color w:val="auto"/>
              </w:rPr>
              <w:t>Foreign currency exchange contracts</w:t>
            </w: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(11)</w:t>
            </w:r>
          </w:p>
        </w:tc>
        <w:tc>
          <w:tcPr>
            <w:tcW w:w="8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income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June 30, 2022</w:t>
            </w:r>
          </w:p>
        </w:tc>
        <w:tc>
          <w:tcPr>
            <w:tcW w:w="20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320" w:type="dxa"/>
            <w:vAlign w:val="bottom"/>
            <w:tcBorders>
              <w:top w:val="single" w:sz="8" w:color="D7282F"/>
              <w:bottom w:val="single" w:sz="8" w:color="D7282F"/>
            </w:tcBorders>
          </w:tcPr>
          <w:p>
            <w:pPr>
              <w:spacing w:after="0"/>
              <w:rPr>
                <w:sz w:val="20"/>
                <w:szCs w:val="20"/>
                <w:color w:val="auto"/>
              </w:rPr>
            </w:pPr>
          </w:p>
        </w:tc>
        <w:tc>
          <w:tcPr>
            <w:tcW w:w="760" w:type="dxa"/>
            <w:vAlign w:val="bottom"/>
            <w:tcBorders>
              <w:top w:val="single" w:sz="8" w:color="D7282F"/>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20"/>
                <w:szCs w:val="20"/>
                <w:color w:val="auto"/>
              </w:rPr>
            </w:pPr>
          </w:p>
        </w:tc>
        <w:tc>
          <w:tcPr>
            <w:tcW w:w="340" w:type="dxa"/>
            <w:vAlign w:val="bottom"/>
            <w:tcBorders>
              <w:top w:val="single" w:sz="8" w:color="D7282F"/>
              <w:bottom w:val="single" w:sz="8" w:color="D7282F"/>
            </w:tcBorders>
          </w:tcPr>
          <w:p>
            <w:pPr>
              <w:spacing w:after="0"/>
              <w:rPr>
                <w:sz w:val="20"/>
                <w:szCs w:val="20"/>
                <w:color w:val="auto"/>
              </w:rPr>
            </w:pPr>
          </w:p>
        </w:tc>
        <w:tc>
          <w:tcPr>
            <w:tcW w:w="760" w:type="dxa"/>
            <w:vAlign w:val="bottom"/>
            <w:tcBorders>
              <w:top w:val="single" w:sz="8" w:color="D7282F"/>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top w:val="single" w:sz="8" w:color="D7282F"/>
              <w:bottom w:val="single" w:sz="8" w:color="D7282F"/>
            </w:tcBorders>
          </w:tcPr>
          <w:p>
            <w:pPr>
              <w:spacing w:after="0"/>
              <w:rPr>
                <w:sz w:val="20"/>
                <w:szCs w:val="20"/>
                <w:color w:val="auto"/>
              </w:rPr>
            </w:pPr>
          </w:p>
        </w:tc>
        <w:tc>
          <w:tcPr>
            <w:tcW w:w="66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184</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267</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36</w:t>
            </w: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Cross currency swap</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63</w:t>
            </w: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80</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exchange contracts</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11.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Financial and nonfinancial assets and liabilities are classified in their entirety based on the lowest level of input that is significant to the fair value measurement.</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accounted for at fair value on a recurring 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gridSpan w:val="2"/>
          </w:tcPr>
          <w:p>
            <w:pPr>
              <w:jc w:val="right"/>
              <w:ind w:right="68"/>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168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6"/>
        </w:trPr>
        <w:tc>
          <w:tcPr>
            <w:tcW w:w="50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gridSpan w:val="2"/>
          </w:tcPr>
          <w:p>
            <w:pPr>
              <w:ind w:lef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D7282F"/>
            </w:tcBorders>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110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223"/>
        </w:trPr>
        <w:tc>
          <w:tcPr>
            <w:tcW w:w="5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Assets:</w:t>
            </w:r>
          </w:p>
        </w:tc>
        <w:tc>
          <w:tcPr>
            <w:tcW w:w="760" w:type="dxa"/>
            <w:vAlign w:val="bottom"/>
            <w:tcBorders>
              <w:bottom w:val="single" w:sz="8" w:color="BCBDC0"/>
            </w:tcBorders>
          </w:tcPr>
          <w:p>
            <w:pPr>
              <w:spacing w:after="0"/>
              <w:rPr>
                <w:sz w:val="19"/>
                <w:szCs w:val="19"/>
                <w:color w:val="auto"/>
              </w:rPr>
            </w:pPr>
          </w:p>
        </w:tc>
        <w:tc>
          <w:tcPr>
            <w:tcW w:w="220" w:type="dxa"/>
            <w:vAlign w:val="bottom"/>
            <w:tcBorders>
              <w:bottom w:val="single" w:sz="8" w:color="BCBDC0"/>
            </w:tcBorders>
          </w:tcPr>
          <w:p>
            <w:pPr>
              <w:spacing w:after="0"/>
              <w:rPr>
                <w:sz w:val="19"/>
                <w:szCs w:val="19"/>
                <w:color w:val="auto"/>
              </w:rPr>
            </w:pPr>
          </w:p>
        </w:tc>
        <w:tc>
          <w:tcPr>
            <w:tcW w:w="460" w:type="dxa"/>
            <w:vAlign w:val="bottom"/>
            <w:tcBorders>
              <w:bottom w:val="single" w:sz="8" w:color="BCBDC0"/>
            </w:tcBorders>
          </w:tcPr>
          <w:p>
            <w:pPr>
              <w:spacing w:after="0"/>
              <w:rPr>
                <w:sz w:val="19"/>
                <w:szCs w:val="19"/>
                <w:color w:val="auto"/>
              </w:rPr>
            </w:pPr>
          </w:p>
        </w:tc>
        <w:tc>
          <w:tcPr>
            <w:tcW w:w="660" w:type="dxa"/>
            <w:vAlign w:val="bottom"/>
            <w:tcBorders>
              <w:bottom w:val="single" w:sz="8" w:color="BCBDC0"/>
            </w:tcBorders>
          </w:tcPr>
          <w:p>
            <w:pPr>
              <w:spacing w:after="0"/>
              <w:rPr>
                <w:sz w:val="19"/>
                <w:szCs w:val="19"/>
                <w:color w:val="auto"/>
              </w:rPr>
            </w:pPr>
          </w:p>
        </w:tc>
        <w:tc>
          <w:tcPr>
            <w:tcW w:w="220" w:type="dxa"/>
            <w:vAlign w:val="bottom"/>
            <w:tcBorders>
              <w:bottom w:val="single" w:sz="8" w:color="BCBDC0"/>
            </w:tcBorders>
          </w:tcPr>
          <w:p>
            <w:pPr>
              <w:spacing w:after="0"/>
              <w:rPr>
                <w:sz w:val="19"/>
                <w:szCs w:val="19"/>
                <w:color w:val="auto"/>
              </w:rPr>
            </w:pPr>
          </w:p>
        </w:tc>
        <w:tc>
          <w:tcPr>
            <w:tcW w:w="680" w:type="dxa"/>
            <w:vAlign w:val="bottom"/>
            <w:tcBorders>
              <w:bottom w:val="single" w:sz="8" w:color="BCBDC0"/>
            </w:tcBorders>
          </w:tcPr>
          <w:p>
            <w:pPr>
              <w:spacing w:after="0"/>
              <w:rPr>
                <w:sz w:val="19"/>
                <w:szCs w:val="19"/>
                <w:color w:val="auto"/>
              </w:rPr>
            </w:pPr>
          </w:p>
        </w:tc>
        <w:tc>
          <w:tcPr>
            <w:tcW w:w="220" w:type="dxa"/>
            <w:vAlign w:val="bottom"/>
            <w:tcBorders>
              <w:bottom w:val="single" w:sz="8" w:color="BCBDC0"/>
            </w:tcBorders>
          </w:tcPr>
          <w:p>
            <w:pPr>
              <w:spacing w:after="0"/>
              <w:rPr>
                <w:sz w:val="19"/>
                <w:szCs w:val="19"/>
                <w:color w:val="auto"/>
              </w:rPr>
            </w:pPr>
          </w:p>
        </w:tc>
        <w:tc>
          <w:tcPr>
            <w:tcW w:w="520" w:type="dxa"/>
            <w:vAlign w:val="bottom"/>
            <w:tcBorders>
              <w:bottom w:val="single" w:sz="8" w:color="BCBDC0"/>
            </w:tcBorders>
          </w:tcPr>
          <w:p>
            <w:pPr>
              <w:spacing w:after="0"/>
              <w:rPr>
                <w:sz w:val="19"/>
                <w:szCs w:val="19"/>
                <w:color w:val="auto"/>
              </w:rPr>
            </w:pPr>
          </w:p>
        </w:tc>
        <w:tc>
          <w:tcPr>
            <w:tcW w:w="580" w:type="dxa"/>
            <w:vAlign w:val="bottom"/>
            <w:tcBorders>
              <w:bottom w:val="single" w:sz="8" w:color="BCBDC0"/>
            </w:tcBorders>
          </w:tcPr>
          <w:p>
            <w:pPr>
              <w:spacing w:after="0"/>
              <w:rPr>
                <w:sz w:val="19"/>
                <w:szCs w:val="19"/>
                <w:color w:val="auto"/>
              </w:rPr>
            </w:pPr>
          </w:p>
        </w:tc>
        <w:tc>
          <w:tcPr>
            <w:tcW w:w="360" w:type="dxa"/>
            <w:vAlign w:val="bottom"/>
            <w:tcBorders>
              <w:bottom w:val="single" w:sz="8" w:color="BCBDC0"/>
            </w:tcBorders>
          </w:tcPr>
          <w:p>
            <w:pPr>
              <w:spacing w:after="0"/>
              <w:rPr>
                <w:sz w:val="19"/>
                <w:szCs w:val="19"/>
                <w:color w:val="auto"/>
              </w:rPr>
            </w:pPr>
          </w:p>
        </w:tc>
        <w:tc>
          <w:tcPr>
            <w:tcW w:w="740" w:type="dxa"/>
            <w:vAlign w:val="bottom"/>
            <w:tcBorders>
              <w:bottom w:val="single" w:sz="8" w:color="BCBDC0"/>
            </w:tcBorders>
          </w:tcPr>
          <w:p>
            <w:pPr>
              <w:spacing w:after="0"/>
              <w:rPr>
                <w:sz w:val="19"/>
                <w:szCs w:val="19"/>
                <w:color w:val="auto"/>
              </w:rPr>
            </w:pPr>
          </w:p>
        </w:tc>
        <w:tc>
          <w:tcPr>
            <w:tcW w:w="140" w:type="dxa"/>
            <w:vAlign w:val="bottom"/>
            <w:tcBorders>
              <w:bottom w:val="single" w:sz="8" w:color="BCBDC0"/>
            </w:tcBorders>
          </w:tcPr>
          <w:p>
            <w:pPr>
              <w:spacing w:after="0"/>
              <w:rPr>
                <w:sz w:val="19"/>
                <w:szCs w:val="19"/>
                <w:color w:val="auto"/>
              </w:rPr>
            </w:pPr>
          </w:p>
        </w:tc>
        <w:tc>
          <w:tcPr>
            <w:tcW w:w="660" w:type="dxa"/>
            <w:vAlign w:val="bottom"/>
            <w:tcBorders>
              <w:bottom w:val="single" w:sz="8" w:color="BCBDC0"/>
            </w:tcBorders>
          </w:tcPr>
          <w:p>
            <w:pPr>
              <w:spacing w:after="0"/>
              <w:rPr>
                <w:sz w:val="19"/>
                <w:szCs w:val="19"/>
                <w:color w:val="auto"/>
              </w:rPr>
            </w:pPr>
          </w:p>
        </w:tc>
      </w:tr>
      <w:tr>
        <w:trPr>
          <w:trHeight w:val="193"/>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76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9"/>
              </w:rPr>
              <w:t>—</w:t>
            </w:r>
          </w:p>
        </w:tc>
        <w:tc>
          <w:tcPr>
            <w:tcW w:w="46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542</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542</w:t>
            </w:r>
          </w:p>
        </w:tc>
        <w:tc>
          <w:tcPr>
            <w:tcW w:w="220" w:type="dxa"/>
            <w:vAlign w:val="bottom"/>
            <w:tcBorders>
              <w:bottom w:val="single" w:sz="8" w:color="BCBDC0"/>
            </w:tcBorders>
          </w:tcPr>
          <w:p>
            <w:pPr>
              <w:spacing w:after="0"/>
              <w:rPr>
                <w:sz w:val="16"/>
                <w:szCs w:val="16"/>
                <w:color w:val="auto"/>
              </w:rPr>
            </w:pPr>
          </w:p>
        </w:tc>
        <w:tc>
          <w:tcPr>
            <w:tcW w:w="52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374</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374</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Available for sale investments</w:t>
            </w:r>
          </w:p>
        </w:tc>
        <w:tc>
          <w:tcPr>
            <w:tcW w:w="76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89"/>
              </w:rPr>
              <w:t>71</w:t>
            </w:r>
          </w:p>
        </w:tc>
        <w:tc>
          <w:tcPr>
            <w:tcW w:w="4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476</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547</w:t>
            </w: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176</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566</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742</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Interest rate swap agreements</w:t>
            </w:r>
          </w:p>
        </w:tc>
        <w:tc>
          <w:tcPr>
            <w:tcW w:w="76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9"/>
              </w:rPr>
              <w:t>—</w:t>
            </w:r>
          </w:p>
        </w:tc>
        <w:tc>
          <w:tcPr>
            <w:tcW w:w="4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60</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Cross currency swap agreements</w:t>
            </w:r>
          </w:p>
        </w:tc>
        <w:tc>
          <w:tcPr>
            <w:tcW w:w="76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9"/>
              </w:rPr>
              <w:t>—</w:t>
            </w:r>
          </w:p>
        </w:tc>
        <w:tc>
          <w:tcPr>
            <w:tcW w:w="4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135</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135</w:t>
            </w: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39</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50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Investments in equity securities</w:t>
            </w:r>
          </w:p>
        </w:tc>
        <w:tc>
          <w:tcPr>
            <w:tcW w:w="76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w w:val="89"/>
              </w:rPr>
              <w:t>23</w:t>
            </w:r>
          </w:p>
        </w:tc>
        <w:tc>
          <w:tcPr>
            <w:tcW w:w="4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34</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57</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w:t>
            </w:r>
          </w:p>
        </w:tc>
        <w:tc>
          <w:tcPr>
            <w:tcW w:w="3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w:t>
            </w:r>
          </w:p>
        </w:tc>
      </w:tr>
      <w:tr>
        <w:trPr>
          <w:trHeight w:val="199"/>
        </w:trPr>
        <w:tc>
          <w:tcPr>
            <w:tcW w:w="5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76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89"/>
              </w:rPr>
              <w:t>94</w:t>
            </w:r>
          </w:p>
        </w:tc>
        <w:tc>
          <w:tcPr>
            <w:tcW w:w="46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1,187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1,281</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210</w:t>
            </w:r>
          </w:p>
        </w:tc>
        <w:tc>
          <w:tcPr>
            <w:tcW w:w="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1,062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1,272</w:t>
            </w:r>
          </w:p>
        </w:tc>
      </w:tr>
      <w:tr>
        <w:trPr>
          <w:trHeight w:val="196"/>
        </w:trPr>
        <w:tc>
          <w:tcPr>
            <w:tcW w:w="5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76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4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spacing w:after="0"/>
              <w:rPr>
                <w:sz w:val="17"/>
                <w:szCs w:val="17"/>
                <w:color w:val="auto"/>
              </w:rPr>
            </w:pP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Foreign currency exchange contracts</w:t>
            </w:r>
          </w:p>
        </w:tc>
        <w:tc>
          <w:tcPr>
            <w:tcW w:w="76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9"/>
              </w:rPr>
              <w:t>—</w:t>
            </w:r>
          </w:p>
        </w:tc>
        <w:tc>
          <w:tcPr>
            <w:tcW w:w="46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382</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382</w:t>
            </w:r>
          </w:p>
        </w:tc>
        <w:tc>
          <w:tcPr>
            <w:tcW w:w="220" w:type="dxa"/>
            <w:vAlign w:val="bottom"/>
            <w:tcBorders>
              <w:bottom w:val="single" w:sz="8" w:color="BCBDC0"/>
            </w:tcBorders>
          </w:tcPr>
          <w:p>
            <w:pPr>
              <w:spacing w:after="0"/>
              <w:rPr>
                <w:sz w:val="16"/>
                <w:szCs w:val="16"/>
                <w:color w:val="auto"/>
              </w:rPr>
            </w:pPr>
          </w:p>
        </w:tc>
        <w:tc>
          <w:tcPr>
            <w:tcW w:w="520" w:type="dxa"/>
            <w:vAlign w:val="bottom"/>
            <w:tcBorders>
              <w:bottom w:val="single" w:sz="8" w:color="BCBDC0"/>
            </w:tcBorders>
          </w:tcPr>
          <w:p>
            <w:pPr>
              <w:ind w:left="2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282</w:t>
            </w:r>
          </w:p>
        </w:tc>
        <w:tc>
          <w:tcPr>
            <w:tcW w:w="1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282</w:t>
            </w:r>
          </w:p>
        </w:tc>
      </w:tr>
      <w:tr>
        <w:trPr>
          <w:trHeight w:val="196"/>
        </w:trPr>
        <w:tc>
          <w:tcPr>
            <w:tcW w:w="5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Interest rate swap agreements</w:t>
            </w:r>
          </w:p>
        </w:tc>
        <w:tc>
          <w:tcPr>
            <w:tcW w:w="76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9"/>
              </w:rPr>
              <w:t>—</w:t>
            </w:r>
          </w:p>
        </w:tc>
        <w:tc>
          <w:tcPr>
            <w:tcW w:w="4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108</w:t>
            </w:r>
          </w:p>
        </w:tc>
        <w:tc>
          <w:tcPr>
            <w:tcW w:w="22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108</w:t>
            </w:r>
          </w:p>
        </w:tc>
        <w:tc>
          <w:tcPr>
            <w:tcW w:w="22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c>
          <w:tcPr>
            <w:tcW w:w="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0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Commodity contracts</w:t>
            </w:r>
          </w:p>
        </w:tc>
        <w:tc>
          <w:tcPr>
            <w:tcW w:w="76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w w:val="99"/>
              </w:rPr>
              <w:t>—</w:t>
            </w:r>
          </w:p>
        </w:tc>
        <w:tc>
          <w:tcPr>
            <w:tcW w:w="46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76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9"/>
              </w:rPr>
              <w:t>—</w:t>
            </w:r>
          </w:p>
        </w:tc>
        <w:tc>
          <w:tcPr>
            <w:tcW w:w="46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491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491</w:t>
            </w:r>
          </w:p>
        </w:tc>
        <w:tc>
          <w:tcPr>
            <w:tcW w:w="22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282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282</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foreign currency exchange contracts, interest rate swap agreements, cross currency swap agreements and commodity contracts are valued using broker quotations or market transactions in either the listed or over-the-counter markets. As such, these derivative instruments are classified within level 2. The Company also holds investments in commercial paper, certificates of deposits, time deposits, and corporate debt securities that are designated as available for sale, as well as investments in equity securities, which includes holdings of Garrett Motion Inc. (Garrett) Series A Preferred Stock. These investments are valued using published prices based off observable market data. As such, these investments are classified within level 2.</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which includes holdings of Garrett common stock. These investments are valued utilizing published prices based on quoted market pricing, which are classified within level 1.</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short-term borrowings approximates fair value.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the Company does not consider any assets or liabilities measured at fair value as level 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19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468"/>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3"/>
          </w:tcPr>
          <w:p>
            <w:pPr>
              <w:jc w:val="right"/>
              <w:ind w:right="288"/>
              <w:spacing w:after="0"/>
              <w:rPr>
                <w:sz w:val="20"/>
                <w:szCs w:val="20"/>
                <w:color w:val="auto"/>
              </w:rPr>
            </w:pPr>
            <w:r>
              <w:rPr>
                <w:rFonts w:ascii="Arial" w:cs="Arial" w:eastAsia="Arial" w:hAnsi="Arial"/>
                <w:sz w:val="14"/>
                <w:szCs w:val="14"/>
                <w:b w:val="1"/>
                <w:bCs w:val="1"/>
                <w:color w:val="auto"/>
              </w:rPr>
              <w:t>December 31, 2021</w:t>
            </w:r>
          </w:p>
        </w:tc>
      </w:tr>
      <w:tr>
        <w:trPr>
          <w:trHeight w:val="147"/>
        </w:trPr>
        <w:tc>
          <w:tcPr>
            <w:tcW w:w="7020" w:type="dxa"/>
            <w:vAlign w:val="bottom"/>
          </w:tcPr>
          <w:p>
            <w:pPr>
              <w:spacing w:after="0"/>
              <w:rPr>
                <w:sz w:val="12"/>
                <w:szCs w:val="12"/>
                <w:color w:val="auto"/>
              </w:rPr>
            </w:pPr>
          </w:p>
        </w:tc>
        <w:tc>
          <w:tcPr>
            <w:tcW w:w="1080" w:type="dxa"/>
            <w:vAlign w:val="bottom"/>
            <w:gridSpan w:val="2"/>
          </w:tcPr>
          <w:p>
            <w:pPr>
              <w:jc w:val="right"/>
              <w:ind w:right="208"/>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8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right"/>
              <w:ind w:right="228"/>
              <w:spacing w:after="0" w:line="147"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660" w:type="dxa"/>
            <w:vAlign w:val="bottom"/>
          </w:tcPr>
          <w:p>
            <w:pPr>
              <w:jc w:val="right"/>
              <w:ind w:right="28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702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140" w:type="dxa"/>
            <w:vAlign w:val="bottom"/>
            <w:tcBorders>
              <w:bottom w:val="single" w:sz="8" w:color="D7282F"/>
            </w:tcBorders>
            <w:gridSpan w:val="3"/>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1100" w:type="dxa"/>
            <w:vAlign w:val="bottom"/>
            <w:tcBorders>
              <w:bottom w:val="single" w:sz="8" w:color="D7282F"/>
            </w:tcBorders>
            <w:gridSpan w:val="2"/>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90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b w:val="1"/>
                <w:bCs w:val="1"/>
                <w:color w:val="auto"/>
              </w:rPr>
              <w:t>Value</w:t>
            </w:r>
          </w:p>
        </w:tc>
      </w:tr>
      <w:tr>
        <w:trPr>
          <w:trHeight w:val="195"/>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Assets</w:t>
            </w:r>
          </w:p>
        </w:tc>
        <w:tc>
          <w:tcPr>
            <w:tcW w:w="40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r>
      <w:tr>
        <w:trPr>
          <w:trHeight w:val="193"/>
        </w:trPr>
        <w:tc>
          <w:tcPr>
            <w:tcW w:w="7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Short-term investment</w:t>
            </w:r>
          </w:p>
        </w:tc>
        <w:tc>
          <w:tcPr>
            <w:tcW w:w="4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34</w:t>
            </w:r>
          </w:p>
        </w:tc>
      </w:tr>
      <w:tr>
        <w:trPr>
          <w:trHeight w:val="196"/>
        </w:trPr>
        <w:tc>
          <w:tcPr>
            <w:tcW w:w="7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Long-term receivables</w:t>
            </w:r>
          </w:p>
        </w:tc>
        <w:tc>
          <w:tcPr>
            <w:tcW w:w="4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156</w:t>
            </w:r>
          </w:p>
        </w:tc>
        <w:tc>
          <w:tcPr>
            <w:tcW w:w="2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128</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170</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152</w:t>
            </w:r>
          </w:p>
        </w:tc>
      </w:tr>
      <w:tr>
        <w:trPr>
          <w:trHeight w:val="196"/>
        </w:trPr>
        <w:tc>
          <w:tcPr>
            <w:tcW w:w="7020" w:type="dxa"/>
            <w:vAlign w:val="bottom"/>
            <w:tcBorders>
              <w:bottom w:val="single" w:sz="8" w:color="BCBDC0"/>
            </w:tcBorders>
          </w:tcPr>
          <w:p>
            <w:pPr>
              <w:ind w:left="360"/>
              <w:spacing w:after="0"/>
              <w:rPr>
                <w:sz w:val="20"/>
                <w:szCs w:val="20"/>
                <w:color w:val="auto"/>
              </w:rPr>
            </w:pPr>
            <w:r>
              <w:rPr>
                <w:rFonts w:ascii="Arial" w:cs="Arial" w:eastAsia="Arial" w:hAnsi="Arial"/>
                <w:sz w:val="14"/>
                <w:szCs w:val="14"/>
                <w:color w:val="auto"/>
              </w:rPr>
              <w:t>Long-term investment</w:t>
            </w:r>
          </w:p>
        </w:tc>
        <w:tc>
          <w:tcPr>
            <w:tcW w:w="4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366</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366</w:t>
            </w:r>
          </w:p>
        </w:tc>
      </w:tr>
      <w:tr>
        <w:trPr>
          <w:trHeight w:val="199"/>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40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r>
      <w:tr>
        <w:trPr>
          <w:trHeight w:val="193"/>
        </w:trPr>
        <w:tc>
          <w:tcPr>
            <w:tcW w:w="70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Long-term debt and related current maturities</w:t>
            </w: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15,590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18,344</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16,057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17,022</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values of these receivables are considered level 2.</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April 30, 2021, the Company received shares of Garrett Series B Preferred Stock in full and final satisfaction of the Garrett Indemnity and Tax Matters Agreement. As of December 31, 2021, the fair value of the short-term and long-term investments were based on the present value of the mandatory redemptions as reflected within Garrett's Second and Amended and Restated Series B Preferred Stock (Series B Preferred Stock) Certificate of Designation. The present value reflected amortized cost determined by the present value of the mandatory redemptions discounted at 7.25%, which was the rate reflected in the Second Amended and Restated Series B Preferred Stock Certificate of Designation. The discount accreted to interest income over the mandatory redemption period. The investment was designated as held to maturity and was initially recognized at fair value. The fair value of Garrett's Series B Preferred Stock was determined using observable market data and was considered level 2. Fair Value of the Series B Preferred Stock was not impacted by early redemptions until receipt of payment.</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February 18, 2022, Garrett early redeemed $197 million of the Series B Preferred Stock, pursuant to the terms and conditions of the Second Amended and Restated Series B Preferred Stock Certificate of Designation. Immediately following the early redemption, the fair value of the Series B Preferred Stock was $207 million.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June 28, 2022, Garrett early redeemed all remaining shares of the Series B Preferred Stock in the amount of $212 million, pursuant to the terms and conditions of the Second Amended and Restated Series B Preferred Stock Certificate of Designation. Following the redemption, the Series B Preferred Stock were no longer outstanding.</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12. EARNINGS PER SHARE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02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1,261</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1,430</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2,395</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679.0</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693.8</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681.8</w:t>
            </w: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695.0</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Earnings per share of common stock - basic</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1.86</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2.06</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02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1,261</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1,430</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2,395</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679.0</w:t>
            </w: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693.8</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681.8</w:t>
            </w:r>
          </w:p>
        </w:tc>
        <w:tc>
          <w:tcPr>
            <w:tcW w:w="24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695.0</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 - stock plans</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6.0</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8.7</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6.3</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685.0</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702.5</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688.1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703.5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 - assuming dilution</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1.84</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2.04</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3.48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diluted earnings per share calculations exclude the effect of stock options when the options’ exercise price exceed the average market price of the common shares during the period. For the three and six months ended June 30, 2022, the weighted average number of stock options excluded from the computations were 5.6 million and 3.4 million, respectively. For the three and six months ended June 30, 2021, the weighted average number of stock options excluded from the computations were 1.9 million and 1.4 million, respectively.</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2022 and 2021, the total shares outstanding were 673.7 million and 690.4 million, respectively, and as of June 30, 2022 and 2021, total shares issued were 957.6 million.</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13. ACCUMULATED OTHER COMPREHENSIVE INCOME (LOSS)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INCOME (LOSS) BY COMPONENT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0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14"/>
                <w:szCs w:val="14"/>
                <w:color w:val="auto"/>
              </w:rPr>
            </w:pPr>
          </w:p>
        </w:tc>
        <w:tc>
          <w:tcPr>
            <w:tcW w:w="980" w:type="dxa"/>
            <w:vAlign w:val="bottom"/>
          </w:tcPr>
          <w:p>
            <w:pPr>
              <w:jc w:val="center"/>
              <w:ind w:right="268"/>
              <w:spacing w:after="0"/>
              <w:rPr>
                <w:sz w:val="20"/>
                <w:szCs w:val="20"/>
                <w:color w:val="auto"/>
              </w:rPr>
            </w:pPr>
            <w:r>
              <w:rPr>
                <w:rFonts w:ascii="Arial" w:cs="Arial" w:eastAsia="Arial" w:hAnsi="Arial"/>
                <w:sz w:val="14"/>
                <w:szCs w:val="14"/>
                <w:b w:val="1"/>
                <w:bCs w:val="1"/>
                <w:color w:val="auto"/>
              </w:rPr>
              <w:t>Pension</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Changes in Fair</w:t>
            </w:r>
          </w:p>
        </w:tc>
        <w:tc>
          <w:tcPr>
            <w:tcW w:w="120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and Other</w:t>
            </w:r>
          </w:p>
        </w:tc>
        <w:tc>
          <w:tcPr>
            <w:tcW w:w="88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Value of</w:t>
            </w:r>
          </w:p>
        </w:tc>
        <w:tc>
          <w:tcPr>
            <w:tcW w:w="3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5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Exchange</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Postretirement</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Available for</w:t>
            </w:r>
          </w:p>
        </w:tc>
        <w:tc>
          <w:tcPr>
            <w:tcW w:w="8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2"/>
                <w:szCs w:val="12"/>
                <w:color w:val="auto"/>
              </w:rPr>
            </w:pPr>
          </w:p>
        </w:tc>
        <w:tc>
          <w:tcPr>
            <w:tcW w:w="98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rPr>
              <w:t>Benefits</w:t>
            </w:r>
          </w:p>
        </w:tc>
        <w:tc>
          <w:tcPr>
            <w:tcW w:w="8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2"/>
                <w:szCs w:val="12"/>
                <w:color w:val="auto"/>
              </w:rPr>
            </w:pPr>
          </w:p>
        </w:tc>
        <w:tc>
          <w:tcPr>
            <w:tcW w:w="120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rPr>
              <w:t>of Cash Flow</w:t>
            </w:r>
          </w:p>
        </w:tc>
        <w:tc>
          <w:tcPr>
            <w:tcW w:w="260" w:type="dxa"/>
            <w:vAlign w:val="bottom"/>
          </w:tcPr>
          <w:p>
            <w:pPr>
              <w:spacing w:after="0"/>
              <w:rPr>
                <w:sz w:val="12"/>
                <w:szCs w:val="12"/>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D7282F"/>
            </w:tcBorders>
          </w:tcPr>
          <w:p>
            <w:pPr>
              <w:spacing w:after="0"/>
              <w:rPr>
                <w:sz w:val="16"/>
                <w:szCs w:val="16"/>
                <w:color w:val="auto"/>
              </w:rPr>
            </w:pPr>
          </w:p>
        </w:tc>
        <w:tc>
          <w:tcPr>
            <w:tcW w:w="1500" w:type="dxa"/>
            <w:vAlign w:val="bottom"/>
            <w:tcBorders>
              <w:bottom w:val="single" w:sz="8" w:color="D7282F"/>
            </w:tcBorders>
            <w:gridSpan w:val="2"/>
          </w:tcPr>
          <w:p>
            <w:pPr>
              <w:jc w:val="center"/>
              <w:ind w:left="188"/>
              <w:spacing w:after="0"/>
              <w:rPr>
                <w:sz w:val="20"/>
                <w:szCs w:val="20"/>
                <w:color w:val="auto"/>
              </w:rPr>
            </w:pPr>
            <w:r>
              <w:rPr>
                <w:rFonts w:ascii="Arial" w:cs="Arial" w:eastAsia="Arial" w:hAnsi="Arial"/>
                <w:sz w:val="14"/>
                <w:szCs w:val="14"/>
                <w:b w:val="1"/>
                <w:bCs w:val="1"/>
                <w:color w:val="auto"/>
              </w:rPr>
              <w:t>Adjustment</w:t>
            </w: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Adjustments</w:t>
            </w:r>
          </w:p>
        </w:tc>
        <w:tc>
          <w:tcPr>
            <w:tcW w:w="11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Investments</w:t>
            </w:r>
          </w:p>
        </w:tc>
        <w:tc>
          <w:tcPr>
            <w:tcW w:w="86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Hedges</w:t>
            </w:r>
          </w:p>
        </w:tc>
        <w:tc>
          <w:tcPr>
            <w:tcW w:w="34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(2,478)</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(415)</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8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(2,895)</w:t>
            </w:r>
          </w:p>
        </w:tc>
        <w:tc>
          <w:tcPr>
            <w:tcW w:w="0" w:type="dxa"/>
            <w:vAlign w:val="bottom"/>
          </w:tcPr>
          <w:p>
            <w:pPr>
              <w:spacing w:after="0"/>
              <w:rPr>
                <w:sz w:val="1"/>
                <w:szCs w:val="1"/>
                <w:color w:val="auto"/>
              </w:rPr>
            </w:pPr>
          </w:p>
        </w:tc>
      </w:tr>
      <w:tr>
        <w:trPr>
          <w:trHeight w:val="193"/>
        </w:trPr>
        <w:tc>
          <w:tcPr>
            <w:tcW w:w="508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Other comprehensive income (loss) before reclassifications</w:t>
            </w:r>
          </w:p>
        </w:tc>
        <w:tc>
          <w:tcPr>
            <w:tcW w:w="800" w:type="dxa"/>
            <w:vAlign w:val="bottom"/>
            <w:tcBorders>
              <w:bottom w:val="single" w:sz="8" w:color="BCBDC0"/>
            </w:tcBorders>
          </w:tcPr>
          <w:p>
            <w:pPr>
              <w:spacing w:after="0"/>
              <w:rPr>
                <w:sz w:val="16"/>
                <w:szCs w:val="16"/>
                <w:color w:val="auto"/>
              </w:rPr>
            </w:pPr>
          </w:p>
        </w:tc>
        <w:tc>
          <w:tcPr>
            <w:tcW w:w="70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34</w:t>
            </w:r>
          </w:p>
        </w:tc>
        <w:tc>
          <w:tcPr>
            <w:tcW w:w="280" w:type="dxa"/>
            <w:vAlign w:val="bottom"/>
            <w:tcBorders>
              <w:bottom w:val="single" w:sz="8" w:color="BCBDC0"/>
            </w:tcBorders>
          </w:tcPr>
          <w:p>
            <w:pPr>
              <w:spacing w:after="0"/>
              <w:rPr>
                <w:sz w:val="16"/>
                <w:szCs w:val="16"/>
                <w:color w:val="auto"/>
              </w:rPr>
            </w:pP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(9)</w:t>
            </w:r>
          </w:p>
        </w:tc>
        <w:tc>
          <w:tcPr>
            <w:tcW w:w="86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w w:val="89"/>
              </w:rPr>
              <w:t>39</w:t>
            </w:r>
          </w:p>
        </w:tc>
        <w:tc>
          <w:tcPr>
            <w:tcW w:w="2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Amounts reclassified from accumulated other comprehensive income</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gridSpan w:val="2"/>
          </w:tcPr>
          <w:p>
            <w:pPr>
              <w:jc w:val="right"/>
              <w:ind w:right="6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Net current period other comprehensive income (loss)</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31</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w w:val="89"/>
              </w:rPr>
              <w:t>24</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9"/>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(2,447)</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(449)</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w:t>
            </w:r>
          </w:p>
        </w:tc>
        <w:tc>
          <w:tcPr>
            <w:tcW w:w="8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w w:val="89"/>
              </w:rPr>
              <w:t>21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(2,883)</w:t>
            </w:r>
          </w:p>
        </w:tc>
        <w:tc>
          <w:tcPr>
            <w:tcW w:w="0" w:type="dxa"/>
            <w:vAlign w:val="bottom"/>
          </w:tcPr>
          <w:p>
            <w:pPr>
              <w:spacing w:after="0"/>
              <w:rPr>
                <w:sz w:val="1"/>
                <w:szCs w:val="1"/>
                <w:color w:val="auto"/>
              </w:rPr>
            </w:pPr>
          </w:p>
        </w:tc>
      </w:tr>
      <w:tr>
        <w:trPr>
          <w:trHeight w:val="363"/>
        </w:trPr>
        <w:tc>
          <w:tcPr>
            <w:tcW w:w="5080" w:type="dxa"/>
            <w:vAlign w:val="bottom"/>
          </w:tcPr>
          <w:p>
            <w:pPr>
              <w:spacing w:after="0"/>
              <w:rPr>
                <w:sz w:val="24"/>
                <w:szCs w:val="24"/>
                <w:color w:val="auto"/>
              </w:rPr>
            </w:pPr>
          </w:p>
        </w:tc>
        <w:tc>
          <w:tcPr>
            <w:tcW w:w="150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24"/>
                <w:szCs w:val="24"/>
                <w:color w:val="auto"/>
              </w:rPr>
            </w:pPr>
          </w:p>
        </w:tc>
        <w:tc>
          <w:tcPr>
            <w:tcW w:w="980" w:type="dxa"/>
            <w:vAlign w:val="bottom"/>
          </w:tcPr>
          <w:p>
            <w:pPr>
              <w:jc w:val="center"/>
              <w:ind w:right="308"/>
              <w:spacing w:after="0"/>
              <w:rPr>
                <w:sz w:val="20"/>
                <w:szCs w:val="20"/>
                <w:color w:val="auto"/>
              </w:rPr>
            </w:pPr>
            <w:r>
              <w:rPr>
                <w:rFonts w:ascii="Arial" w:cs="Arial" w:eastAsia="Arial" w:hAnsi="Arial"/>
                <w:sz w:val="14"/>
                <w:szCs w:val="14"/>
                <w:b w:val="1"/>
                <w:bCs w:val="1"/>
                <w:color w:val="auto"/>
              </w:rPr>
              <w:t>Pension</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Changes in Fair</w:t>
            </w:r>
          </w:p>
        </w:tc>
        <w:tc>
          <w:tcPr>
            <w:tcW w:w="120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rPr>
              <w:t>Changes in</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and Other</w:t>
            </w:r>
          </w:p>
        </w:tc>
        <w:tc>
          <w:tcPr>
            <w:tcW w:w="88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Value of</w:t>
            </w: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5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Exchange</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Postretirement</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Available for</w:t>
            </w:r>
          </w:p>
        </w:tc>
        <w:tc>
          <w:tcPr>
            <w:tcW w:w="8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500" w:type="dxa"/>
            <w:vAlign w:val="bottom"/>
            <w:gridSpan w:val="2"/>
          </w:tcPr>
          <w:p>
            <w:pPr>
              <w:jc w:val="center"/>
              <w:ind w:left="188"/>
              <w:spacing w:after="0" w:line="135"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1"/>
                <w:szCs w:val="11"/>
                <w:color w:val="auto"/>
              </w:rPr>
            </w:pPr>
          </w:p>
        </w:tc>
        <w:tc>
          <w:tcPr>
            <w:tcW w:w="980" w:type="dxa"/>
            <w:vAlign w:val="bottom"/>
          </w:tcPr>
          <w:p>
            <w:pPr>
              <w:jc w:val="center"/>
              <w:ind w:right="268"/>
              <w:spacing w:after="0" w:line="135" w:lineRule="exact"/>
              <w:rPr>
                <w:sz w:val="20"/>
                <w:szCs w:val="20"/>
                <w:color w:val="auto"/>
              </w:rPr>
            </w:pPr>
            <w:r>
              <w:rPr>
                <w:rFonts w:ascii="Arial" w:cs="Arial" w:eastAsia="Arial" w:hAnsi="Arial"/>
                <w:sz w:val="14"/>
                <w:szCs w:val="14"/>
                <w:b w:val="1"/>
                <w:bCs w:val="1"/>
                <w:color w:val="auto"/>
              </w:rPr>
              <w:t>Benefits</w:t>
            </w:r>
          </w:p>
        </w:tc>
        <w:tc>
          <w:tcPr>
            <w:tcW w:w="8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1"/>
                <w:szCs w:val="11"/>
                <w:color w:val="auto"/>
              </w:rPr>
            </w:pPr>
          </w:p>
        </w:tc>
        <w:tc>
          <w:tcPr>
            <w:tcW w:w="1200" w:type="dxa"/>
            <w:vAlign w:val="bottom"/>
            <w:gridSpan w:val="2"/>
          </w:tcPr>
          <w:p>
            <w:pPr>
              <w:jc w:val="center"/>
              <w:ind w:right="88"/>
              <w:spacing w:after="0" w:line="135" w:lineRule="exact"/>
              <w:rPr>
                <w:sz w:val="20"/>
                <w:szCs w:val="20"/>
                <w:color w:val="auto"/>
              </w:rPr>
            </w:pPr>
            <w:r>
              <w:rPr>
                <w:rFonts w:ascii="Arial" w:cs="Arial" w:eastAsia="Arial" w:hAnsi="Arial"/>
                <w:sz w:val="14"/>
                <w:szCs w:val="14"/>
                <w:b w:val="1"/>
                <w:bCs w:val="1"/>
                <w:color w:val="auto"/>
              </w:rPr>
              <w:t>of Cash Flow</w:t>
            </w:r>
          </w:p>
        </w:tc>
        <w:tc>
          <w:tcPr>
            <w:tcW w:w="260" w:type="dxa"/>
            <w:vAlign w:val="bottom"/>
          </w:tcPr>
          <w:p>
            <w:pPr>
              <w:spacing w:after="0"/>
              <w:rPr>
                <w:sz w:val="11"/>
                <w:szCs w:val="11"/>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D7282F"/>
            </w:tcBorders>
          </w:tcPr>
          <w:p>
            <w:pPr>
              <w:spacing w:after="0"/>
              <w:rPr>
                <w:sz w:val="16"/>
                <w:szCs w:val="16"/>
                <w:color w:val="auto"/>
              </w:rPr>
            </w:pPr>
          </w:p>
        </w:tc>
        <w:tc>
          <w:tcPr>
            <w:tcW w:w="1500" w:type="dxa"/>
            <w:vAlign w:val="bottom"/>
            <w:tcBorders>
              <w:bottom w:val="single" w:sz="8" w:color="D7282F"/>
            </w:tcBorders>
            <w:gridSpan w:val="2"/>
          </w:tcPr>
          <w:p>
            <w:pPr>
              <w:jc w:val="center"/>
              <w:ind w:left="188"/>
              <w:spacing w:after="0"/>
              <w:rPr>
                <w:sz w:val="20"/>
                <w:szCs w:val="20"/>
                <w:color w:val="auto"/>
              </w:rPr>
            </w:pPr>
            <w:r>
              <w:rPr>
                <w:rFonts w:ascii="Arial" w:cs="Arial" w:eastAsia="Arial" w:hAnsi="Arial"/>
                <w:sz w:val="14"/>
                <w:szCs w:val="14"/>
                <w:b w:val="1"/>
                <w:bCs w:val="1"/>
                <w:color w:val="auto"/>
              </w:rPr>
              <w:t>Adjustment</w:t>
            </w:r>
          </w:p>
        </w:tc>
        <w:tc>
          <w:tcPr>
            <w:tcW w:w="1260" w:type="dxa"/>
            <w:vAlign w:val="bottom"/>
            <w:tcBorders>
              <w:bottom w:val="single" w:sz="8" w:color="D7282F"/>
            </w:tcBorders>
            <w:gridSpan w:val="2"/>
          </w:tcPr>
          <w:p>
            <w:pPr>
              <w:jc w:val="center"/>
              <w:ind w:right="28"/>
              <w:spacing w:after="0"/>
              <w:rPr>
                <w:sz w:val="20"/>
                <w:szCs w:val="20"/>
                <w:color w:val="auto"/>
              </w:rPr>
            </w:pPr>
            <w:r>
              <w:rPr>
                <w:rFonts w:ascii="Arial" w:cs="Arial" w:eastAsia="Arial" w:hAnsi="Arial"/>
                <w:sz w:val="14"/>
                <w:szCs w:val="14"/>
                <w:b w:val="1"/>
                <w:bCs w:val="1"/>
                <w:color w:val="auto"/>
              </w:rPr>
              <w:t>Adjustments</w:t>
            </w:r>
          </w:p>
        </w:tc>
        <w:tc>
          <w:tcPr>
            <w:tcW w:w="11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Investments</w:t>
            </w:r>
          </w:p>
        </w:tc>
        <w:tc>
          <w:tcPr>
            <w:tcW w:w="86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b w:val="1"/>
                <w:bCs w:val="1"/>
                <w:color w:val="auto"/>
              </w:rPr>
              <w:t>Hedges</w:t>
            </w:r>
          </w:p>
        </w:tc>
        <w:tc>
          <w:tcPr>
            <w:tcW w:w="34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(2,780)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(601)</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8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w w:val="99"/>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(3,377)</w:t>
            </w:r>
          </w:p>
        </w:tc>
        <w:tc>
          <w:tcPr>
            <w:tcW w:w="0" w:type="dxa"/>
            <w:vAlign w:val="bottom"/>
          </w:tcPr>
          <w:p>
            <w:pPr>
              <w:spacing w:after="0"/>
              <w:rPr>
                <w:sz w:val="1"/>
                <w:szCs w:val="1"/>
                <w:color w:val="auto"/>
              </w:rPr>
            </w:pPr>
          </w:p>
        </w:tc>
      </w:tr>
      <w:tr>
        <w:trPr>
          <w:trHeight w:val="193"/>
        </w:trPr>
        <w:tc>
          <w:tcPr>
            <w:tcW w:w="508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Other comprehensive income (loss) before reclassifications</w:t>
            </w:r>
          </w:p>
        </w:tc>
        <w:tc>
          <w:tcPr>
            <w:tcW w:w="800" w:type="dxa"/>
            <w:vAlign w:val="bottom"/>
            <w:tcBorders>
              <w:bottom w:val="single" w:sz="8" w:color="BCBDC0"/>
            </w:tcBorders>
          </w:tcPr>
          <w:p>
            <w:pPr>
              <w:spacing w:after="0"/>
              <w:rPr>
                <w:sz w:val="16"/>
                <w:szCs w:val="16"/>
                <w:color w:val="auto"/>
              </w:rPr>
            </w:pPr>
          </w:p>
        </w:tc>
        <w:tc>
          <w:tcPr>
            <w:tcW w:w="70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345</w:t>
            </w:r>
          </w:p>
        </w:tc>
        <w:tc>
          <w:tcPr>
            <w:tcW w:w="280" w:type="dxa"/>
            <w:vAlign w:val="bottom"/>
            <w:tcBorders>
              <w:bottom w:val="single" w:sz="8" w:color="BCBDC0"/>
            </w:tcBorders>
          </w:tcPr>
          <w:p>
            <w:pPr>
              <w:spacing w:after="0"/>
              <w:rPr>
                <w:sz w:val="16"/>
                <w:szCs w:val="16"/>
                <w:color w:val="auto"/>
              </w:rPr>
            </w:pPr>
          </w:p>
        </w:tc>
        <w:tc>
          <w:tcPr>
            <w:tcW w:w="9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tcPr>
          <w:p>
            <w:pPr>
              <w:spacing w:after="0"/>
              <w:rPr>
                <w:sz w:val="16"/>
                <w:szCs w:val="16"/>
                <w:color w:val="auto"/>
              </w:rPr>
            </w:pPr>
          </w:p>
        </w:tc>
        <w:tc>
          <w:tcPr>
            <w:tcW w:w="30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w:t>
            </w:r>
          </w:p>
        </w:tc>
        <w:tc>
          <w:tcPr>
            <w:tcW w:w="86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w w:val="89"/>
              </w:rPr>
              <w:t>15</w:t>
            </w:r>
          </w:p>
        </w:tc>
        <w:tc>
          <w:tcPr>
            <w:tcW w:w="26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Amounts reclassified from accumulated other comprehensive income</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Net current period other comprehensive income (loss)</w:t>
            </w:r>
          </w:p>
        </w:tc>
        <w:tc>
          <w:tcPr>
            <w:tcW w:w="8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342</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w:t>
            </w:r>
          </w:p>
        </w:tc>
        <w:tc>
          <w:tcPr>
            <w:tcW w:w="88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99"/>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(2,438)</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w:t>
            </w:r>
          </w:p>
        </w:tc>
        <w:tc>
          <w:tcPr>
            <w:tcW w:w="88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8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(3,075)</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14. COMMITMENTS AND CONTINGENCIES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environmental matters are described in Note 19 Commitments and Contingencies of Notes to Consolidated Financial Statements in the Company's 2021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2920" w:type="dxa"/>
            <w:vAlign w:val="bottom"/>
            <w:tcBorders>
              <w:top w:val="single" w:sz="8" w:color="D7282F"/>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618</w:t>
            </w:r>
          </w:p>
        </w:tc>
      </w:tr>
      <w:tr>
        <w:trPr>
          <w:trHeight w:val="193"/>
        </w:trPr>
        <w:tc>
          <w:tcPr>
            <w:tcW w:w="78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920" w:type="dxa"/>
            <w:vAlign w:val="bottom"/>
            <w:tcBorders>
              <w:bottom w:val="single" w:sz="8" w:color="BCBDC0"/>
            </w:tcBorders>
          </w:tcPr>
          <w:p>
            <w:pPr>
              <w:spacing w:after="0"/>
              <w:rPr>
                <w:sz w:val="16"/>
                <w:szCs w:val="16"/>
                <w:color w:val="auto"/>
              </w:rPr>
            </w:pPr>
          </w:p>
        </w:tc>
        <w:tc>
          <w:tcPr>
            <w:tcW w:w="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107</w:t>
            </w:r>
          </w:p>
        </w:tc>
      </w:tr>
      <w:tr>
        <w:trPr>
          <w:trHeight w:val="196"/>
        </w:trPr>
        <w:tc>
          <w:tcPr>
            <w:tcW w:w="7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92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(58)</w:t>
            </w:r>
          </w:p>
        </w:tc>
      </w:tr>
      <w:tr>
        <w:trPr>
          <w:trHeight w:val="199"/>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29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Borders>
              <w:bottom w:val="single" w:sz="8" w:color="D7282F"/>
            </w:tcBorders>
          </w:tcPr>
          <w:p>
            <w:pPr>
              <w:spacing w:after="0"/>
              <w:rPr>
                <w:sz w:val="17"/>
                <w:szCs w:val="17"/>
                <w:color w:val="auto"/>
              </w:rPr>
            </w:pPr>
          </w:p>
        </w:tc>
        <w:tc>
          <w:tcPr>
            <w:tcW w:w="4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44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45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Accrued liabilities</w:t>
            </w:r>
          </w:p>
        </w:tc>
        <w:tc>
          <w:tcPr>
            <w:tcW w:w="4560" w:type="dxa"/>
            <w:vAlign w:val="bottom"/>
            <w:tcBorders>
              <w:bottom w:val="single" w:sz="8" w:color="BCBDC0"/>
            </w:tcBorders>
          </w:tcPr>
          <w:p>
            <w:pPr>
              <w:jc w:val="right"/>
              <w:ind w:right="9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218</w:t>
            </w:r>
          </w:p>
        </w:tc>
        <w:tc>
          <w:tcPr>
            <w:tcW w:w="800" w:type="dxa"/>
            <w:vAlign w:val="bottom"/>
            <w:tcBorders>
              <w:bottom w:val="single" w:sz="8" w:color="BCBDC0"/>
            </w:tcBorders>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225</w:t>
            </w:r>
          </w:p>
        </w:tc>
      </w:tr>
      <w:tr>
        <w:trPr>
          <w:trHeight w:val="196"/>
        </w:trPr>
        <w:tc>
          <w:tcPr>
            <w:tcW w:w="45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456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449</w:t>
            </w:r>
          </w:p>
        </w:tc>
        <w:tc>
          <w:tcPr>
            <w:tcW w:w="8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393</w:t>
            </w:r>
          </w:p>
        </w:tc>
      </w:tr>
      <w:tr>
        <w:trPr>
          <w:trHeight w:val="199"/>
        </w:trPr>
        <w:tc>
          <w:tcPr>
            <w:tcW w:w="4580" w:type="dxa"/>
            <w:vAlign w:val="bottom"/>
            <w:tcBorders>
              <w:bottom w:val="single" w:sz="8" w:color="D7282F"/>
            </w:tcBorders>
          </w:tcPr>
          <w:p>
            <w:pPr>
              <w:spacing w:after="0"/>
              <w:rPr>
                <w:sz w:val="17"/>
                <w:szCs w:val="17"/>
                <w:color w:val="auto"/>
              </w:rPr>
            </w:pPr>
          </w:p>
        </w:tc>
        <w:tc>
          <w:tcPr>
            <w:tcW w:w="4560" w:type="dxa"/>
            <w:vAlign w:val="bottom"/>
            <w:tcBorders>
              <w:bottom w:val="single" w:sz="8" w:color="D7282F"/>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667</w:t>
            </w:r>
          </w:p>
        </w:tc>
        <w:tc>
          <w:tcPr>
            <w:tcW w:w="80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618</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Reimbursements associated with this agreement are collected from Resideo quarterly and were $35 million and $70 million in the three and six months ended June 30, 2022, respectively,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six months ended June 30, 2022, was $86 million. As of June 30, 2022, Other current assets and Other assets included $140 million and $473 million, respectively, for the short-term and long-term portion of the receivable amount due from Resideo under the indemnification and reimbursement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2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Borders>
              <w:bottom w:val="single" w:sz="8" w:color="D7282F"/>
            </w:tcBorders>
          </w:tcPr>
          <w:p>
            <w:pPr>
              <w:spacing w:after="0"/>
              <w:rPr>
                <w:sz w:val="17"/>
                <w:szCs w:val="17"/>
                <w:color w:val="auto"/>
              </w:rPr>
            </w:pPr>
          </w:p>
        </w:tc>
        <w:tc>
          <w:tcPr>
            <w:tcW w:w="3760" w:type="dxa"/>
            <w:vAlign w:val="bottom"/>
            <w:tcBorders>
              <w:bottom w:val="single" w:sz="8" w:color="D7282F"/>
            </w:tcBorders>
            <w:gridSpan w:val="2"/>
          </w:tcPr>
          <w:p>
            <w:pPr>
              <w:ind w:left="2920"/>
              <w:spacing w:after="0"/>
              <w:rPr>
                <w:sz w:val="20"/>
                <w:szCs w:val="20"/>
                <w:color w:val="auto"/>
              </w:rPr>
            </w:pPr>
            <w:r>
              <w:rPr>
                <w:rFonts w:ascii="Arial" w:cs="Arial" w:eastAsia="Arial" w:hAnsi="Arial"/>
                <w:sz w:val="14"/>
                <w:szCs w:val="14"/>
                <w:b w:val="1"/>
                <w:bCs w:val="1"/>
                <w:color w:val="auto"/>
              </w:rPr>
              <w:t>Bendix</w:t>
            </w:r>
          </w:p>
        </w:tc>
        <w:tc>
          <w:tcPr>
            <w:tcW w:w="102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55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3120" w:type="dxa"/>
            <w:vAlign w:val="bottom"/>
            <w:tcBorders>
              <w:bottom w:val="single" w:sz="8" w:color="D7282F"/>
            </w:tcBorders>
          </w:tcPr>
          <w:p>
            <w:pPr>
              <w:ind w:left="29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1,372</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2,061</w:t>
            </w:r>
          </w:p>
        </w:tc>
      </w:tr>
      <w:tr>
        <w:trPr>
          <w:trHeight w:val="193"/>
        </w:trPr>
        <w:tc>
          <w:tcPr>
            <w:tcW w:w="5580" w:type="dxa"/>
            <w:vAlign w:val="bottom"/>
            <w:tcBorders>
              <w:bottom w:val="single" w:sz="8" w:color="98989A"/>
            </w:tcBorders>
          </w:tcPr>
          <w:p>
            <w:pPr>
              <w:ind w:left="40"/>
              <w:spacing w:after="0"/>
              <w:rPr>
                <w:sz w:val="20"/>
                <w:szCs w:val="20"/>
                <w:color w:val="auto"/>
              </w:rPr>
            </w:pPr>
            <w:r>
              <w:rPr>
                <w:rFonts w:ascii="Arial" w:cs="Arial" w:eastAsia="Arial" w:hAnsi="Arial"/>
                <w:sz w:val="14"/>
                <w:szCs w:val="14"/>
                <w:color w:val="auto"/>
              </w:rPr>
              <w:t>Accrual for update to estimated liability</w:t>
            </w:r>
          </w:p>
        </w:tc>
        <w:tc>
          <w:tcPr>
            <w:tcW w:w="3120" w:type="dxa"/>
            <w:vAlign w:val="bottom"/>
            <w:tcBorders>
              <w:bottom w:val="single" w:sz="8" w:color="98989A"/>
            </w:tcBorders>
          </w:tcPr>
          <w:p>
            <w:pPr>
              <w:spacing w:after="0"/>
              <w:rPr>
                <w:sz w:val="16"/>
                <w:szCs w:val="16"/>
                <w:color w:val="auto"/>
              </w:rPr>
            </w:pPr>
          </w:p>
        </w:tc>
        <w:tc>
          <w:tcPr>
            <w:tcW w:w="640" w:type="dxa"/>
            <w:vAlign w:val="bottom"/>
            <w:tcBorders>
              <w:bottom w:val="single" w:sz="8" w:color="98989A"/>
            </w:tcBorders>
          </w:tcPr>
          <w:p>
            <w:pPr>
              <w:jc w:val="right"/>
              <w:ind w:right="88"/>
              <w:spacing w:after="0"/>
              <w:rPr>
                <w:sz w:val="20"/>
                <w:szCs w:val="20"/>
                <w:color w:val="auto"/>
              </w:rPr>
            </w:pPr>
            <w:r>
              <w:rPr>
                <w:rFonts w:ascii="Arial" w:cs="Arial" w:eastAsia="Arial" w:hAnsi="Arial"/>
                <w:sz w:val="14"/>
                <w:szCs w:val="14"/>
                <w:color w:val="auto"/>
              </w:rPr>
              <w:t>31</w:t>
            </w:r>
          </w:p>
        </w:tc>
        <w:tc>
          <w:tcPr>
            <w:tcW w:w="420" w:type="dxa"/>
            <w:vAlign w:val="bottom"/>
            <w:tcBorders>
              <w:bottom w:val="single" w:sz="8" w:color="98989A"/>
            </w:tcBorders>
          </w:tcPr>
          <w:p>
            <w:pPr>
              <w:spacing w:after="0"/>
              <w:rPr>
                <w:sz w:val="16"/>
                <w:szCs w:val="16"/>
                <w:color w:val="auto"/>
              </w:rPr>
            </w:pPr>
          </w:p>
        </w:tc>
        <w:tc>
          <w:tcPr>
            <w:tcW w:w="600" w:type="dxa"/>
            <w:vAlign w:val="bottom"/>
            <w:tcBorders>
              <w:bottom w:val="single" w:sz="8" w:color="98989A"/>
            </w:tcBorders>
          </w:tcPr>
          <w:p>
            <w:pPr>
              <w:jc w:val="right"/>
              <w:ind w:right="108"/>
              <w:spacing w:after="0"/>
              <w:rPr>
                <w:sz w:val="20"/>
                <w:szCs w:val="20"/>
                <w:color w:val="auto"/>
              </w:rPr>
            </w:pPr>
            <w:r>
              <w:rPr>
                <w:rFonts w:ascii="Arial" w:cs="Arial" w:eastAsia="Arial" w:hAnsi="Arial"/>
                <w:sz w:val="14"/>
                <w:szCs w:val="14"/>
                <w:color w:val="auto"/>
              </w:rPr>
              <w:t>34</w:t>
            </w:r>
          </w:p>
        </w:tc>
        <w:tc>
          <w:tcPr>
            <w:tcW w:w="220" w:type="dxa"/>
            <w:vAlign w:val="bottom"/>
            <w:tcBorders>
              <w:bottom w:val="single" w:sz="8" w:color="98989A"/>
            </w:tcBorders>
          </w:tcPr>
          <w:p>
            <w:pPr>
              <w:spacing w:after="0"/>
              <w:rPr>
                <w:sz w:val="16"/>
                <w:szCs w:val="16"/>
                <w:color w:val="auto"/>
              </w:rPr>
            </w:pPr>
          </w:p>
        </w:tc>
        <w:tc>
          <w:tcPr>
            <w:tcW w:w="660" w:type="dxa"/>
            <w:vAlign w:val="bottom"/>
            <w:tcBorders>
              <w:bottom w:val="single" w:sz="8" w:color="98989A"/>
            </w:tcBorders>
          </w:tcPr>
          <w:p>
            <w:pPr>
              <w:jc w:val="right"/>
              <w:spacing w:after="0"/>
              <w:rPr>
                <w:sz w:val="20"/>
                <w:szCs w:val="20"/>
                <w:color w:val="auto"/>
              </w:rPr>
            </w:pPr>
            <w:r>
              <w:rPr>
                <w:rFonts w:ascii="Arial" w:cs="Arial" w:eastAsia="Arial" w:hAnsi="Arial"/>
                <w:sz w:val="14"/>
                <w:szCs w:val="14"/>
                <w:color w:val="auto"/>
              </w:rPr>
              <w:t>65</w:t>
            </w:r>
          </w:p>
        </w:tc>
      </w:tr>
      <w:tr>
        <w:trPr>
          <w:trHeight w:val="196"/>
        </w:trPr>
        <w:tc>
          <w:tcPr>
            <w:tcW w:w="5580" w:type="dxa"/>
            <w:vAlign w:val="bottom"/>
            <w:tcBorders>
              <w:bottom w:val="single" w:sz="8" w:color="98989A"/>
            </w:tcBorders>
          </w:tcPr>
          <w:p>
            <w:pPr>
              <w:ind w:left="40"/>
              <w:spacing w:after="0"/>
              <w:rPr>
                <w:sz w:val="20"/>
                <w:szCs w:val="20"/>
                <w:color w:val="auto"/>
              </w:rPr>
            </w:pPr>
            <w:r>
              <w:rPr>
                <w:rFonts w:ascii="Arial" w:cs="Arial" w:eastAsia="Arial" w:hAnsi="Arial"/>
                <w:sz w:val="14"/>
                <w:szCs w:val="14"/>
                <w:color w:val="auto"/>
              </w:rPr>
              <w:t>Change in estimated cost of future claims</w:t>
            </w:r>
          </w:p>
        </w:tc>
        <w:tc>
          <w:tcPr>
            <w:tcW w:w="3120" w:type="dxa"/>
            <w:vAlign w:val="bottom"/>
            <w:tcBorders>
              <w:bottom w:val="single" w:sz="8" w:color="98989A"/>
            </w:tcBorders>
          </w:tcPr>
          <w:p>
            <w:pPr>
              <w:spacing w:after="0"/>
              <w:rPr>
                <w:sz w:val="17"/>
                <w:szCs w:val="17"/>
                <w:color w:val="auto"/>
              </w:rPr>
            </w:pPr>
          </w:p>
        </w:tc>
        <w:tc>
          <w:tcPr>
            <w:tcW w:w="640" w:type="dxa"/>
            <w:vAlign w:val="bottom"/>
            <w:tcBorders>
              <w:bottom w:val="single" w:sz="8" w:color="98989A"/>
            </w:tcBorders>
          </w:tcPr>
          <w:p>
            <w:pPr>
              <w:jc w:val="right"/>
              <w:ind w:right="88"/>
              <w:spacing w:after="0"/>
              <w:rPr>
                <w:sz w:val="20"/>
                <w:szCs w:val="20"/>
                <w:color w:val="auto"/>
              </w:rPr>
            </w:pPr>
            <w:r>
              <w:rPr>
                <w:rFonts w:ascii="Arial" w:cs="Arial" w:eastAsia="Arial" w:hAnsi="Arial"/>
                <w:sz w:val="14"/>
                <w:szCs w:val="14"/>
                <w:color w:val="auto"/>
              </w:rPr>
              <w:t>15</w:t>
            </w:r>
          </w:p>
        </w:tc>
        <w:tc>
          <w:tcPr>
            <w:tcW w:w="420" w:type="dxa"/>
            <w:vAlign w:val="bottom"/>
            <w:tcBorders>
              <w:bottom w:val="single" w:sz="8" w:color="98989A"/>
            </w:tcBorders>
          </w:tcPr>
          <w:p>
            <w:pPr>
              <w:spacing w:after="0"/>
              <w:rPr>
                <w:sz w:val="17"/>
                <w:szCs w:val="17"/>
                <w:color w:val="auto"/>
              </w:rPr>
            </w:pPr>
          </w:p>
        </w:tc>
        <w:tc>
          <w:tcPr>
            <w:tcW w:w="600" w:type="dxa"/>
            <w:vAlign w:val="bottom"/>
            <w:tcBorders>
              <w:bottom w:val="single" w:sz="8" w:color="98989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8989A"/>
            </w:tcBorders>
          </w:tcPr>
          <w:p>
            <w:pPr>
              <w:spacing w:after="0"/>
              <w:rPr>
                <w:sz w:val="17"/>
                <w:szCs w:val="17"/>
                <w:color w:val="auto"/>
              </w:rPr>
            </w:pPr>
          </w:p>
        </w:tc>
        <w:tc>
          <w:tcPr>
            <w:tcW w:w="660" w:type="dxa"/>
            <w:vAlign w:val="bottom"/>
            <w:tcBorders>
              <w:bottom w:val="single" w:sz="8" w:color="98989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5580" w:type="dxa"/>
            <w:vAlign w:val="bottom"/>
            <w:tcBorders>
              <w:bottom w:val="single" w:sz="8" w:color="D7282F"/>
            </w:tcBorders>
          </w:tcPr>
          <w:p>
            <w:pPr>
              <w:ind w:left="40"/>
              <w:spacing w:after="0"/>
              <w:rPr>
                <w:sz w:val="20"/>
                <w:szCs w:val="20"/>
                <w:color w:val="auto"/>
              </w:rPr>
            </w:pPr>
            <w:r>
              <w:rPr>
                <w:rFonts w:ascii="Arial" w:cs="Arial" w:eastAsia="Arial" w:hAnsi="Arial"/>
                <w:sz w:val="14"/>
                <w:szCs w:val="14"/>
                <w:color w:val="auto"/>
              </w:rPr>
              <w:t>Asbestos-related liability payments</w:t>
            </w:r>
          </w:p>
        </w:tc>
        <w:tc>
          <w:tcPr>
            <w:tcW w:w="3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(100)</w:t>
            </w:r>
          </w:p>
        </w:tc>
        <w:tc>
          <w:tcPr>
            <w:tcW w:w="4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(125)</w:t>
            </w:r>
          </w:p>
        </w:tc>
      </w:tr>
      <w:tr>
        <w:trPr>
          <w:trHeight w:val="199"/>
        </w:trPr>
        <w:tc>
          <w:tcPr>
            <w:tcW w:w="55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June 30, 2022</w:t>
            </w:r>
          </w:p>
        </w:tc>
        <w:tc>
          <w:tcPr>
            <w:tcW w:w="3120" w:type="dxa"/>
            <w:vAlign w:val="bottom"/>
            <w:tcBorders>
              <w:bottom w:val="single" w:sz="8" w:color="D7282F"/>
            </w:tcBorders>
          </w:tcPr>
          <w:p>
            <w:pPr>
              <w:ind w:left="29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1,318</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698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2,016</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00" w:type="dxa"/>
            <w:vAlign w:val="bottom"/>
            <w:tcBorders>
              <w:bottom w:val="single" w:sz="8" w:color="D7282F"/>
            </w:tcBorders>
          </w:tcPr>
          <w:p>
            <w:pPr>
              <w:spacing w:after="0"/>
              <w:rPr>
                <w:sz w:val="17"/>
                <w:szCs w:val="17"/>
                <w:color w:val="auto"/>
              </w:rPr>
            </w:pPr>
          </w:p>
        </w:tc>
        <w:tc>
          <w:tcPr>
            <w:tcW w:w="3540" w:type="dxa"/>
            <w:vAlign w:val="bottom"/>
            <w:tcBorders>
              <w:bottom w:val="single" w:sz="8" w:color="D7282F"/>
            </w:tcBorders>
            <w:gridSpan w:val="2"/>
          </w:tcPr>
          <w:p>
            <w:pPr>
              <w:ind w:left="2700"/>
              <w:spacing w:after="0"/>
              <w:rPr>
                <w:sz w:val="20"/>
                <w:szCs w:val="20"/>
                <w:color w:val="auto"/>
              </w:rPr>
            </w:pPr>
            <w:r>
              <w:rPr>
                <w:rFonts w:ascii="Arial" w:cs="Arial" w:eastAsia="Arial" w:hAnsi="Arial"/>
                <w:sz w:val="14"/>
                <w:szCs w:val="14"/>
                <w:b w:val="1"/>
                <w:bCs w:val="1"/>
                <w:color w:val="auto"/>
              </w:rPr>
              <w:t>Bendix</w:t>
            </w:r>
          </w:p>
        </w:tc>
        <w:tc>
          <w:tcPr>
            <w:tcW w:w="102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5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2960" w:type="dxa"/>
            <w:vAlign w:val="bottom"/>
            <w:tcBorders>
              <w:bottom w:val="single" w:sz="8" w:color="D7282F"/>
            </w:tcBorders>
          </w:tcPr>
          <w:p>
            <w:pPr>
              <w:ind w:left="270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142</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363</w:t>
            </w:r>
          </w:p>
        </w:tc>
      </w:tr>
      <w:tr>
        <w:trPr>
          <w:trHeight w:val="193"/>
        </w:trPr>
        <w:tc>
          <w:tcPr>
            <w:tcW w:w="5800" w:type="dxa"/>
            <w:vAlign w:val="bottom"/>
            <w:tcBorders>
              <w:bottom w:val="single" w:sz="8" w:color="D7282F"/>
            </w:tcBorders>
          </w:tcPr>
          <w:p>
            <w:pPr>
              <w:ind w:left="40"/>
              <w:spacing w:after="0"/>
              <w:rPr>
                <w:sz w:val="20"/>
                <w:szCs w:val="20"/>
                <w:color w:val="auto"/>
              </w:rPr>
            </w:pPr>
            <w:r>
              <w:rPr>
                <w:rFonts w:ascii="Arial" w:cs="Arial" w:eastAsia="Arial" w:hAnsi="Arial"/>
                <w:sz w:val="14"/>
                <w:szCs w:val="14"/>
                <w:color w:val="auto"/>
              </w:rPr>
              <w:t>Insurance receipts for asbestos-related liabilities</w:t>
            </w:r>
          </w:p>
        </w:tc>
        <w:tc>
          <w:tcPr>
            <w:tcW w:w="296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w:t>
            </w:r>
          </w:p>
        </w:tc>
        <w:tc>
          <w:tcPr>
            <w:tcW w:w="42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(46)</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w:t>
            </w:r>
          </w:p>
        </w:tc>
      </w:tr>
      <w:tr>
        <w:trPr>
          <w:trHeight w:val="199"/>
        </w:trPr>
        <w:tc>
          <w:tcPr>
            <w:tcW w:w="5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June 30, 2022</w:t>
            </w:r>
          </w:p>
        </w:tc>
        <w:tc>
          <w:tcPr>
            <w:tcW w:w="2960" w:type="dxa"/>
            <w:vAlign w:val="bottom"/>
            <w:tcBorders>
              <w:bottom w:val="single" w:sz="8" w:color="D7282F"/>
            </w:tcBorders>
          </w:tcPr>
          <w:p>
            <w:pPr>
              <w:ind w:left="270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138</w:t>
            </w:r>
          </w:p>
        </w:tc>
        <w:tc>
          <w:tcPr>
            <w:tcW w:w="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313</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June 30, 2022</w:t>
            </w:r>
          </w:p>
        </w:tc>
        <w:tc>
          <w:tcPr>
            <w:tcW w:w="166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56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current assets</w:t>
            </w:r>
          </w:p>
        </w:tc>
        <w:tc>
          <w:tcPr>
            <w:tcW w:w="2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41</w:t>
            </w:r>
          </w:p>
        </w:tc>
        <w:tc>
          <w:tcPr>
            <w:tcW w:w="74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24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272</w:t>
            </w:r>
          </w:p>
        </w:tc>
        <w:tc>
          <w:tcPr>
            <w:tcW w:w="7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322</w:t>
            </w:r>
          </w:p>
        </w:tc>
      </w:tr>
      <w:tr>
        <w:trPr>
          <w:trHeight w:val="199"/>
        </w:trPr>
        <w:tc>
          <w:tcPr>
            <w:tcW w:w="56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313</w:t>
            </w:r>
          </w:p>
        </w:tc>
        <w:tc>
          <w:tcPr>
            <w:tcW w:w="7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363</w:t>
            </w:r>
          </w:p>
        </w:tc>
      </w:tr>
      <w:tr>
        <w:trPr>
          <w:trHeight w:val="193"/>
        </w:trPr>
        <w:tc>
          <w:tcPr>
            <w:tcW w:w="56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Accrued liabilities</w:t>
            </w:r>
          </w:p>
        </w:tc>
        <w:tc>
          <w:tcPr>
            <w:tcW w:w="24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236</w:t>
            </w:r>
          </w:p>
        </w:tc>
        <w:tc>
          <w:tcPr>
            <w:tcW w:w="740" w:type="dxa"/>
            <w:vAlign w:val="bottom"/>
            <w:tcBorders>
              <w:bottom w:val="single" w:sz="8" w:color="BCBDC0"/>
            </w:tcBorders>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261</w:t>
            </w:r>
          </w:p>
        </w:tc>
      </w:tr>
      <w:tr>
        <w:trPr>
          <w:trHeight w:val="196"/>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2480" w:type="dxa"/>
            <w:vAlign w:val="bottom"/>
            <w:tcBorders>
              <w:bottom w:val="single" w:sz="8" w:color="D7282F"/>
            </w:tcBorders>
          </w:tcPr>
          <w:p>
            <w:pPr>
              <w:spacing w:after="0"/>
              <w:rPr>
                <w:sz w:val="17"/>
                <w:szCs w:val="17"/>
                <w:color w:val="auto"/>
              </w:rPr>
            </w:pPr>
          </w:p>
        </w:tc>
        <w:tc>
          <w:tcPr>
            <w:tcW w:w="14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1,780</w:t>
            </w:r>
          </w:p>
        </w:tc>
        <w:tc>
          <w:tcPr>
            <w:tcW w:w="7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1,800</w:t>
            </w:r>
          </w:p>
        </w:tc>
      </w:tr>
      <w:tr>
        <w:trPr>
          <w:trHeight w:val="199"/>
        </w:trPr>
        <w:tc>
          <w:tcPr>
            <w:tcW w:w="56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2,061</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The NARCO Trust Agreement (TA) and the NARCO Trust Distribution Procedures (TDP) set forth the structure and operating rules of the Trust, and established Honeywell’s evergreen funding obligations.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accordance with the TA, the Trust is eligible to receive cash dividends from Harbison-Walker International Inc. (HWI), the reorganized and renamed entity that emerged from the NARCO bankruptcy. HWI cash dividends are required to be used to pay asbestos-related claims which qualify for payment under the TDP (Annual Contribution Claims) until those funds are exhausted, at which point the Company’s funding obligation, subject to an annual cap of $145 million, is triggered. The Trust received dividend payments from HWI in 2021 and 2022. The Company is also required to fund amounts owed pursuant to settlement agreements reached during the pendency of the NARCO bankruptcy proceedings that provide for the right to submit claims to the Trust subject to qualification under the terms of the settlement agreements and TDP (Pre-Established Unliquidated Claims), as well as fund the annual operating costs of the Trust. There is no annual funding cap relative to Pre-Established Unliquidated Claims.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operating rules per the TDP define criteria claimants must meet for a claim to be considered valid and paid, which include adequate medical evidence of the claimant’s asbestos-related condition and credible evidence of exposure to a specific NARCO asbestos-containing product. The TDP allows Honeywell to audit claim support documents against these criteria. Once operational in 2014, the Trust began to receive, process and pay claims. The Company identified several issues with the way the Trust was adhering to the TDP in audits subsequent to the Trust becoming operational. The Company consistently raised with the Trust concern that the Trust adopted an improper practice of paying claimants who have not demonstrated the requisite exposure. The Trust refused to alter its practices for payment of claims, and in September 2021, Honeywell filed suit against the Trust in the United States Bankruptcy Court for the Western District of Pennsylvania (Bankruptcy Court) alleging that the Trust has breached its duties in managing the Trust, including breaches of certain provisions of the TA and TDP. Honeywell's lawsuit seeks appropriate relief preventing the Trust from continuing these practices. The Trust also filed suit against Honeywell, alleging Honeywell has breached its obligations under the Trust's governing documents. Honeywell moved to dismiss the Trust’s suit, and on December 15, 2021, the Bankruptcy Court granted Honeywell’s motion to dismiss subject to granting the Trust leave to file an amended complaint. On December 28, 2021, the Trust filed an answer with counterclaims in response to Honeywell’s complaint and in lieu of filing an amended complaint. The Bankruptcy Court conducted a trial on these matters during May 2022; the Bankruptcy Court's ruling is pending. At this time, the Company cannot predict the outcome of these matters, or the potential impact on the asbestos-related liabilities.</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Due to the bankruptcy filing in 2002, claimants were not permitted to file additional claims until the Trust became operative in 2014. As a consequence, there was a large backlog of claims filed with the Trust upon it becoming operative in 2014 through December 31, 2017, the date by which these claims had to be filed or else be barred by the expiration of the statute of limitations. Therefore, the claims filing rate did not start to normalize until 2018 and thereafter. As a result, between 2002 and 2018, the Company lacked a history of sufficiently reliable claims data to derive a reasonable estimate of its NARCO asbestos-related liability, and the Company continued to update its original estimate, as appropriate, using all available information.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Beginning in 2020, with three years of sufficiently reliable claims data, the Company updated its estimate of the NARCO asbestos-related liability. The estimate for the resolution of asserted Annual Contribution Claims and Pre-Established Unliquidated Claims uses average payment values for the relevant historical period. The estimate for unasserted claims is based on historic and anticipated claims filing experience and payment rates, disease classifications and type of claim, and average payment values by the Trust for the relevant historical period. The Company utilizes an asbestos liability valuation specialist to support the preparation of the NARCO asbestos-related liability estimates during the fourth quarter each year. The Company's estimates, which involve significant management judgment, and consider multiple scenarios, include all years of epidemiological disease projection through 2059.</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NARCO asbestos-related liability reflects an estimate for the resolution of Annual Contribution Claims and Pre-Established Unliquidated Claims filed with the Trust, as well as for unasserted Annual Contribution Claims and Pre-Established Unliquidated Claims. The NARCO asbestos-related liability excludes the annual operating expenses of the Trust which are expensed as they are incurred.</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NARCO-related insurance receivable reflects coverage which reimburses Honeywell for portions of NARCO-related claims and defense costs. This coverage is provided by a large number of insurance policies written by dozens of insurance companies in both the domestic insurance market and the London excess market. Honeywell's NARCO-related insurance receivable is an estimate of the probable amount of insurance that is recoverable for asbestos claims. The Company's judgments related to the Company's insurance carriers and insurance coverages are reasonable and consistent with Honeywell's historical dealings and Honeywell's knowledge of any pertinent solvency issues surrounding insurers.</w:t>
      </w:r>
    </w:p>
    <w:p>
      <w:pPr>
        <w:spacing w:after="0" w:line="7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98"/>
              </w:rPr>
              <w:t>Years Ended</w:t>
            </w:r>
          </w:p>
        </w:tc>
        <w:tc>
          <w:tcPr>
            <w:tcW w:w="1060" w:type="dxa"/>
            <w:vAlign w:val="bottom"/>
          </w:tcPr>
          <w:p>
            <w:pPr>
              <w:spacing w:after="0"/>
              <w:rPr>
                <w:sz w:val="14"/>
                <w:szCs w:val="14"/>
                <w:color w:val="auto"/>
              </w:rPr>
            </w:pPr>
          </w:p>
        </w:tc>
      </w:tr>
      <w:tr>
        <w:trPr>
          <w:trHeight w:val="189"/>
        </w:trPr>
        <w:tc>
          <w:tcPr>
            <w:tcW w:w="5680" w:type="dxa"/>
            <w:vAlign w:val="bottom"/>
          </w:tcPr>
          <w:p>
            <w:pPr>
              <w:spacing w:after="0"/>
              <w:rPr>
                <w:sz w:val="16"/>
                <w:szCs w:val="16"/>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r>
      <w:tr>
        <w:trPr>
          <w:trHeight w:val="195"/>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Activity</w:t>
            </w:r>
          </w:p>
        </w:tc>
        <w:tc>
          <w:tcPr>
            <w:tcW w:w="176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6"/>
                <w:szCs w:val="16"/>
                <w:color w:val="auto"/>
              </w:rPr>
            </w:pPr>
          </w:p>
        </w:tc>
        <w:tc>
          <w:tcPr>
            <w:tcW w:w="1280" w:type="dxa"/>
            <w:vAlign w:val="bottom"/>
            <w:tcBorders>
              <w:top w:val="single" w:sz="8" w:color="D7282F"/>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D7282F"/>
              <w:bottom w:val="single" w:sz="8" w:color="D7282F"/>
            </w:tcBorders>
          </w:tcPr>
          <w:p>
            <w:pPr>
              <w:spacing w:after="0"/>
              <w:rPr>
                <w:sz w:val="16"/>
                <w:szCs w:val="16"/>
                <w:color w:val="auto"/>
              </w:rPr>
            </w:pPr>
          </w:p>
        </w:tc>
        <w:tc>
          <w:tcPr>
            <w:tcW w:w="220" w:type="dxa"/>
            <w:vAlign w:val="bottom"/>
            <w:tcBorders>
              <w:top w:val="single" w:sz="8" w:color="D7282F"/>
              <w:bottom w:val="single" w:sz="8" w:color="D7282F"/>
            </w:tcBorders>
          </w:tcPr>
          <w:p>
            <w:pPr>
              <w:spacing w:after="0"/>
              <w:rPr>
                <w:sz w:val="16"/>
                <w:szCs w:val="16"/>
                <w:color w:val="auto"/>
              </w:rPr>
            </w:pPr>
          </w:p>
        </w:tc>
        <w:tc>
          <w:tcPr>
            <w:tcW w:w="940" w:type="dxa"/>
            <w:vAlign w:val="bottom"/>
            <w:tcBorders>
              <w:top w:val="single" w:sz="8" w:color="D7282F"/>
              <w:bottom w:val="single" w:sz="8" w:color="D7282F"/>
            </w:tcBorders>
          </w:tcPr>
          <w:p>
            <w:pPr>
              <w:spacing w:after="0"/>
              <w:rPr>
                <w:sz w:val="16"/>
                <w:szCs w:val="16"/>
                <w:color w:val="auto"/>
              </w:rPr>
            </w:pPr>
          </w:p>
        </w:tc>
        <w:tc>
          <w:tcPr>
            <w:tcW w:w="1060" w:type="dxa"/>
            <w:vAlign w:val="bottom"/>
            <w:tcBorders>
              <w:top w:val="single" w:sz="8" w:color="D7282F"/>
              <w:bottom w:val="single" w:sz="8" w:color="D7282F"/>
            </w:tcBorders>
          </w:tcPr>
          <w:p>
            <w:pPr>
              <w:jc w:val="right"/>
              <w:ind w:right="668"/>
              <w:spacing w:after="0"/>
              <w:rPr>
                <w:sz w:val="20"/>
                <w:szCs w:val="20"/>
                <w:color w:val="auto"/>
              </w:rPr>
            </w:pPr>
            <w:r>
              <w:rPr>
                <w:rFonts w:ascii="Arial" w:cs="Arial" w:eastAsia="Arial" w:hAnsi="Arial"/>
                <w:sz w:val="14"/>
                <w:szCs w:val="14"/>
                <w:b w:val="1"/>
                <w:bCs w:val="1"/>
                <w:color w:val="auto"/>
                <w:w w:val="96"/>
              </w:rPr>
              <w:t>2020</w:t>
            </w:r>
          </w:p>
        </w:tc>
      </w:tr>
      <w:tr>
        <w:trPr>
          <w:trHeight w:val="193"/>
        </w:trPr>
        <w:tc>
          <w:tcPr>
            <w:tcW w:w="56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Claims unresolved at the beginning of period</w:t>
            </w:r>
          </w:p>
        </w:tc>
        <w:tc>
          <w:tcPr>
            <w:tcW w:w="1760" w:type="dxa"/>
            <w:vAlign w:val="bottom"/>
            <w:tcBorders>
              <w:bottom w:val="single" w:sz="8" w:color="BCBDC0"/>
            </w:tcBorders>
          </w:tcPr>
          <w:p>
            <w:pPr>
              <w:jc w:val="center"/>
              <w:ind w:left="1208"/>
              <w:spacing w:after="0"/>
              <w:rPr>
                <w:sz w:val="20"/>
                <w:szCs w:val="20"/>
                <w:color w:val="auto"/>
              </w:rPr>
            </w:pPr>
            <w:r>
              <w:rPr>
                <w:rFonts w:ascii="Arial" w:cs="Arial" w:eastAsia="Arial" w:hAnsi="Arial"/>
                <w:sz w:val="14"/>
                <w:szCs w:val="14"/>
                <w:color w:val="auto"/>
              </w:rPr>
              <w:t>6,401</w:t>
            </w:r>
          </w:p>
        </w:tc>
        <w:tc>
          <w:tcPr>
            <w:tcW w:w="2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940" w:type="dxa"/>
            <w:vAlign w:val="bottom"/>
            <w:tcBorders>
              <w:bottom w:val="single" w:sz="8" w:color="BCBDC0"/>
            </w:tcBorders>
          </w:tcPr>
          <w:p>
            <w:pPr>
              <w:spacing w:after="0"/>
              <w:rPr>
                <w:sz w:val="16"/>
                <w:szCs w:val="16"/>
                <w:color w:val="auto"/>
              </w:rPr>
            </w:pPr>
          </w:p>
        </w:tc>
        <w:tc>
          <w:tcPr>
            <w:tcW w:w="1220" w:type="dxa"/>
            <w:vAlign w:val="bottom"/>
            <w:tcBorders>
              <w:bottom w:val="single" w:sz="8" w:color="BCBDC0"/>
            </w:tcBorders>
            <w:gridSpan w:val="3"/>
          </w:tcPr>
          <w:p>
            <w:pPr>
              <w:jc w:val="right"/>
              <w:ind w:right="708"/>
              <w:spacing w:after="0"/>
              <w:rPr>
                <w:sz w:val="20"/>
                <w:szCs w:val="20"/>
                <w:color w:val="auto"/>
              </w:rPr>
            </w:pPr>
            <w:r>
              <w:rPr>
                <w:rFonts w:ascii="Arial" w:cs="Arial" w:eastAsia="Arial" w:hAnsi="Arial"/>
                <w:sz w:val="14"/>
                <w:szCs w:val="14"/>
                <w:color w:val="auto"/>
              </w:rPr>
              <w:t>6,242</w:t>
            </w:r>
          </w:p>
        </w:tc>
        <w:tc>
          <w:tcPr>
            <w:tcW w:w="1060" w:type="dxa"/>
            <w:vAlign w:val="bottom"/>
            <w:tcBorders>
              <w:bottom w:val="single" w:sz="8" w:color="BCBDC0"/>
            </w:tcBorders>
          </w:tcPr>
          <w:p>
            <w:pPr>
              <w:jc w:val="center"/>
              <w:ind w:left="508"/>
              <w:spacing w:after="0"/>
              <w:rPr>
                <w:sz w:val="20"/>
                <w:szCs w:val="20"/>
                <w:color w:val="auto"/>
              </w:rPr>
            </w:pPr>
            <w:r>
              <w:rPr>
                <w:rFonts w:ascii="Arial" w:cs="Arial" w:eastAsia="Arial" w:hAnsi="Arial"/>
                <w:sz w:val="14"/>
                <w:szCs w:val="14"/>
                <w:color w:val="auto"/>
              </w:rPr>
              <w:t>6,480</w:t>
            </w:r>
          </w:p>
        </w:tc>
      </w:tr>
      <w:tr>
        <w:trPr>
          <w:trHeight w:val="196"/>
        </w:trPr>
        <w:tc>
          <w:tcPr>
            <w:tcW w:w="56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Claims filed</w:t>
            </w:r>
          </w:p>
        </w:tc>
        <w:tc>
          <w:tcPr>
            <w:tcW w:w="1760" w:type="dxa"/>
            <w:vAlign w:val="bottom"/>
            <w:tcBorders>
              <w:bottom w:val="single" w:sz="8" w:color="BCBDC0"/>
            </w:tcBorders>
          </w:tcPr>
          <w:p>
            <w:pPr>
              <w:jc w:val="center"/>
              <w:ind w:left="1208"/>
              <w:spacing w:after="0"/>
              <w:rPr>
                <w:sz w:val="20"/>
                <w:szCs w:val="20"/>
                <w:color w:val="auto"/>
              </w:rPr>
            </w:pPr>
            <w:r>
              <w:rPr>
                <w:rFonts w:ascii="Arial" w:cs="Arial" w:eastAsia="Arial" w:hAnsi="Arial"/>
                <w:sz w:val="14"/>
                <w:szCs w:val="14"/>
                <w:color w:val="auto"/>
              </w:rPr>
              <w:t>1,078</w:t>
            </w:r>
          </w:p>
        </w:tc>
        <w:tc>
          <w:tcPr>
            <w:tcW w:w="24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spacing w:after="0"/>
              <w:rPr>
                <w:sz w:val="17"/>
                <w:szCs w:val="17"/>
                <w:color w:val="auto"/>
              </w:rPr>
            </w:pPr>
          </w:p>
        </w:tc>
        <w:tc>
          <w:tcPr>
            <w:tcW w:w="1220" w:type="dxa"/>
            <w:vAlign w:val="bottom"/>
            <w:tcBorders>
              <w:bottom w:val="single" w:sz="8" w:color="BCBDC0"/>
            </w:tcBorders>
            <w:gridSpan w:val="3"/>
          </w:tcPr>
          <w:p>
            <w:pPr>
              <w:jc w:val="right"/>
              <w:ind w:right="708"/>
              <w:spacing w:after="0"/>
              <w:rPr>
                <w:sz w:val="20"/>
                <w:szCs w:val="20"/>
                <w:color w:val="auto"/>
              </w:rPr>
            </w:pPr>
            <w:r>
              <w:rPr>
                <w:rFonts w:ascii="Arial" w:cs="Arial" w:eastAsia="Arial" w:hAnsi="Arial"/>
                <w:sz w:val="14"/>
                <w:szCs w:val="14"/>
                <w:color w:val="auto"/>
              </w:rPr>
              <w:t>2,611</w:t>
            </w:r>
          </w:p>
        </w:tc>
        <w:tc>
          <w:tcPr>
            <w:tcW w:w="1060" w:type="dxa"/>
            <w:vAlign w:val="bottom"/>
            <w:tcBorders>
              <w:bottom w:val="single" w:sz="8" w:color="BCBDC0"/>
            </w:tcBorders>
          </w:tcPr>
          <w:p>
            <w:pPr>
              <w:jc w:val="center"/>
              <w:ind w:left="508"/>
              <w:spacing w:after="0"/>
              <w:rPr>
                <w:sz w:val="20"/>
                <w:szCs w:val="20"/>
                <w:color w:val="auto"/>
              </w:rPr>
            </w:pPr>
            <w:r>
              <w:rPr>
                <w:rFonts w:ascii="Arial" w:cs="Arial" w:eastAsia="Arial" w:hAnsi="Arial"/>
                <w:sz w:val="14"/>
                <w:szCs w:val="14"/>
                <w:color w:val="auto"/>
              </w:rPr>
              <w:t>2,233</w:t>
            </w:r>
          </w:p>
        </w:tc>
      </w:tr>
      <w:tr>
        <w:trPr>
          <w:trHeight w:val="196"/>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Claims resolved</w:t>
            </w:r>
          </w:p>
        </w:tc>
        <w:tc>
          <w:tcPr>
            <w:tcW w:w="1760" w:type="dxa"/>
            <w:vAlign w:val="bottom"/>
            <w:tcBorders>
              <w:bottom w:val="single" w:sz="8" w:color="D7282F"/>
            </w:tcBorders>
          </w:tcPr>
          <w:p>
            <w:pPr>
              <w:jc w:val="center"/>
              <w:ind w:left="1188"/>
              <w:spacing w:after="0"/>
              <w:rPr>
                <w:sz w:val="20"/>
                <w:szCs w:val="20"/>
                <w:color w:val="auto"/>
              </w:rPr>
            </w:pPr>
            <w:r>
              <w:rPr>
                <w:rFonts w:ascii="Arial" w:cs="Arial" w:eastAsia="Arial" w:hAnsi="Arial"/>
                <w:sz w:val="14"/>
                <w:szCs w:val="14"/>
                <w:color w:val="auto"/>
              </w:rPr>
              <w:t>(1,467)</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gridSpan w:val="3"/>
          </w:tcPr>
          <w:p>
            <w:pPr>
              <w:jc w:val="right"/>
              <w:ind w:right="668"/>
              <w:spacing w:after="0"/>
              <w:rPr>
                <w:sz w:val="20"/>
                <w:szCs w:val="20"/>
                <w:color w:val="auto"/>
              </w:rPr>
            </w:pPr>
            <w:r>
              <w:rPr>
                <w:rFonts w:ascii="Arial" w:cs="Arial" w:eastAsia="Arial" w:hAnsi="Arial"/>
                <w:sz w:val="14"/>
                <w:szCs w:val="14"/>
                <w:color w:val="auto"/>
              </w:rPr>
              <w:t>(2,452)</w:t>
            </w:r>
          </w:p>
        </w:tc>
        <w:tc>
          <w:tcPr>
            <w:tcW w:w="1060" w:type="dxa"/>
            <w:vAlign w:val="bottom"/>
            <w:tcBorders>
              <w:bottom w:val="single" w:sz="8" w:color="D7282F"/>
            </w:tcBorders>
          </w:tcPr>
          <w:p>
            <w:pPr>
              <w:jc w:val="center"/>
              <w:ind w:left="488"/>
              <w:spacing w:after="0"/>
              <w:rPr>
                <w:sz w:val="20"/>
                <w:szCs w:val="20"/>
                <w:color w:val="auto"/>
              </w:rPr>
            </w:pPr>
            <w:r>
              <w:rPr>
                <w:rFonts w:ascii="Arial" w:cs="Arial" w:eastAsia="Arial" w:hAnsi="Arial"/>
                <w:sz w:val="14"/>
                <w:szCs w:val="14"/>
                <w:color w:val="auto"/>
              </w:rPr>
              <w:t>(2,471)</w:t>
            </w:r>
          </w:p>
        </w:tc>
      </w:tr>
      <w:tr>
        <w:trPr>
          <w:trHeight w:val="199"/>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760" w:type="dxa"/>
            <w:vAlign w:val="bottom"/>
            <w:tcBorders>
              <w:bottom w:val="single" w:sz="8" w:color="D7282F"/>
            </w:tcBorders>
          </w:tcPr>
          <w:p>
            <w:pPr>
              <w:jc w:val="center"/>
              <w:ind w:left="1208"/>
              <w:spacing w:after="0"/>
              <w:rPr>
                <w:sz w:val="20"/>
                <w:szCs w:val="20"/>
                <w:color w:val="auto"/>
              </w:rPr>
            </w:pPr>
            <w:r>
              <w:rPr>
                <w:rFonts w:ascii="Arial" w:cs="Arial" w:eastAsia="Arial" w:hAnsi="Arial"/>
                <w:sz w:val="14"/>
                <w:szCs w:val="14"/>
                <w:b w:val="1"/>
                <w:bCs w:val="1"/>
                <w:color w:val="auto"/>
              </w:rPr>
              <w:t>6,012</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gridSpan w:val="3"/>
          </w:tcPr>
          <w:p>
            <w:pPr>
              <w:jc w:val="right"/>
              <w:ind w:right="708"/>
              <w:spacing w:after="0"/>
              <w:rPr>
                <w:sz w:val="20"/>
                <w:szCs w:val="20"/>
                <w:color w:val="auto"/>
              </w:rPr>
            </w:pPr>
            <w:r>
              <w:rPr>
                <w:rFonts w:ascii="Arial" w:cs="Arial" w:eastAsia="Arial" w:hAnsi="Arial"/>
                <w:sz w:val="14"/>
                <w:szCs w:val="14"/>
                <w:b w:val="1"/>
                <w:bCs w:val="1"/>
                <w:color w:val="auto"/>
              </w:rPr>
              <w:t>6,401</w:t>
            </w:r>
          </w:p>
        </w:tc>
        <w:tc>
          <w:tcPr>
            <w:tcW w:w="1060" w:type="dxa"/>
            <w:vAlign w:val="bottom"/>
            <w:tcBorders>
              <w:bottom w:val="single" w:sz="8" w:color="D7282F"/>
            </w:tcBorders>
          </w:tcPr>
          <w:p>
            <w:pPr>
              <w:jc w:val="center"/>
              <w:ind w:left="508"/>
              <w:spacing w:after="0"/>
              <w:rPr>
                <w:sz w:val="20"/>
                <w:szCs w:val="20"/>
                <w:color w:val="auto"/>
              </w:rPr>
            </w:pPr>
            <w:r>
              <w:rPr>
                <w:rFonts w:ascii="Arial" w:cs="Arial" w:eastAsia="Arial" w:hAnsi="Arial"/>
                <w:sz w:val="14"/>
                <w:szCs w:val="14"/>
                <w:b w:val="1"/>
                <w:bCs w:val="1"/>
                <w:color w:val="auto"/>
              </w:rPr>
              <w:t>6,242</w:t>
            </w:r>
          </w:p>
        </w:tc>
      </w:tr>
      <w:tr>
        <w:trPr>
          <w:trHeight w:val="411"/>
        </w:trPr>
        <w:tc>
          <w:tcPr>
            <w:tcW w:w="5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D7282F"/>
            </w:tcBorders>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Borders>
              <w:bottom w:val="single" w:sz="8" w:color="D7282F"/>
            </w:tcBorders>
            <w:gridSpan w:val="2"/>
          </w:tcPr>
          <w:p>
            <w:pPr>
              <w:jc w:val="right"/>
              <w:ind w:right="468"/>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1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20" w:type="dxa"/>
            <w:vAlign w:val="bottom"/>
            <w:tcBorders>
              <w:bottom w:val="single" w:sz="8" w:color="D7282F"/>
            </w:tcBorders>
            <w:gridSpan w:val="3"/>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2020</w:t>
            </w:r>
          </w:p>
        </w:tc>
      </w:tr>
      <w:tr>
        <w:trPr>
          <w:trHeight w:val="193"/>
        </w:trPr>
        <w:tc>
          <w:tcPr>
            <w:tcW w:w="56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76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128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3,413</w:t>
            </w:r>
          </w:p>
        </w:tc>
        <w:tc>
          <w:tcPr>
            <w:tcW w:w="1220" w:type="dxa"/>
            <w:vAlign w:val="bottom"/>
            <w:tcBorders>
              <w:bottom w:val="single" w:sz="8" w:color="BCBDC0"/>
            </w:tcBorders>
            <w:gridSpan w:val="3"/>
          </w:tcPr>
          <w:p>
            <w:pPr>
              <w:jc w:val="right"/>
              <w:spacing w:after="0"/>
              <w:rPr>
                <w:sz w:val="20"/>
                <w:szCs w:val="20"/>
                <w:color w:val="auto"/>
              </w:rPr>
            </w:pPr>
            <w:r>
              <w:rPr>
                <w:rFonts w:ascii="Arial" w:cs="Arial" w:eastAsia="Arial" w:hAnsi="Arial"/>
                <w:sz w:val="14"/>
                <w:szCs w:val="14"/>
                <w:color w:val="auto"/>
              </w:rPr>
              <w:t>3,760</w:t>
            </w:r>
          </w:p>
        </w:tc>
        <w:tc>
          <w:tcPr>
            <w:tcW w:w="1060" w:type="dxa"/>
            <w:vAlign w:val="bottom"/>
            <w:tcBorders>
              <w:bottom w:val="single" w:sz="8" w:color="BCBDC0"/>
            </w:tcBorders>
          </w:tcPr>
          <w:p>
            <w:pPr>
              <w:jc w:val="center"/>
              <w:ind w:left="508"/>
              <w:spacing w:after="0"/>
              <w:rPr>
                <w:sz w:val="20"/>
                <w:szCs w:val="20"/>
                <w:color w:val="auto"/>
              </w:rPr>
            </w:pPr>
            <w:r>
              <w:rPr>
                <w:rFonts w:ascii="Arial" w:cs="Arial" w:eastAsia="Arial" w:hAnsi="Arial"/>
                <w:sz w:val="14"/>
                <w:szCs w:val="14"/>
                <w:color w:val="auto"/>
              </w:rPr>
              <w:t>3,422</w:t>
            </w:r>
          </w:p>
        </w:tc>
      </w:tr>
      <w:tr>
        <w:trPr>
          <w:trHeight w:val="196"/>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2,599</w:t>
            </w:r>
          </w:p>
        </w:tc>
        <w:tc>
          <w:tcPr>
            <w:tcW w:w="122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color w:val="auto"/>
              </w:rPr>
              <w:t>2,641</w:t>
            </w:r>
          </w:p>
        </w:tc>
        <w:tc>
          <w:tcPr>
            <w:tcW w:w="1060" w:type="dxa"/>
            <w:vAlign w:val="bottom"/>
            <w:tcBorders>
              <w:bottom w:val="single" w:sz="8" w:color="D7282F"/>
            </w:tcBorders>
          </w:tcPr>
          <w:p>
            <w:pPr>
              <w:jc w:val="center"/>
              <w:ind w:left="508"/>
              <w:spacing w:after="0"/>
              <w:rPr>
                <w:sz w:val="20"/>
                <w:szCs w:val="20"/>
                <w:color w:val="auto"/>
              </w:rPr>
            </w:pPr>
            <w:r>
              <w:rPr>
                <w:rFonts w:ascii="Arial" w:cs="Arial" w:eastAsia="Arial" w:hAnsi="Arial"/>
                <w:sz w:val="14"/>
                <w:szCs w:val="14"/>
                <w:color w:val="auto"/>
              </w:rPr>
              <w:t>2,820</w:t>
            </w:r>
          </w:p>
        </w:tc>
      </w:tr>
      <w:tr>
        <w:trPr>
          <w:trHeight w:val="199"/>
        </w:trPr>
        <w:tc>
          <w:tcPr>
            <w:tcW w:w="56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claims</w:t>
            </w:r>
          </w:p>
        </w:tc>
        <w:tc>
          <w:tcPr>
            <w:tcW w:w="1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6,012</w:t>
            </w:r>
          </w:p>
        </w:tc>
        <w:tc>
          <w:tcPr>
            <w:tcW w:w="122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6,401</w:t>
            </w:r>
          </w:p>
        </w:tc>
        <w:tc>
          <w:tcPr>
            <w:tcW w:w="1060" w:type="dxa"/>
            <w:vAlign w:val="bottom"/>
            <w:tcBorders>
              <w:bottom w:val="single" w:sz="8" w:color="D7282F"/>
            </w:tcBorders>
          </w:tcPr>
          <w:p>
            <w:pPr>
              <w:jc w:val="center"/>
              <w:ind w:left="508"/>
              <w:spacing w:after="0"/>
              <w:rPr>
                <w:sz w:val="20"/>
                <w:szCs w:val="20"/>
                <w:color w:val="auto"/>
              </w:rPr>
            </w:pPr>
            <w:r>
              <w:rPr>
                <w:rFonts w:ascii="Arial" w:cs="Arial" w:eastAsia="Arial" w:hAnsi="Arial"/>
                <w:sz w:val="14"/>
                <w:szCs w:val="14"/>
                <w:b w:val="1"/>
                <w:bCs w:val="1"/>
                <w:color w:val="auto"/>
              </w:rPr>
              <w:t>6,242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Honeywell has experienced average resolution values per claim excluding legal costs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2760" w:type="dxa"/>
            <w:vAlign w:val="bottom"/>
            <w:tcBorders>
              <w:bottom w:val="single" w:sz="8" w:color="D7282F"/>
            </w:tcBorders>
            <w:gridSpan w:val="5"/>
          </w:tcPr>
          <w:p>
            <w:pPr>
              <w:jc w:val="center"/>
              <w:ind w:right="368"/>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center"/>
              <w:ind w:right="4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6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center"/>
              <w:ind w:left="428"/>
              <w:spacing w:after="0"/>
              <w:rPr>
                <w:sz w:val="20"/>
                <w:szCs w:val="20"/>
                <w:color w:val="auto"/>
              </w:rPr>
            </w:pPr>
            <w:r>
              <w:rPr>
                <w:rFonts w:ascii="Arial" w:cs="Arial" w:eastAsia="Arial" w:hAnsi="Arial"/>
                <w:sz w:val="14"/>
                <w:szCs w:val="14"/>
                <w:b w:val="1"/>
                <w:bCs w:val="1"/>
                <w:color w:val="auto"/>
              </w:rPr>
              <w:t>(in whole dollars)</w:t>
            </w:r>
          </w:p>
        </w:tc>
        <w:tc>
          <w:tcPr>
            <w:tcW w:w="16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3"/>
        </w:trPr>
        <w:tc>
          <w:tcPr>
            <w:tcW w:w="6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Malignant claims</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56,000</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61,500</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50,200</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55,300</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56,000</w:t>
            </w:r>
          </w:p>
        </w:tc>
      </w:tr>
      <w:tr>
        <w:trPr>
          <w:trHeight w:val="196"/>
        </w:trPr>
        <w:tc>
          <w:tcPr>
            <w:tcW w:w="6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3,900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4,700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predict whether resolution values for Bendix-related asbestos claims will increase, decrease or stabilize in the future.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October 31, 2018, David Kanefsky (Plaintiff), a Honeywell shareholder, filed a putative class action complaint in the U.S. District Court for the District of New Jersey (the Court) alleging violations of the Securities Exchange Act of 1934 and Rule 10b-5 related to the prior accounting for Bendix asbestos claims. An Amended Complaint was filed on December 30, 2019, and on February 7, 2020, the Company filed a Motion to Dismiss. On May 18, 2020, the Court denied the Motion to Dismiss. On December 7, 2021, the parties filed a Stipulation of Settlement (Settlement Agreement) and Plaintiff filed a motion for preliminary approval of the Settlement Agreement, which included payment by Honeywell of $10 million to settle the claims in dispute. On January 18, 2022, the Court approved the motion for preliminary approval of the Settlement Agreement. On May 3, 2022, the Court entered a final judgment and order approving the Settlement Agreement and dismissed the action. Honeywell continues to believe the claims lacked merit and has denied wrongdoing as well as any liability for the claims made against Honeywell in the action.</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(including the matter described below). The Company recognizes liabilities for any contingency that is probable of occurrence and reasonably estimable. The Company continually assesses the likelihood of adverse judgments or outcomes in such matters, as well as potential ranges of possible losses (taking into consideration any insurance recoveries), based on a careful analysis of each matter with the assistance of outside legal counsel and, if applicable, other experts.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Such matters include:</w:t>
      </w:r>
    </w:p>
    <w:p>
      <w:pPr>
        <w:spacing w:after="0" w:line="113" w:lineRule="exact"/>
        <w:rPr>
          <w:sz w:val="20"/>
          <w:szCs w:val="20"/>
          <w:color w:val="auto"/>
        </w:rPr>
      </w:pPr>
    </w:p>
    <w:p>
      <w:pPr>
        <w:jc w:val="both"/>
        <w:ind w:left="200" w:hanging="192"/>
        <w:spacing w:after="0" w:line="262" w:lineRule="auto"/>
        <w:tabs>
          <w:tab w:leader="none" w:pos="197" w:val="left"/>
        </w:tabs>
        <w:numPr>
          <w:ilvl w:val="0"/>
          <w:numId w:val="5"/>
        </w:numPr>
        <w:rPr>
          <w:rFonts w:ascii="Arial" w:cs="Arial" w:eastAsia="Arial" w:hAnsi="Arial"/>
          <w:sz w:val="16"/>
          <w:szCs w:val="16"/>
          <w:color w:val="D7282F"/>
        </w:rPr>
      </w:pPr>
      <w:r>
        <w:rPr>
          <w:rFonts w:ascii="Arial" w:cs="Arial" w:eastAsia="Arial" w:hAnsi="Arial"/>
          <w:sz w:val="16"/>
          <w:szCs w:val="16"/>
          <w:b w:val="1"/>
          <w:bCs w:val="1"/>
          <w:i w:val="1"/>
          <w:iCs w:val="1"/>
          <w:color w:val="auto"/>
        </w:rPr>
        <w:t xml:space="preserve">Petrobras and Unaoil </w:t>
      </w:r>
      <w:r>
        <w:rPr>
          <w:rFonts w:ascii="Arial" w:cs="Arial" w:eastAsia="Arial" w:hAnsi="Arial"/>
          <w:sz w:val="16"/>
          <w:szCs w:val="16"/>
          <w:color w:val="auto"/>
        </w:rPr>
        <w:t>– The Company continues to cooperate with investigations by the U.S. Department of Justice (DOJ), the Securities and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 (SEC), and the Brazilian authorities relating to the Company's use of third parties who previously worked for the Company's UOP business in Brazil in relation to Petróleo Brasileiro S.A. (Petrobras) in connection with a project awarded in 2010. The investigations focus on compliance with the U.S. Foreign Corrupt Practices Act and similar Brazilian laws (UOP Matters), and involve, among other things, document production and interviews with former and current management and employees. The DOJ and the SEC are also examining a matter involving a foreign subsidiary’s prior contract with Unaoil S.A.M. in Algeria executed in 2011. The Company continues to be engaged in discussions with the authorities with respect to a potential comprehensive resolution of these matters.</w:t>
      </w:r>
    </w:p>
    <w:p>
      <w:pPr>
        <w:spacing w:after="0" w:line="65" w:lineRule="exact"/>
        <w:rPr>
          <w:rFonts w:ascii="Arial" w:cs="Arial" w:eastAsia="Arial" w:hAnsi="Arial"/>
          <w:sz w:val="16"/>
          <w:szCs w:val="16"/>
          <w:color w:val="D7282F"/>
        </w:rPr>
      </w:pPr>
    </w:p>
    <w:p>
      <w:pPr>
        <w:jc w:val="both"/>
        <w:ind w:left="200"/>
        <w:spacing w:after="0" w:line="258" w:lineRule="auto"/>
        <w:rPr>
          <w:rFonts w:ascii="Arial" w:cs="Arial" w:eastAsia="Arial" w:hAnsi="Arial"/>
          <w:sz w:val="16"/>
          <w:szCs w:val="16"/>
          <w:color w:val="D7282F"/>
        </w:rPr>
      </w:pPr>
      <w:r>
        <w:rPr>
          <w:rFonts w:ascii="Arial" w:cs="Arial" w:eastAsia="Arial" w:hAnsi="Arial"/>
          <w:sz w:val="16"/>
          <w:szCs w:val="16"/>
          <w:color w:val="auto"/>
        </w:rPr>
        <w:t>As the discussions are both ongoing and at different stages with regards to each respective authority, there can be no assurance as to whether the Company will reach a resolution with such authorities or as to the potential timing, terms, or collateral consequences of any such resolution. As a result, the Company cannot predict the ultimate outcome of these UOP Matters or the potential impact on the Company. Based on available information to date, the Company estimates that a potential comprehensive resolution of these UOP Matters would result in a probable loss of approximately $210 million. During 2021, the Company recorded a charge of $160 million related to these UOP Matters in the Company's Consolidated Statement of Operations, and accrued a corresponding liability on the Consolidated Balance Sheet. Based on ongoing discussions with the authorities, during the three months ended June 30, 2022, the Company recorded an additional $50 million related to these UOP Matters in the Company's Consolidated Statement of Operations, and accrued a corresponding liability on the Consolidated Balance Sheet. Amounts payable to authorities pursuant to any potential final comprehensive resolution could differ from the amount recorded in the Company's consolidated financial statements. Based on available information to date, the Company does not expect that any such difference would be material with respect to the Company's consolidated financial position.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the uncertainty inherent in litigation and investigations, the Company does not believe it is possible to develop estimates of reasonably possible losses (or a range of possible losses) in excess of current accruals for such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D7282F"/>
        </w:rPr>
        <w:t>NOTE 15. PENSION BENEFITS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costs for the Company's significant defined benefit plans include the following components: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840" w:type="dxa"/>
            <w:vAlign w:val="bottom"/>
            <w:tcBorders>
              <w:bottom w:val="single" w:sz="8" w:color="DC202E"/>
            </w:tcBorders>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1240" w:type="dxa"/>
            <w:vAlign w:val="bottom"/>
            <w:tcBorders>
              <w:bottom w:val="single" w:sz="8" w:color="DC202E"/>
            </w:tcBorders>
            <w:gridSpan w:val="3"/>
          </w:tcPr>
          <w:p>
            <w:pPr>
              <w:jc w:val="right"/>
              <w:ind w:right="28"/>
              <w:spacing w:after="0"/>
              <w:rPr>
                <w:sz w:val="20"/>
                <w:szCs w:val="20"/>
                <w:color w:val="auto"/>
              </w:rPr>
            </w:pPr>
            <w:r>
              <w:rPr>
                <w:rFonts w:ascii="Arial" w:cs="Arial" w:eastAsia="Arial" w:hAnsi="Arial"/>
                <w:sz w:val="14"/>
                <w:szCs w:val="14"/>
                <w:b w:val="1"/>
                <w:bCs w:val="1"/>
                <w:color w:val="auto"/>
              </w:rPr>
              <w:t>U.S. Plans</w:t>
            </w:r>
          </w:p>
        </w:tc>
        <w:tc>
          <w:tcPr>
            <w:tcW w:w="780" w:type="dxa"/>
            <w:vAlign w:val="bottom"/>
            <w:tcBorders>
              <w:bottom w:val="single" w:sz="8" w:color="DC202E"/>
            </w:tcBorders>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6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020" w:type="dxa"/>
            <w:vAlign w:val="bottom"/>
          </w:tcPr>
          <w:p>
            <w:pPr>
              <w:spacing w:after="0"/>
              <w:rPr>
                <w:sz w:val="15"/>
                <w:szCs w:val="15"/>
                <w:color w:val="auto"/>
              </w:rPr>
            </w:pPr>
          </w:p>
        </w:tc>
        <w:tc>
          <w:tcPr>
            <w:tcW w:w="22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Periodic Benefit Cost</w:t>
            </w:r>
          </w:p>
        </w:tc>
        <w:tc>
          <w:tcPr>
            <w:tcW w:w="220" w:type="dxa"/>
            <w:vAlign w:val="bottom"/>
            <w:tcBorders>
              <w:bottom w:val="single" w:sz="8" w:color="D7282F"/>
            </w:tcBorders>
          </w:tcPr>
          <w:p>
            <w:pPr>
              <w:spacing w:after="0"/>
              <w:rPr>
                <w:sz w:val="20"/>
                <w:szCs w:val="20"/>
                <w:color w:val="auto"/>
              </w:rPr>
            </w:pPr>
          </w:p>
        </w:tc>
        <w:tc>
          <w:tcPr>
            <w:tcW w:w="100" w:type="dxa"/>
            <w:vAlign w:val="bottom"/>
            <w:tcBorders>
              <w:bottom w:val="single" w:sz="8" w:color="D7282F"/>
            </w:tcBorders>
          </w:tcPr>
          <w:p>
            <w:pPr>
              <w:spacing w:after="0"/>
              <w:rPr>
                <w:sz w:val="20"/>
                <w:szCs w:val="20"/>
                <w:color w:val="auto"/>
              </w:rPr>
            </w:pPr>
          </w:p>
        </w:tc>
        <w:tc>
          <w:tcPr>
            <w:tcW w:w="8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20"/>
                <w:szCs w:val="20"/>
                <w:color w:val="auto"/>
              </w:rPr>
            </w:pPr>
          </w:p>
        </w:tc>
        <w:tc>
          <w:tcPr>
            <w:tcW w:w="340" w:type="dxa"/>
            <w:vAlign w:val="bottom"/>
            <w:tcBorders>
              <w:bottom w:val="single" w:sz="8" w:color="D7282F"/>
            </w:tcBorders>
          </w:tcPr>
          <w:p>
            <w:pPr>
              <w:spacing w:after="0"/>
              <w:rPr>
                <w:sz w:val="20"/>
                <w:szCs w:val="20"/>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Service cost</w:t>
            </w:r>
          </w:p>
        </w:tc>
        <w:tc>
          <w:tcPr>
            <w:tcW w:w="32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22</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27</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cost</w:t>
            </w:r>
          </w:p>
        </w:tc>
        <w:tc>
          <w:tcPr>
            <w:tcW w:w="220" w:type="dxa"/>
            <w:vAlign w:val="bottom"/>
            <w:tcBorders>
              <w:bottom w:val="single" w:sz="8" w:color="BCBDC0"/>
            </w:tcBorders>
          </w:tcPr>
          <w:p>
            <w:pPr>
              <w:spacing w:after="0"/>
              <w:rPr>
                <w:sz w:val="17"/>
                <w:szCs w:val="17"/>
                <w:color w:val="auto"/>
              </w:rPr>
            </w:pPr>
          </w:p>
        </w:tc>
        <w:tc>
          <w:tcPr>
            <w:tcW w:w="10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95</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76</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190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220" w:type="dxa"/>
            <w:vAlign w:val="bottom"/>
            <w:tcBorders>
              <w:bottom w:val="single" w:sz="8" w:color="BCBDC0"/>
            </w:tcBorders>
          </w:tcPr>
          <w:p>
            <w:pPr>
              <w:spacing w:after="0"/>
              <w:rPr>
                <w:sz w:val="17"/>
                <w:szCs w:val="17"/>
                <w:color w:val="auto"/>
              </w:rPr>
            </w:pPr>
          </w:p>
        </w:tc>
        <w:tc>
          <w:tcPr>
            <w:tcW w:w="10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(321)</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(305)</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(641)</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w:t>
            </w:r>
          </w:p>
        </w:tc>
        <w:tc>
          <w:tcPr>
            <w:tcW w:w="22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(215)</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(213)</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(429)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(426)</w:t>
            </w:r>
          </w:p>
        </w:tc>
        <w:tc>
          <w:tcPr>
            <w:tcW w:w="0" w:type="dxa"/>
            <w:vAlign w:val="bottom"/>
          </w:tcPr>
          <w:p>
            <w:pPr>
              <w:spacing w:after="0"/>
              <w:rPr>
                <w:sz w:val="1"/>
                <w:szCs w:val="1"/>
                <w:color w:val="auto"/>
              </w:rPr>
            </w:pPr>
          </w:p>
        </w:tc>
      </w:tr>
      <w:tr>
        <w:trPr>
          <w:trHeight w:val="480"/>
        </w:trPr>
        <w:tc>
          <w:tcPr>
            <w:tcW w:w="7020" w:type="dxa"/>
            <w:vAlign w:val="bottom"/>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840" w:type="dxa"/>
            <w:vAlign w:val="bottom"/>
            <w:tcBorders>
              <w:bottom w:val="single" w:sz="8" w:color="D7282F"/>
            </w:tcBorders>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2020" w:type="dxa"/>
            <w:vAlign w:val="bottom"/>
            <w:tcBorders>
              <w:bottom w:val="single" w:sz="8" w:color="D7282F"/>
            </w:tcBorders>
            <w:gridSpan w:val="4"/>
          </w:tcPr>
          <w:p>
            <w:pPr>
              <w:jc w:val="right"/>
              <w:ind w:right="648"/>
              <w:spacing w:after="0"/>
              <w:rPr>
                <w:sz w:val="20"/>
                <w:szCs w:val="20"/>
                <w:color w:val="auto"/>
              </w:rPr>
            </w:pPr>
            <w:r>
              <w:rPr>
                <w:rFonts w:ascii="Arial" w:cs="Arial" w:eastAsia="Arial" w:hAnsi="Arial"/>
                <w:sz w:val="14"/>
                <w:szCs w:val="14"/>
                <w:b w:val="1"/>
                <w:bCs w:val="1"/>
                <w:color w:val="auto"/>
              </w:rPr>
              <w:t>Non-U.S. Plans</w:t>
            </w:r>
          </w:p>
        </w:tc>
        <w:tc>
          <w:tcPr>
            <w:tcW w:w="22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020" w:type="dxa"/>
            <w:vAlign w:val="bottom"/>
          </w:tcPr>
          <w:p>
            <w:pPr>
              <w:spacing w:after="0"/>
              <w:rPr>
                <w:sz w:val="14"/>
                <w:szCs w:val="14"/>
                <w:color w:val="auto"/>
              </w:rPr>
            </w:pPr>
          </w:p>
        </w:tc>
        <w:tc>
          <w:tcPr>
            <w:tcW w:w="22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020" w:type="dxa"/>
            <w:vAlign w:val="bottom"/>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Periodic Benefit Cost</w:t>
            </w:r>
          </w:p>
        </w:tc>
        <w:tc>
          <w:tcPr>
            <w:tcW w:w="220" w:type="dxa"/>
            <w:vAlign w:val="bottom"/>
            <w:tcBorders>
              <w:bottom w:val="single" w:sz="8" w:color="D7282F"/>
            </w:tcBorders>
          </w:tcPr>
          <w:p>
            <w:pPr>
              <w:spacing w:after="0"/>
              <w:rPr>
                <w:sz w:val="20"/>
                <w:szCs w:val="20"/>
                <w:color w:val="auto"/>
              </w:rPr>
            </w:pPr>
          </w:p>
        </w:tc>
        <w:tc>
          <w:tcPr>
            <w:tcW w:w="100" w:type="dxa"/>
            <w:vAlign w:val="bottom"/>
            <w:tcBorders>
              <w:bottom w:val="single" w:sz="8" w:color="D7282F"/>
            </w:tcBorders>
          </w:tcPr>
          <w:p>
            <w:pPr>
              <w:spacing w:after="0"/>
              <w:rPr>
                <w:sz w:val="20"/>
                <w:szCs w:val="20"/>
                <w:color w:val="auto"/>
              </w:rPr>
            </w:pPr>
          </w:p>
        </w:tc>
        <w:tc>
          <w:tcPr>
            <w:tcW w:w="8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20"/>
                <w:szCs w:val="20"/>
                <w:color w:val="auto"/>
              </w:rPr>
            </w:pPr>
          </w:p>
        </w:tc>
        <w:tc>
          <w:tcPr>
            <w:tcW w:w="340" w:type="dxa"/>
            <w:vAlign w:val="bottom"/>
            <w:tcBorders>
              <w:bottom w:val="single" w:sz="8" w:color="D7282F"/>
            </w:tcBorders>
          </w:tcPr>
          <w:p>
            <w:pPr>
              <w:spacing w:after="0"/>
              <w:rPr>
                <w:sz w:val="20"/>
                <w:szCs w:val="20"/>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Service cost</w:t>
            </w:r>
          </w:p>
        </w:tc>
        <w:tc>
          <w:tcPr>
            <w:tcW w:w="32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cost</w:t>
            </w:r>
          </w:p>
        </w:tc>
        <w:tc>
          <w:tcPr>
            <w:tcW w:w="220" w:type="dxa"/>
            <w:vAlign w:val="bottom"/>
            <w:tcBorders>
              <w:bottom w:val="single" w:sz="8" w:color="BCBDC0"/>
            </w:tcBorders>
          </w:tcPr>
          <w:p>
            <w:pPr>
              <w:spacing w:after="0"/>
              <w:rPr>
                <w:sz w:val="17"/>
                <w:szCs w:val="17"/>
                <w:color w:val="auto"/>
              </w:rPr>
            </w:pPr>
          </w:p>
        </w:tc>
        <w:tc>
          <w:tcPr>
            <w:tcW w:w="10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26</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54</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220" w:type="dxa"/>
            <w:vAlign w:val="bottom"/>
            <w:tcBorders>
              <w:bottom w:val="single" w:sz="8" w:color="DC202E"/>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(71)</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(89)</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(146)</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16. OTHER (INCOME)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income</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(40)</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Pension ongoing income – non-service</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(283)</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(309)</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(568)</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 postretirement income – non-service</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(Gain) loss on sale of non-strategic businesses and assets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exchange</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22</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Expense related to UOP Matters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50</w:t>
            </w:r>
          </w:p>
        </w:tc>
        <w:tc>
          <w:tcPr>
            <w:tcW w:w="16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Expense related to Russia-Ukraine Conflict</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57</w:t>
            </w:r>
          </w:p>
        </w:tc>
        <w:tc>
          <w:tcPr>
            <w:tcW w:w="16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57</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(190)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(366)</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(509)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(808)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See Note 14 Commitments and Contingencies for further discussion of the UOP Matters. See Note 5 Repositioning and Other Charges for further discussion of the expense related to the Russia-Ukraine Conflict.</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17. SEGMENT FINANCIAL DATA</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management reviews the businesses, makes investing and resource allocation decisions and assesses operating performance.</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Aerospace</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spacing w:after="0"/>
              <w:rPr>
                <w:sz w:val="17"/>
                <w:szCs w:val="17"/>
                <w:color w:val="auto"/>
              </w:rPr>
            </w:pP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1,574</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1,571</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3,035</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3,086</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1,324</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1,195</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2,612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2,898</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2,766</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5,647</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5,398</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Honeywell Building Technologies</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1,179</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1,042</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2,261</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352</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365</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699</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1,531</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1,407</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2,960</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2,765</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Performance Materials and Technologies</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2,210</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2,055</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4,166</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3,924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484</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497</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981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2,694</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2,552</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5,147</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4,898</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Safety and Productivity Solutions</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1,721</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1,971</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3,354</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108</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112</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219</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1,829</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2,083</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3,573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4,201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Corporate and All Other</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8,953</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8,808</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17,329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17,262</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Segment profit</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spacing w:after="0"/>
              <w:rPr>
                <w:sz w:val="16"/>
                <w:szCs w:val="16"/>
                <w:color w:val="auto"/>
              </w:rPr>
            </w:pP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spacing w:after="0"/>
              <w:rPr>
                <w:sz w:val="16"/>
                <w:szCs w:val="16"/>
                <w:color w:val="auto"/>
              </w:rPr>
            </w:pP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Aerospace</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767</w:t>
            </w:r>
          </w:p>
        </w:tc>
        <w:tc>
          <w:tcPr>
            <w:tcW w:w="1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710</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1,520</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Honeywell Building Technologies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360</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315</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696</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Performance Materials and Technologies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601</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530</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1,111</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Safety and Productivity Solutions</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231</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292</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484</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(92)</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(178)</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9"/>
        </w:trPr>
        <w:tc>
          <w:tcPr>
            <w:tcW w:w="7020" w:type="dxa"/>
            <w:vAlign w:val="bottom"/>
            <w:tcBorders>
              <w:bottom w:val="single" w:sz="8" w:color="D7282F"/>
            </w:tcBorders>
          </w:tcPr>
          <w:p>
            <w:pPr>
              <w:ind w:left="40"/>
              <w:spacing w:after="0"/>
              <w:rPr>
                <w:sz w:val="20"/>
                <w:szCs w:val="20"/>
                <w:color w:val="auto"/>
              </w:rPr>
            </w:pPr>
            <w:r>
              <w:rPr>
                <w:rFonts w:ascii="Arial" w:cs="Arial" w:eastAsia="Arial" w:hAnsi="Arial"/>
                <w:sz w:val="14"/>
                <w:szCs w:val="14"/>
                <w:b w:val="1"/>
                <w:bCs w:val="1"/>
                <w:color w:val="auto"/>
              </w:rPr>
              <w:t>Total segment profit</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1,867</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1,793</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3,633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3,568</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32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(87)</w:t>
            </w:r>
          </w:p>
        </w:tc>
        <w:tc>
          <w:tcPr>
            <w:tcW w:w="160" w:type="dxa"/>
            <w:vAlign w:val="bottom"/>
            <w:tcBorders>
              <w:bottom w:val="single" w:sz="8" w:color="BCBDC0"/>
            </w:tcBorders>
          </w:tcPr>
          <w:p>
            <w:pPr>
              <w:spacing w:after="0"/>
              <w:rPr>
                <w:sz w:val="16"/>
                <w:szCs w:val="16"/>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(83)</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(172)</w:t>
            </w:r>
          </w:p>
        </w:tc>
        <w:tc>
          <w:tcPr>
            <w:tcW w:w="220" w:type="dxa"/>
            <w:vAlign w:val="bottom"/>
            <w:tcBorders>
              <w:bottom w:val="single" w:sz="8" w:color="BCBDC0"/>
            </w:tcBorders>
          </w:tcPr>
          <w:p>
            <w:pPr>
              <w:spacing w:after="0"/>
              <w:rPr>
                <w:sz w:val="16"/>
                <w:szCs w:val="16"/>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0"/>
        </w:trPr>
        <w:tc>
          <w:tcPr>
            <w:tcW w:w="7020" w:type="dxa"/>
            <w:vAlign w:val="bottom"/>
            <w:tcBorders>
              <w:bottom w:val="single" w:sz="8" w:color="BCBDC0"/>
            </w:tcBorders>
          </w:tcPr>
          <w:p>
            <w:pPr>
              <w:ind w:left="20"/>
              <w:spacing w:after="0" w:line="200"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(a)</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(53)</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(39)</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(113)</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Pension ongoing income</w:t>
            </w:r>
            <w:r>
              <w:rPr>
                <w:rFonts w:ascii="Arial" w:cs="Arial" w:eastAsia="Arial" w:hAnsi="Arial"/>
                <w:sz w:val="18"/>
                <w:szCs w:val="18"/>
                <w:color w:val="auto"/>
                <w:vertAlign w:val="superscript"/>
              </w:rPr>
              <w:t>(b)</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250</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272</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501</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Other postretirement income</w:t>
            </w:r>
            <w:r>
              <w:rPr>
                <w:rFonts w:ascii="Arial" w:cs="Arial" w:eastAsia="Arial" w:hAnsi="Arial"/>
                <w:sz w:val="18"/>
                <w:szCs w:val="18"/>
                <w:color w:val="auto"/>
                <w:vertAlign w:val="superscript"/>
              </w:rPr>
              <w:t>(b)</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Repositioning and other charges</w:t>
            </w:r>
            <w:r>
              <w:rPr>
                <w:rFonts w:ascii="Arial" w:cs="Arial" w:eastAsia="Arial" w:hAnsi="Arial"/>
                <w:sz w:val="18"/>
                <w:szCs w:val="18"/>
                <w:color w:val="auto"/>
                <w:vertAlign w:val="superscript"/>
              </w:rPr>
              <w:t>(c)</w:t>
            </w:r>
          </w:p>
        </w:tc>
        <w:tc>
          <w:tcPr>
            <w:tcW w:w="32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128"/>
              <w:spacing w:after="0"/>
              <w:rPr>
                <w:sz w:val="20"/>
                <w:szCs w:val="20"/>
                <w:color w:val="auto"/>
              </w:rPr>
            </w:pPr>
            <w:r>
              <w:rPr>
                <w:rFonts w:ascii="Arial" w:cs="Arial" w:eastAsia="Arial" w:hAnsi="Arial"/>
                <w:sz w:val="14"/>
                <w:szCs w:val="14"/>
                <w:color w:val="auto"/>
              </w:rPr>
              <w:t>(227)</w:t>
            </w:r>
          </w:p>
        </w:tc>
        <w:tc>
          <w:tcPr>
            <w:tcW w:w="16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(614)</w:t>
            </w:r>
          </w:p>
        </w:tc>
        <w:tc>
          <w:tcPr>
            <w:tcW w:w="220" w:type="dxa"/>
            <w:vAlign w:val="bottom"/>
            <w:tcBorders>
              <w:bottom w:val="single" w:sz="8" w:color="BCBDC0"/>
            </w:tcBorders>
          </w:tcPr>
          <w:p>
            <w:pPr>
              <w:spacing w:after="0"/>
              <w:rPr>
                <w:sz w:val="17"/>
                <w:szCs w:val="17"/>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(d)</w:t>
            </w:r>
          </w:p>
        </w:tc>
        <w:tc>
          <w:tcPr>
            <w:tcW w:w="3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(56)</w:t>
            </w:r>
          </w:p>
        </w:tc>
        <w:tc>
          <w:tcPr>
            <w:tcW w:w="16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(46)</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5"/>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1,704</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1,881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3,209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3,742</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Amounts included in Selling, general and administrative expenses.</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Amounts included in Cost of products and services sold and Selling, general and administrative expenses (service cost component) and Other (income) expense (non-service cost component).</w:t>
      </w:r>
    </w:p>
    <w:p>
      <w:pPr>
        <w:spacing w:after="0" w:line="91" w:lineRule="exact"/>
        <w:rPr>
          <w:rFonts w:ascii="Arial" w:cs="Arial" w:eastAsia="Arial" w:hAnsi="Arial"/>
          <w:sz w:val="12"/>
          <w:szCs w:val="12"/>
          <w:color w:val="auto"/>
        </w:rPr>
      </w:pP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11"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color w:val="D7282F"/>
        </w:rPr>
        <w:t>NOTE 18. SUBSEQUENT EVENTS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July 2022, the Company realigned certain business units within the Safety and Productivity Solutions reportable business segment. This realignment does not impact the four reportable business segments identified by the Company. The Company intends to report financial performance based on this realignment effective with the reporting of third quarter 2022 results.</w:t>
      </w:r>
    </w:p>
    <w:p>
      <w:pPr>
        <w:spacing w:after="0" w:line="77"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Business units are used in our annual goodwill impairment test. The Company completes its annual goodwill impairment test on March 31 of each year. Based on the results of the annual goodwill impairment test as of March 31, 2022, fair values of the impacted reporting units were in excess of their carrying values.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 xml:space="preserve">29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Management Discussion and Analysis is intended to help the reader understand the results of operations and financial condition of Honeywell International Inc. and its consolidated subsidiaries (Honeywell or the Company) for the three and six months ended June 30, 2022. The financial information as of June 30, 2022, should be read in conjunction with the Consolidated Financial Statements for the year ended December 31, 2021, contained in our 2021 Annual Report on Form 10-K. See Note 3 Acquisitions and Divestitures of Notes to Consolidated Financial Statements for a discussion of acquisition and divestiture activity during the six months ended June 30, 2022.</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continue to monitor several macroeconomic and geopolitical trends, that have impacted our business, including changing conditions from the COVID-19 pandemic, the on-going Russia-Ukraine conflict, inflationary cost pressures, supply chain disruptions, and labor shortages.</w:t>
      </w:r>
    </w:p>
    <w:p>
      <w:pPr>
        <w:spacing w:after="0" w:line="6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July 2022, we will realign certain business units within the Safety and Productivity Solutions reportable business segment. This realignment will not impact the four reportable business segments identified by the Company. We intend to report financial performance based on this realignment effective with the reporting of third quarter 2022 results. See Note 18 Subsequent Events of Notes to the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COVID-19 UPDATE</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COVID-19 pandemic continues to impact our business operations, and our customers' and suppliers' ability to operate at normal levels. Disruptions in normal operating levels continue to create supply chain disruptions and inflationary cost pressures within our end-markets. We anticipate supply chain constraints, and the inflationary environment will continue during 2022. As such, we implemented short-term and long-term strategies to reduce the impact of current and future effects.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first half of 2022, governments around the world removed many restrictions on businesses and the general public. We continue to operate our manufacturing sites at normal production levels. As of June 30, 2022, we have returned nearly all of our non-manufacturing employees to the workplace.</w:t>
      </w:r>
    </w:p>
    <w:p>
      <w:pPr>
        <w:spacing w:after="0" w:line="3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continue to actively monitor regional COVID-19 outbreaks, and the related government restrictions and lockdown activities in the areas we operate. To date, the impacts of these actions have not been material.</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See the section titled Review of Business Segments for additional information on the impacts of COVID-19, inflationary cost pressures, supply chain disruptions, and labor shortages, to our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RUSSIA-UKRAINE CONFLICT</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response to the Russian invasion of Ukraine, in March 2022, we suspended substantially all of our sales, distribution, and service activities in Russia and Belarus (the Suspension), and in June 2022, we decided to wind down our existing businesses and operations in Russia (the Wind down). Through the Wind down of our businesses and operations, we will seek to collect outstanding accounts receivables, liquidate our inventory and fixed assets, negotiate and settle existing contractual obligations, trade payables and guarantees, and terminate and payout severance to impacted employees. The Suspension and Wind down impacts all of our reportable business segments, with the most significant impact to our Performance Materials and Technologies segment. In early 2022, we created a Ukraine Relief Fund, allowing employees to make donations to support organizations that are providing direct assistance to Ukrainians and those that are assisting them in the midst of this humanitarian crisis.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three and six months ended June 30, 2022, we recognized $126 million and $309 million, respectively, of charges and the accrual of reserves due to the initial Suspension and Wind down of our businesses and operations. The charges and accrual of reserves during the second quarter of 2022 were primarily related to foreign exchange revaluation on an intercompany loan with a Russian affiliate, inventory reserves, the write-down of other assets, impairment of property, plant and equipment, employee severance, and a tax valuation allowance. The respective impacts to revenues, net income, net assets, cash flow from operations, or our global workforce are not material for the periods recognized. For the year ended December 31, 2021, revenues from sales in Russia represented approximately 1% of our global revenues, while assets in Russia represented less than 1% of our total assets. Based on available information to date, the Company’s estimate of potential future losses or other contingencies related to the Suspension and Wind down activities, including any guarantee payments or any litigation costs or as otherwise related to our Wind down in Russia, could adversely affect the Company's consolidated results of operations in the periods recognized but would not be material with respect to the Company's consolidated financial position. As the conflict continues to evolve, existing conditions may worsen or other impacts that are unknown at this time may arise that could have a material adverse effect on our consolidated financial position.</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Russia-Ukraine conflict caused certain commodity prices to spike, adding to the inflationary pressures in the global economy. We considered the impacts of the conflict on oil and gas prices in our short-term and long-term strategies discussed in the above. Additionally, we continue to assess the current and future impacts of the conflict on already constrained supply chains.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See Item 1A. Risk Factors for additional information on potential risks to our business.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303530</wp:posOffset>
            </wp:positionV>
            <wp:extent cx="4714875" cy="5203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14875" cy="520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372110</wp:posOffset>
            </wp:positionV>
            <wp:extent cx="6000750" cy="29146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80645</wp:posOffset>
            </wp:positionV>
            <wp:extent cx="6000750" cy="3051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Borders>
              <w:bottom w:val="single" w:sz="8" w:color="D7282F"/>
            </w:tcBorders>
          </w:tcPr>
          <w:p>
            <w:pPr>
              <w:spacing w:after="0"/>
              <w:rPr>
                <w:sz w:val="17"/>
                <w:szCs w:val="17"/>
                <w:color w:val="auto"/>
              </w:rPr>
            </w:pPr>
          </w:p>
        </w:tc>
        <w:tc>
          <w:tcPr>
            <w:tcW w:w="4580" w:type="dxa"/>
            <w:vAlign w:val="bottom"/>
            <w:tcBorders>
              <w:bottom w:val="single" w:sz="8" w:color="D7282F"/>
            </w:tcBorders>
          </w:tcPr>
          <w:p>
            <w:pPr>
              <w:jc w:val="right"/>
              <w:ind w:right="548"/>
              <w:spacing w:after="0"/>
              <w:rPr>
                <w:sz w:val="20"/>
                <w:szCs w:val="20"/>
                <w:color w:val="auto"/>
              </w:rPr>
            </w:pPr>
            <w:r>
              <w:rPr>
                <w:rFonts w:ascii="Arial" w:cs="Arial" w:eastAsia="Arial" w:hAnsi="Arial"/>
                <w:sz w:val="14"/>
                <w:szCs w:val="14"/>
                <w:b w:val="1"/>
                <w:bCs w:val="1"/>
                <w:color w:val="auto"/>
              </w:rPr>
              <w:t>Q2 2022 vs. Q2 2021</w:t>
            </w:r>
          </w:p>
        </w:tc>
        <w:tc>
          <w:tcPr>
            <w:tcW w:w="2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Year to Date 2022 vs. 2021</w:t>
            </w:r>
          </w:p>
        </w:tc>
      </w:tr>
      <w:tr>
        <w:trPr>
          <w:trHeight w:val="193"/>
        </w:trPr>
        <w:tc>
          <w:tcPr>
            <w:tcW w:w="44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Volume</w:t>
            </w:r>
          </w:p>
        </w:tc>
        <w:tc>
          <w:tcPr>
            <w:tcW w:w="4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w:t>
            </w:r>
          </w:p>
        </w:tc>
        <w:tc>
          <w:tcPr>
            <w:tcW w:w="2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44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Price</w:t>
            </w:r>
          </w:p>
        </w:tc>
        <w:tc>
          <w:tcPr>
            <w:tcW w:w="458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9 %</w:t>
            </w:r>
          </w:p>
        </w:tc>
        <w:tc>
          <w:tcPr>
            <w:tcW w:w="2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8 %</w:t>
            </w:r>
          </w:p>
        </w:tc>
      </w:tr>
      <w:tr>
        <w:trPr>
          <w:trHeight w:val="196"/>
        </w:trPr>
        <w:tc>
          <w:tcPr>
            <w:tcW w:w="4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w:t>
            </w:r>
          </w:p>
        </w:tc>
        <w:tc>
          <w:tcPr>
            <w:tcW w:w="2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4440" w:type="dxa"/>
            <w:vAlign w:val="bottom"/>
            <w:tcBorders>
              <w:bottom w:val="single" w:sz="8" w:color="D7282F"/>
            </w:tcBorders>
          </w:tcPr>
          <w:p>
            <w:pPr>
              <w:spacing w:after="0"/>
              <w:rPr>
                <w:sz w:val="17"/>
                <w:szCs w:val="17"/>
                <w:color w:val="auto"/>
              </w:rPr>
            </w:pPr>
          </w:p>
        </w:tc>
        <w:tc>
          <w:tcPr>
            <w:tcW w:w="45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2 %</w:t>
            </w:r>
          </w:p>
        </w:tc>
        <w:tc>
          <w:tcPr>
            <w:tcW w:w="2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with Q2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97"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6"/>
          <w:szCs w:val="16"/>
          <w:color w:val="D7282F"/>
        </w:rPr>
      </w:pPr>
      <w:r>
        <w:rPr>
          <w:rFonts w:ascii="Arial" w:cs="Arial" w:eastAsia="Arial" w:hAnsi="Arial"/>
          <w:sz w:val="16"/>
          <w:szCs w:val="16"/>
          <w:color w:val="auto"/>
        </w:rPr>
        <w:t>Favorable pricing to offset higher direct and indirect material costs and higher labor costs,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7"/>
        </w:numPr>
        <w:rPr>
          <w:rFonts w:ascii="Arial" w:cs="Arial" w:eastAsia="Arial" w:hAnsi="Arial"/>
          <w:sz w:val="16"/>
          <w:szCs w:val="16"/>
          <w:color w:val="D7282F"/>
        </w:rPr>
      </w:pPr>
      <w:r>
        <w:rPr>
          <w:rFonts w:ascii="Arial" w:cs="Arial" w:eastAsia="Arial" w:hAnsi="Arial"/>
          <w:sz w:val="16"/>
          <w:szCs w:val="16"/>
          <w:color w:val="auto"/>
        </w:rPr>
        <w:t>Partially offset by lower sales volumes in our Safety and Productivity Solutions segment, and</w:t>
      </w:r>
    </w:p>
    <w:p>
      <w:pPr>
        <w:spacing w:after="0" w:line="8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7"/>
        </w:numPr>
        <w:rPr>
          <w:rFonts w:ascii="Arial" w:cs="Arial" w:eastAsia="Arial" w:hAnsi="Arial"/>
          <w:sz w:val="16"/>
          <w:szCs w:val="16"/>
          <w:color w:val="D7282F"/>
        </w:rPr>
      </w:pPr>
      <w:r>
        <w:rPr>
          <w:rFonts w:ascii="Arial" w:cs="Arial" w:eastAsia="Arial" w:hAnsi="Arial"/>
          <w:sz w:val="16"/>
          <w:szCs w:val="16"/>
          <w:color w:val="auto"/>
        </w:rPr>
        <w:t>The unfavorable impact of foreign currency translation, driven by the strengthening of the U.S. Dollar against the currencies of the majority of our international markets, primarily the Euro, British Pound, Turkish Lira, Australian Dollar, and Canadian Dollar.</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with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6"/>
          <w:szCs w:val="16"/>
          <w:color w:val="D7282F"/>
        </w:rPr>
      </w:pPr>
      <w:r>
        <w:rPr>
          <w:rFonts w:ascii="Arial" w:cs="Arial" w:eastAsia="Arial" w:hAnsi="Arial"/>
          <w:sz w:val="16"/>
          <w:szCs w:val="16"/>
          <w:color w:val="auto"/>
        </w:rPr>
        <w:t>Favorable pricing to offset higher direct and indirect material costs and higher labor costs,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8"/>
        </w:numPr>
        <w:rPr>
          <w:rFonts w:ascii="Arial" w:cs="Arial" w:eastAsia="Arial" w:hAnsi="Arial"/>
          <w:sz w:val="16"/>
          <w:szCs w:val="16"/>
          <w:color w:val="D7282F"/>
        </w:rPr>
      </w:pPr>
      <w:r>
        <w:rPr>
          <w:rFonts w:ascii="Arial" w:cs="Arial" w:eastAsia="Arial" w:hAnsi="Arial"/>
          <w:sz w:val="16"/>
          <w:szCs w:val="16"/>
          <w:color w:val="auto"/>
        </w:rPr>
        <w:t>Partially offset by lower sales volumes in our Safety and Productivity Solutions segment, and</w:t>
      </w:r>
    </w:p>
    <w:p>
      <w:pPr>
        <w:spacing w:after="0" w:line="72" w:lineRule="exact"/>
        <w:rPr>
          <w:rFonts w:ascii="Arial" w:cs="Arial" w:eastAsia="Arial" w:hAnsi="Arial"/>
          <w:sz w:val="16"/>
          <w:szCs w:val="16"/>
          <w:color w:val="D7282F"/>
        </w:rPr>
      </w:pPr>
    </w:p>
    <w:p>
      <w:pPr>
        <w:ind w:left="200" w:hanging="192"/>
        <w:spacing w:after="0" w:line="304" w:lineRule="auto"/>
        <w:tabs>
          <w:tab w:leader="none" w:pos="197" w:val="left"/>
        </w:tabs>
        <w:numPr>
          <w:ilvl w:val="0"/>
          <w:numId w:val="8"/>
        </w:numPr>
        <w:rPr>
          <w:rFonts w:ascii="Arial" w:cs="Arial" w:eastAsia="Arial" w:hAnsi="Arial"/>
          <w:sz w:val="16"/>
          <w:szCs w:val="16"/>
          <w:color w:val="D7282F"/>
        </w:rPr>
      </w:pPr>
      <w:r>
        <w:rPr>
          <w:rFonts w:ascii="Arial" w:cs="Arial" w:eastAsia="Arial" w:hAnsi="Arial"/>
          <w:sz w:val="16"/>
          <w:szCs w:val="16"/>
          <w:color w:val="auto"/>
        </w:rPr>
        <w:t>The unfavorable impact of foreign currency translation, driven by the strengthening of the U.S. Dollar against the currencies of the majority of our international markets, primarily the Euro, British Pound, Turkish Lira, and Australian Dollar.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80645</wp:posOffset>
            </wp:positionV>
            <wp:extent cx="4114800" cy="2314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148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with Q2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Higher direct and indirect material costs and higher labor costs, and</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9"/>
        </w:numPr>
        <w:rPr>
          <w:rFonts w:ascii="Arial" w:cs="Arial" w:eastAsia="Arial" w:hAnsi="Arial"/>
          <w:sz w:val="16"/>
          <w:szCs w:val="16"/>
          <w:b w:val="1"/>
          <w:bCs w:val="1"/>
          <w:color w:val="DC202E"/>
        </w:rPr>
      </w:pPr>
      <w:r>
        <w:rPr>
          <w:rFonts w:ascii="Arial" w:cs="Arial" w:eastAsia="Arial" w:hAnsi="Arial"/>
          <w:sz w:val="16"/>
          <w:szCs w:val="16"/>
          <w:color w:val="auto"/>
        </w:rPr>
        <w:t>Higher repositioning and other charges,</w:t>
      </w:r>
    </w:p>
    <w:p>
      <w:pPr>
        <w:spacing w:after="0" w:line="72" w:lineRule="exact"/>
        <w:rPr>
          <w:rFonts w:ascii="Arial" w:cs="Arial" w:eastAsia="Arial" w:hAnsi="Arial"/>
          <w:sz w:val="16"/>
          <w:szCs w:val="16"/>
          <w:b w:val="1"/>
          <w:bCs w:val="1"/>
          <w:color w:val="DC202E"/>
        </w:rPr>
      </w:pPr>
    </w:p>
    <w:p>
      <w:pPr>
        <w:ind w:left="200" w:hanging="192"/>
        <w:spacing w:after="0"/>
        <w:tabs>
          <w:tab w:leader="none" w:pos="200"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Partially offset by lower sales volumes in our Safety and Productivity Solutions segment, and favorable impact of foreign currency translation.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with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6"/>
          <w:szCs w:val="16"/>
          <w:b w:val="1"/>
          <w:bCs w:val="1"/>
          <w:color w:val="D7282F"/>
        </w:rPr>
      </w:pPr>
      <w:r>
        <w:rPr>
          <w:rFonts w:ascii="Arial" w:cs="Arial" w:eastAsia="Arial" w:hAnsi="Arial"/>
          <w:sz w:val="16"/>
          <w:szCs w:val="16"/>
          <w:color w:val="auto"/>
        </w:rPr>
        <w:t>Higher direct and indirect material costs and higher labor costs, and</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0"/>
        </w:numPr>
        <w:rPr>
          <w:rFonts w:ascii="Arial" w:cs="Arial" w:eastAsia="Arial" w:hAnsi="Arial"/>
          <w:sz w:val="16"/>
          <w:szCs w:val="16"/>
          <w:b w:val="1"/>
          <w:bCs w:val="1"/>
          <w:color w:val="DC202E"/>
        </w:rPr>
      </w:pPr>
      <w:r>
        <w:rPr>
          <w:rFonts w:ascii="Arial" w:cs="Arial" w:eastAsia="Arial" w:hAnsi="Arial"/>
          <w:sz w:val="16"/>
          <w:szCs w:val="16"/>
          <w:color w:val="auto"/>
        </w:rPr>
        <w:t>Higher repositioning and other charges,</w:t>
      </w:r>
    </w:p>
    <w:p>
      <w:pPr>
        <w:spacing w:after="0" w:line="86" w:lineRule="exact"/>
        <w:rPr>
          <w:rFonts w:ascii="Arial" w:cs="Arial" w:eastAsia="Arial" w:hAnsi="Arial"/>
          <w:sz w:val="16"/>
          <w:szCs w:val="16"/>
          <w:b w:val="1"/>
          <w:bCs w:val="1"/>
          <w:color w:val="DC202E"/>
        </w:rPr>
      </w:pPr>
    </w:p>
    <w:p>
      <w:pPr>
        <w:ind w:left="200" w:hanging="192"/>
        <w:spacing w:after="0"/>
        <w:tabs>
          <w:tab w:leader="none" w:pos="200" w:val="left"/>
        </w:tabs>
        <w:numPr>
          <w:ilvl w:val="0"/>
          <w:numId w:val="10"/>
        </w:numPr>
        <w:rPr>
          <w:rFonts w:ascii="Arial" w:cs="Arial" w:eastAsia="Arial" w:hAnsi="Arial"/>
          <w:sz w:val="16"/>
          <w:szCs w:val="16"/>
          <w:b w:val="1"/>
          <w:bCs w:val="1"/>
          <w:color w:val="D7282F"/>
        </w:rPr>
      </w:pPr>
      <w:r>
        <w:rPr>
          <w:rFonts w:ascii="Arial" w:cs="Arial" w:eastAsia="Arial" w:hAnsi="Arial"/>
          <w:sz w:val="16"/>
          <w:szCs w:val="16"/>
          <w:color w:val="auto"/>
        </w:rPr>
        <w:t>Partially offset by lower sales volumes in our Safety and Productivity Solutions segment, and favorable impact of foreign currency translation.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122" w:right="129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314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with Q2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Gross margin as a percentage of 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6"/>
          <w:szCs w:val="16"/>
          <w:b w:val="1"/>
          <w:bCs w:val="1"/>
          <w:color w:val="D7282F"/>
        </w:rPr>
      </w:pPr>
      <w:r>
        <w:rPr>
          <w:rFonts w:ascii="Arial" w:cs="Arial" w:eastAsia="Arial" w:hAnsi="Arial"/>
          <w:sz w:val="16"/>
          <w:szCs w:val="16"/>
          <w:color w:val="auto"/>
        </w:rPr>
        <w:t>Favorable pricing,</w:t>
      </w:r>
    </w:p>
    <w:p>
      <w:pPr>
        <w:spacing w:after="0" w:line="86" w:lineRule="exact"/>
        <w:rPr>
          <w:rFonts w:ascii="Arial" w:cs="Arial" w:eastAsia="Arial" w:hAnsi="Arial"/>
          <w:sz w:val="16"/>
          <w:szCs w:val="16"/>
          <w:b w:val="1"/>
          <w:bCs w:val="1"/>
          <w:color w:val="D7282F"/>
        </w:rPr>
      </w:pPr>
    </w:p>
    <w:p>
      <w:pPr>
        <w:ind w:left="200" w:hanging="192"/>
        <w:spacing w:after="0" w:line="286" w:lineRule="auto"/>
        <w:tabs>
          <w:tab w:leader="none" w:pos="197" w:val="left"/>
        </w:tabs>
        <w:numPr>
          <w:ilvl w:val="0"/>
          <w:numId w:val="11"/>
        </w:numPr>
        <w:rPr>
          <w:rFonts w:ascii="Arial" w:cs="Arial" w:eastAsia="Arial" w:hAnsi="Arial"/>
          <w:sz w:val="16"/>
          <w:szCs w:val="16"/>
          <w:b w:val="1"/>
          <w:bCs w:val="1"/>
          <w:color w:val="D7282F"/>
        </w:rPr>
      </w:pPr>
      <w:r>
        <w:rPr>
          <w:rFonts w:ascii="Arial" w:cs="Arial" w:eastAsia="Arial" w:hAnsi="Arial"/>
          <w:sz w:val="16"/>
          <w:szCs w:val="16"/>
          <w:color w:val="auto"/>
        </w:rPr>
        <w:t>Partially offset by lower gross margins due to higher direct and indirect material costs and higher labor costs, higher repositioning and other charges and lower sales volumes in our Safety and Productivity Solutions segment.</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with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Gross margin and Gross margin as a percentage of net sales increased due to the following:</w:t>
      </w:r>
    </w:p>
    <w:p>
      <w:pPr>
        <w:spacing w:after="0" w:line="97"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6"/>
          <w:szCs w:val="16"/>
          <w:b w:val="1"/>
          <w:bCs w:val="1"/>
          <w:color w:val="D7282F"/>
        </w:rPr>
      </w:pPr>
      <w:r>
        <w:rPr>
          <w:rFonts w:ascii="Arial" w:cs="Arial" w:eastAsia="Arial" w:hAnsi="Arial"/>
          <w:sz w:val="16"/>
          <w:szCs w:val="16"/>
          <w:color w:val="auto"/>
        </w:rPr>
        <w:t>Favorable pricing,</w:t>
      </w:r>
    </w:p>
    <w:p>
      <w:pPr>
        <w:spacing w:after="0" w:line="86" w:lineRule="exact"/>
        <w:rPr>
          <w:rFonts w:ascii="Arial" w:cs="Arial" w:eastAsia="Arial" w:hAnsi="Arial"/>
          <w:sz w:val="16"/>
          <w:szCs w:val="16"/>
          <w:b w:val="1"/>
          <w:bCs w:val="1"/>
          <w:color w:val="D7282F"/>
        </w:rPr>
      </w:pPr>
    </w:p>
    <w:p>
      <w:pPr>
        <w:ind w:left="200" w:hanging="192"/>
        <w:spacing w:after="0" w:line="304" w:lineRule="auto"/>
        <w:tabs>
          <w:tab w:leader="none" w:pos="197" w:val="left"/>
        </w:tabs>
        <w:numPr>
          <w:ilvl w:val="0"/>
          <w:numId w:val="12"/>
        </w:numPr>
        <w:rPr>
          <w:rFonts w:ascii="Arial" w:cs="Arial" w:eastAsia="Arial" w:hAnsi="Arial"/>
          <w:sz w:val="16"/>
          <w:szCs w:val="16"/>
          <w:b w:val="1"/>
          <w:bCs w:val="1"/>
          <w:color w:val="D7282F"/>
        </w:rPr>
      </w:pPr>
      <w:r>
        <w:rPr>
          <w:rFonts w:ascii="Arial" w:cs="Arial" w:eastAsia="Arial" w:hAnsi="Arial"/>
          <w:sz w:val="16"/>
          <w:szCs w:val="16"/>
          <w:color w:val="auto"/>
        </w:rPr>
        <w:t>Partially offset by lower gross margins due to higher direct and indirect material costs and higher labor costs, higher repositioning and other charges and lower sales volumes in our Safety and Productivity Solutions segment.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314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with Q2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111"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6"/>
          <w:szCs w:val="16"/>
          <w:color w:val="D7282F"/>
        </w:rPr>
      </w:pPr>
      <w:r>
        <w:rPr>
          <w:rFonts w:ascii="Arial" w:cs="Arial" w:eastAsia="Arial" w:hAnsi="Arial"/>
          <w:sz w:val="16"/>
          <w:szCs w:val="16"/>
          <w:color w:val="auto"/>
        </w:rPr>
        <w:t>Higher repositioning costs,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3"/>
        </w:numPr>
        <w:rPr>
          <w:rFonts w:ascii="Arial" w:cs="Arial" w:eastAsia="Arial" w:hAnsi="Arial"/>
          <w:sz w:val="16"/>
          <w:szCs w:val="16"/>
          <w:color w:val="D7282F"/>
        </w:rPr>
      </w:pPr>
      <w:r>
        <w:rPr>
          <w:rFonts w:ascii="Arial" w:cs="Arial" w:eastAsia="Arial" w:hAnsi="Arial"/>
          <w:sz w:val="16"/>
          <w:szCs w:val="16"/>
          <w:color w:val="auto"/>
        </w:rPr>
        <w:t>Higher labor costs.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111"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Higher repositioning costs,</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Higher labor costs,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Charges and accrual of reserves directly attributable to the initial Suspension and Wind down of businesses and operations in Russia.</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2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02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3"/>
        </w:trPr>
        <w:tc>
          <w:tcPr>
            <w:tcW w:w="70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(190)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(366)</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(509)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with Q2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decreased due to the following:</w:t>
      </w:r>
    </w:p>
    <w:p>
      <w:pPr>
        <w:spacing w:after="0" w:line="97"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6"/>
          <w:szCs w:val="16"/>
          <w:color w:val="D7282F"/>
        </w:rPr>
      </w:pPr>
      <w:r>
        <w:rPr>
          <w:rFonts w:ascii="Arial" w:cs="Arial" w:eastAsia="Arial" w:hAnsi="Arial"/>
          <w:sz w:val="16"/>
          <w:szCs w:val="16"/>
          <w:color w:val="auto"/>
        </w:rPr>
        <w:t>Charges and accrual of reserves directly attributable to the initial Suspension and Wind down of businesses and operations in Russia,</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5"/>
        </w:numPr>
        <w:rPr>
          <w:rFonts w:ascii="Arial" w:cs="Arial" w:eastAsia="Arial" w:hAnsi="Arial"/>
          <w:sz w:val="16"/>
          <w:szCs w:val="16"/>
          <w:color w:val="D7282F"/>
        </w:rPr>
      </w:pPr>
      <w:r>
        <w:rPr>
          <w:rFonts w:ascii="Arial" w:cs="Arial" w:eastAsia="Arial" w:hAnsi="Arial"/>
          <w:sz w:val="16"/>
          <w:szCs w:val="16"/>
          <w:color w:val="auto"/>
        </w:rPr>
        <w:t>Recognition of an expense related to UOP matters,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5"/>
        </w:numPr>
        <w:rPr>
          <w:rFonts w:ascii="Arial" w:cs="Arial" w:eastAsia="Arial" w:hAnsi="Arial"/>
          <w:sz w:val="16"/>
          <w:szCs w:val="16"/>
          <w:color w:val="D7282F"/>
        </w:rPr>
      </w:pPr>
      <w:r>
        <w:rPr>
          <w:rFonts w:ascii="Arial" w:cs="Arial" w:eastAsia="Arial" w:hAnsi="Arial"/>
          <w:sz w:val="16"/>
          <w:szCs w:val="16"/>
          <w:color w:val="auto"/>
        </w:rPr>
        <w:t>Lower pension income.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with YTD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decreased due to the following:</w:t>
      </w:r>
    </w:p>
    <w:p>
      <w:pPr>
        <w:spacing w:after="0" w:line="97"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6"/>
          <w:szCs w:val="16"/>
          <w:color w:val="D7282F"/>
        </w:rPr>
      </w:pPr>
      <w:r>
        <w:rPr>
          <w:rFonts w:ascii="Arial" w:cs="Arial" w:eastAsia="Arial" w:hAnsi="Arial"/>
          <w:sz w:val="16"/>
          <w:szCs w:val="16"/>
          <w:color w:val="auto"/>
        </w:rPr>
        <w:t>Prior year gain on sale of the retail footwear business,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6"/>
        </w:numPr>
        <w:rPr>
          <w:rFonts w:ascii="Arial" w:cs="Arial" w:eastAsia="Arial" w:hAnsi="Arial"/>
          <w:sz w:val="16"/>
          <w:szCs w:val="16"/>
          <w:color w:val="D7282F"/>
        </w:rPr>
      </w:pPr>
      <w:r>
        <w:rPr>
          <w:rFonts w:ascii="Arial" w:cs="Arial" w:eastAsia="Arial" w:hAnsi="Arial"/>
          <w:sz w:val="16"/>
          <w:szCs w:val="16"/>
          <w:color w:val="auto"/>
        </w:rPr>
        <w:t>Charges and accrual of reserves directly attributable to the initial Suspension and Wind down of businesses and operations in Russia,</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6"/>
        </w:numPr>
        <w:rPr>
          <w:rFonts w:ascii="Arial" w:cs="Arial" w:eastAsia="Arial" w:hAnsi="Arial"/>
          <w:sz w:val="16"/>
          <w:szCs w:val="16"/>
          <w:color w:val="D7282F"/>
        </w:rPr>
      </w:pPr>
      <w:r>
        <w:rPr>
          <w:rFonts w:ascii="Arial" w:cs="Arial" w:eastAsia="Arial" w:hAnsi="Arial"/>
          <w:sz w:val="16"/>
          <w:szCs w:val="16"/>
          <w:color w:val="auto"/>
        </w:rPr>
        <w:t>Lower pension income,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6"/>
        </w:numPr>
        <w:rPr>
          <w:rFonts w:ascii="Arial" w:cs="Arial" w:eastAsia="Arial" w:hAnsi="Arial"/>
          <w:sz w:val="16"/>
          <w:szCs w:val="16"/>
          <w:color w:val="D7282F"/>
        </w:rPr>
      </w:pPr>
      <w:r>
        <w:rPr>
          <w:rFonts w:ascii="Arial" w:cs="Arial" w:eastAsia="Arial" w:hAnsi="Arial"/>
          <w:sz w:val="16"/>
          <w:szCs w:val="16"/>
          <w:color w:val="auto"/>
        </w:rPr>
        <w:t>Recognition of an expense related to UOP matters.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314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with Q2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increased, and was higher than the U.S. federal statutory rate of 21%, due to the following:</w:t>
      </w:r>
    </w:p>
    <w:p>
      <w:pPr>
        <w:spacing w:after="0" w:line="111" w:lineRule="exact"/>
        <w:rPr>
          <w:sz w:val="20"/>
          <w:szCs w:val="20"/>
          <w:color w:val="auto"/>
        </w:rPr>
      </w:pPr>
    </w:p>
    <w:p>
      <w:pPr>
        <w:ind w:left="200" w:hanging="192"/>
        <w:spacing w:after="0" w:line="286" w:lineRule="auto"/>
        <w:tabs>
          <w:tab w:leader="none" w:pos="197"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Charges and accrual of reserves directly attributable to the initial Suspension and Wind down of our businesses and operations in Russia with no corresponding tax benefit,</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Expense related to UOP matters with no corresponding tax benefit,</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Lower tax benefits for employee share-based compensation,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Incremental tax reserves and state taxes,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7"/>
        </w:numPr>
        <w:rPr>
          <w:rFonts w:ascii="Arial" w:cs="Arial" w:eastAsia="Arial" w:hAnsi="Arial"/>
          <w:sz w:val="16"/>
          <w:szCs w:val="16"/>
          <w:color w:val="D7282F"/>
        </w:rPr>
      </w:pPr>
      <w:r>
        <w:rPr>
          <w:rFonts w:ascii="Arial" w:cs="Arial" w:eastAsia="Arial" w:hAnsi="Arial"/>
          <w:sz w:val="16"/>
          <w:szCs w:val="16"/>
          <w:color w:val="auto"/>
        </w:rPr>
        <w:t>Partially offset by the favorable resolution of certain foreign tax matters.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of changes in the effective tax rate, see Note 6 Income Taxes of Notes to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with YTD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increased, and was higher than the U.S. federal statutory rate of 21%, due to the following:</w:t>
      </w:r>
    </w:p>
    <w:p>
      <w:pPr>
        <w:spacing w:after="0" w:line="97" w:lineRule="exact"/>
        <w:rPr>
          <w:sz w:val="20"/>
          <w:szCs w:val="20"/>
          <w:color w:val="auto"/>
        </w:rPr>
      </w:pPr>
    </w:p>
    <w:p>
      <w:pPr>
        <w:ind w:left="200" w:hanging="192"/>
        <w:spacing w:after="0" w:line="286" w:lineRule="auto"/>
        <w:tabs>
          <w:tab w:leader="none" w:pos="197"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Charges and accrual of reserves directly attributable to the initial Suspension and Wind down of our businesses and operations in Russia with no corresponding tax benefit,</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Expense related to UOP matters with no corresponding tax benefit,</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Lower tax benefits for employee share-based compensation,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Incremental tax reserves and state taxes,</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Partially offset by the favorable resolution of certain foreign tax matters.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of changes in the effective tax rate, see Note 6 Income Taxes of 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39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314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to Q2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decreased, driven by the following:</w:t>
      </w:r>
    </w:p>
    <w:p>
      <w:pPr>
        <w:spacing w:after="0" w:line="111" w:lineRule="exact"/>
        <w:rPr>
          <w:sz w:val="20"/>
          <w:szCs w:val="20"/>
          <w:color w:val="auto"/>
        </w:rPr>
      </w:pPr>
    </w:p>
    <w:p>
      <w:pPr>
        <w:ind w:left="200" w:hanging="192"/>
        <w:spacing w:after="0" w:line="286" w:lineRule="auto"/>
        <w:tabs>
          <w:tab w:leader="none" w:pos="197"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Higher repositioning and other charges, including charges and accrual of reserves directly attributable to the initial Suspension and Wind down of businesses and operations in Russia,</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The recognition of an expense related to UOP matters,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Lower pension income,</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Partially offset by higher segment profit and the favorable impact of lower share count.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decreased, driven by the following:</w:t>
      </w:r>
    </w:p>
    <w:p>
      <w:pPr>
        <w:spacing w:after="0" w:line="111" w:lineRule="exact"/>
        <w:rPr>
          <w:sz w:val="20"/>
          <w:szCs w:val="20"/>
          <w:color w:val="auto"/>
        </w:rPr>
      </w:pPr>
    </w:p>
    <w:p>
      <w:pPr>
        <w:ind w:left="200" w:hanging="192"/>
        <w:spacing w:after="0" w:line="286" w:lineRule="auto"/>
        <w:tabs>
          <w:tab w:leader="none" w:pos="197" w:val="left"/>
        </w:tabs>
        <w:numPr>
          <w:ilvl w:val="0"/>
          <w:numId w:val="20"/>
        </w:numPr>
        <w:rPr>
          <w:rFonts w:ascii="Arial" w:cs="Arial" w:eastAsia="Arial" w:hAnsi="Arial"/>
          <w:sz w:val="16"/>
          <w:szCs w:val="16"/>
          <w:color w:val="D7282F"/>
        </w:rPr>
      </w:pPr>
      <w:r>
        <w:rPr>
          <w:rFonts w:ascii="Arial" w:cs="Arial" w:eastAsia="Arial" w:hAnsi="Arial"/>
          <w:sz w:val="16"/>
          <w:szCs w:val="16"/>
          <w:color w:val="auto"/>
        </w:rPr>
        <w:t>Higher repositioning and other charges, including charges and accrual of reserves directly attributable to the initial Suspension and Wind down of businesses and operations in Russia,</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20"/>
        </w:numPr>
        <w:rPr>
          <w:rFonts w:ascii="Arial" w:cs="Arial" w:eastAsia="Arial" w:hAnsi="Arial"/>
          <w:sz w:val="16"/>
          <w:szCs w:val="16"/>
          <w:color w:val="D7282F"/>
        </w:rPr>
      </w:pPr>
      <w:r>
        <w:rPr>
          <w:rFonts w:ascii="Arial" w:cs="Arial" w:eastAsia="Arial" w:hAnsi="Arial"/>
          <w:sz w:val="16"/>
          <w:szCs w:val="16"/>
          <w:color w:val="auto"/>
        </w:rPr>
        <w:t>Prior year gain on sale of the retail footwear business,</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20"/>
        </w:numPr>
        <w:rPr>
          <w:rFonts w:ascii="Arial" w:cs="Arial" w:eastAsia="Arial" w:hAnsi="Arial"/>
          <w:sz w:val="16"/>
          <w:szCs w:val="16"/>
          <w:color w:val="D7282F"/>
        </w:rPr>
      </w:pPr>
      <w:r>
        <w:rPr>
          <w:rFonts w:ascii="Arial" w:cs="Arial" w:eastAsia="Arial" w:hAnsi="Arial"/>
          <w:sz w:val="16"/>
          <w:szCs w:val="16"/>
          <w:color w:val="auto"/>
        </w:rPr>
        <w:t>The recognition of an expense related to UOP matters,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0"/>
        </w:numPr>
        <w:rPr>
          <w:rFonts w:ascii="Arial" w:cs="Arial" w:eastAsia="Arial" w:hAnsi="Arial"/>
          <w:sz w:val="16"/>
          <w:szCs w:val="16"/>
          <w:color w:val="D7282F"/>
        </w:rPr>
      </w:pPr>
      <w:r>
        <w:rPr>
          <w:rFonts w:ascii="Arial" w:cs="Arial" w:eastAsia="Arial" w:hAnsi="Arial"/>
          <w:sz w:val="16"/>
          <w:szCs w:val="16"/>
          <w:color w:val="auto"/>
        </w:rPr>
        <w:t>Lower pension income,</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0"/>
        </w:numPr>
        <w:rPr>
          <w:rFonts w:ascii="Arial" w:cs="Arial" w:eastAsia="Arial" w:hAnsi="Arial"/>
          <w:sz w:val="16"/>
          <w:szCs w:val="16"/>
          <w:color w:val="D7282F"/>
        </w:rPr>
      </w:pPr>
      <w:r>
        <w:rPr>
          <w:rFonts w:ascii="Arial" w:cs="Arial" w:eastAsia="Arial" w:hAnsi="Arial"/>
          <w:sz w:val="16"/>
          <w:szCs w:val="16"/>
          <w:color w:val="auto"/>
        </w:rPr>
        <w:t>Partially offset by higher segment profit, and the favorable impact of lower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globally manage our business operations through four segments: Aerospace, Honeywell Building Technologies, Performance Materials and Technologies, and Safety and Productivity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89535</wp:posOffset>
            </wp:positionV>
            <wp:extent cx="5829300" cy="2314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2"/>
                <w:szCs w:val="12"/>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2021</w:t>
            </w:r>
          </w:p>
        </w:tc>
        <w:tc>
          <w:tcPr>
            <w:tcW w:w="54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2"/>
                <w:szCs w:val="12"/>
                <w:color w:val="auto"/>
              </w:rPr>
            </w:pPr>
          </w:p>
        </w:tc>
        <w:tc>
          <w:tcPr>
            <w:tcW w:w="90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w w:val="96"/>
              </w:rPr>
              <w:t>2021</w:t>
            </w:r>
          </w:p>
        </w:tc>
        <w:tc>
          <w:tcPr>
            <w:tcW w:w="86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86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5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2,898</w:t>
            </w:r>
          </w:p>
        </w:tc>
        <w:tc>
          <w:tcPr>
            <w:tcW w:w="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2,766</w:t>
            </w:r>
          </w:p>
        </w:tc>
        <w:tc>
          <w:tcPr>
            <w:tcW w:w="540" w:type="dxa"/>
            <w:vAlign w:val="bottom"/>
            <w:tcBorders>
              <w:bottom w:val="single" w:sz="8" w:color="BCBDC0"/>
            </w:tcBorders>
          </w:tcPr>
          <w:p>
            <w:pPr>
              <w:spacing w:after="0"/>
              <w:rPr>
                <w:sz w:val="16"/>
                <w:szCs w:val="16"/>
                <w:color w:val="auto"/>
              </w:rPr>
            </w:pPr>
          </w:p>
        </w:tc>
        <w:tc>
          <w:tcPr>
            <w:tcW w:w="2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w w:val="99"/>
              </w:rPr>
              <w:t>5 %</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5,647</w:t>
            </w:r>
          </w:p>
        </w:tc>
        <w:tc>
          <w:tcPr>
            <w:tcW w:w="240" w:type="dxa"/>
            <w:vAlign w:val="bottom"/>
            <w:tcBorders>
              <w:bottom w:val="single" w:sz="8" w:color="BCBDC0"/>
            </w:tcBorders>
          </w:tcPr>
          <w:p>
            <w:pPr>
              <w:ind w:left="16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BCBDC0"/>
            </w:tcBorders>
          </w:tcPr>
          <w:p>
            <w:pPr>
              <w:jc w:val="right"/>
              <w:ind w:right="248"/>
              <w:spacing w:after="0"/>
              <w:rPr>
                <w:sz w:val="20"/>
                <w:szCs w:val="20"/>
                <w:color w:val="auto"/>
              </w:rPr>
            </w:pPr>
            <w:r>
              <w:rPr>
                <w:rFonts w:ascii="Arial" w:cs="Arial" w:eastAsia="Arial" w:hAnsi="Arial"/>
                <w:sz w:val="14"/>
                <w:szCs w:val="14"/>
                <w:color w:val="auto"/>
              </w:rPr>
              <w:t>5,398</w:t>
            </w: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1,922</w:t>
            </w:r>
          </w:p>
        </w:tc>
        <w:tc>
          <w:tcPr>
            <w:tcW w:w="2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1,846</w:t>
            </w:r>
          </w:p>
        </w:tc>
        <w:tc>
          <w:tcPr>
            <w:tcW w:w="540" w:type="dxa"/>
            <w:vAlign w:val="bottom"/>
            <w:tcBorders>
              <w:bottom w:val="single" w:sz="8" w:color="BCBDC0"/>
            </w:tcBorders>
          </w:tcPr>
          <w:p>
            <w:pPr>
              <w:spacing w:after="0"/>
              <w:rPr>
                <w:sz w:val="17"/>
                <w:szCs w:val="17"/>
                <w:color w:val="auto"/>
              </w:rPr>
            </w:pPr>
          </w:p>
        </w:tc>
        <w:tc>
          <w:tcPr>
            <w:tcW w:w="2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3,681</w:t>
            </w:r>
          </w:p>
        </w:tc>
        <w:tc>
          <w:tcPr>
            <w:tcW w:w="24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tcPr>
          <w:p>
            <w:pPr>
              <w:jc w:val="right"/>
              <w:ind w:right="248"/>
              <w:spacing w:after="0"/>
              <w:rPr>
                <w:sz w:val="20"/>
                <w:szCs w:val="20"/>
                <w:color w:val="auto"/>
              </w:rPr>
            </w:pPr>
            <w:r>
              <w:rPr>
                <w:rFonts w:ascii="Arial" w:cs="Arial" w:eastAsia="Arial" w:hAnsi="Arial"/>
                <w:sz w:val="14"/>
                <w:szCs w:val="14"/>
                <w:color w:val="auto"/>
              </w:rPr>
              <w:t>3,502</w:t>
            </w:r>
          </w:p>
        </w:tc>
        <w:tc>
          <w:tcPr>
            <w:tcW w:w="86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209</w:t>
            </w:r>
          </w:p>
        </w:tc>
        <w:tc>
          <w:tcPr>
            <w:tcW w:w="2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210</w:t>
            </w:r>
          </w:p>
        </w:tc>
        <w:tc>
          <w:tcPr>
            <w:tcW w:w="5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446</w:t>
            </w:r>
          </w:p>
        </w:tc>
        <w:tc>
          <w:tcPr>
            <w:tcW w:w="24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424</w:t>
            </w: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767</w:t>
            </w:r>
          </w:p>
        </w:tc>
        <w:tc>
          <w:tcPr>
            <w:tcW w:w="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710</w:t>
            </w:r>
          </w:p>
        </w:tc>
        <w:tc>
          <w:tcPr>
            <w:tcW w:w="5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9"/>
              </w:rPr>
              <w:t>8 %</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1,520</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1,472</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3"/>
          </w:tcPr>
          <w:p>
            <w:pPr>
              <w:spacing w:after="0"/>
              <w:rPr>
                <w:sz w:val="20"/>
                <w:szCs w:val="20"/>
                <w:color w:val="auto"/>
              </w:rPr>
            </w:pPr>
            <w:r>
              <w:rPr>
                <w:rFonts w:ascii="Arial" w:cs="Arial" w:eastAsia="Arial" w:hAnsi="Arial"/>
                <w:sz w:val="14"/>
                <w:szCs w:val="14"/>
                <w:b w:val="1"/>
                <w:bCs w:val="1"/>
                <w:color w:val="auto"/>
              </w:rPr>
              <w:t>2022 vs. 2021</w:t>
            </w:r>
          </w:p>
        </w:tc>
        <w:tc>
          <w:tcPr>
            <w:tcW w:w="8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00" w:type="dxa"/>
            <w:vAlign w:val="bottom"/>
          </w:tcPr>
          <w:p>
            <w:pPr>
              <w:spacing w:after="0"/>
              <w:rPr>
                <w:sz w:val="12"/>
                <w:szCs w:val="12"/>
                <w:color w:val="auto"/>
              </w:rPr>
            </w:pPr>
          </w:p>
        </w:tc>
        <w:tc>
          <w:tcPr>
            <w:tcW w:w="18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jc w:val="right"/>
              <w:ind w:right="408"/>
              <w:spacing w:after="0" w:line="147"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1840" w:type="dxa"/>
            <w:vAlign w:val="bottom"/>
            <w:tcBorders>
              <w:bottom w:val="single" w:sz="8" w:color="D7282F"/>
            </w:tcBorders>
            <w:gridSpan w:val="2"/>
          </w:tcPr>
          <w:p>
            <w:pPr>
              <w:jc w:val="right"/>
              <w:ind w:right="74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760" w:type="dxa"/>
            <w:vAlign w:val="bottom"/>
          </w:tcPr>
          <w:p>
            <w:pPr>
              <w:jc w:val="center"/>
              <w:ind w:left="288"/>
              <w:spacing w:after="0" w:line="147" w:lineRule="exact"/>
              <w:rPr>
                <w:sz w:val="20"/>
                <w:szCs w:val="20"/>
                <w:color w:val="auto"/>
              </w:rPr>
            </w:pPr>
            <w:r>
              <w:rPr>
                <w:rFonts w:ascii="Arial" w:cs="Arial" w:eastAsia="Arial" w:hAnsi="Arial"/>
                <w:sz w:val="14"/>
                <w:szCs w:val="14"/>
                <w:b w:val="1"/>
                <w:bCs w:val="1"/>
                <w:color w:val="auto"/>
              </w:rPr>
              <w:t>Net</w:t>
            </w:r>
          </w:p>
        </w:tc>
        <w:tc>
          <w:tcPr>
            <w:tcW w:w="2040" w:type="dxa"/>
            <w:vAlign w:val="bottom"/>
            <w:gridSpan w:val="4"/>
          </w:tcPr>
          <w:p>
            <w:pPr>
              <w:ind w:left="600"/>
              <w:spacing w:after="0" w:line="147" w:lineRule="exact"/>
              <w:rPr>
                <w:sz w:val="20"/>
                <w:szCs w:val="20"/>
                <w:color w:val="auto"/>
              </w:rPr>
            </w:pPr>
            <w:r>
              <w:rPr>
                <w:rFonts w:ascii="Arial" w:cs="Arial" w:eastAsia="Arial" w:hAnsi="Arial"/>
                <w:sz w:val="14"/>
                <w:szCs w:val="14"/>
                <w:b w:val="1"/>
                <w:bCs w:val="1"/>
                <w:color w:val="auto"/>
              </w:rPr>
              <w:t>Segment</w:t>
            </w:r>
          </w:p>
        </w:tc>
        <w:tc>
          <w:tcPr>
            <w:tcW w:w="840" w:type="dxa"/>
            <w:vAlign w:val="bottom"/>
          </w:tcPr>
          <w:p>
            <w:pPr>
              <w:jc w:val="right"/>
              <w:ind w:right="468"/>
              <w:spacing w:after="0" w:line="147" w:lineRule="exact"/>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D7282F"/>
            </w:tcBorders>
            <w:vMerge w:val="continue"/>
          </w:tcPr>
          <w:p>
            <w:pPr>
              <w:spacing w:after="0"/>
              <w:rPr>
                <w:sz w:val="16"/>
                <w:szCs w:val="16"/>
                <w:color w:val="auto"/>
              </w:rPr>
            </w:pPr>
          </w:p>
        </w:tc>
        <w:tc>
          <w:tcPr>
            <w:tcW w:w="760" w:type="dxa"/>
            <w:vAlign w:val="bottom"/>
            <w:tcBorders>
              <w:bottom w:val="single" w:sz="8" w:color="D7282F"/>
            </w:tcBorders>
          </w:tcPr>
          <w:p>
            <w:pPr>
              <w:jc w:val="center"/>
              <w:ind w:left="268"/>
              <w:spacing w:after="0"/>
              <w:rPr>
                <w:sz w:val="20"/>
                <w:szCs w:val="20"/>
                <w:color w:val="auto"/>
              </w:rPr>
            </w:pPr>
            <w:r>
              <w:rPr>
                <w:rFonts w:ascii="Arial" w:cs="Arial" w:eastAsia="Arial" w:hAnsi="Arial"/>
                <w:sz w:val="14"/>
                <w:szCs w:val="14"/>
                <w:b w:val="1"/>
                <w:bCs w:val="1"/>
                <w:color w:val="auto"/>
              </w:rPr>
              <w:t>Sales</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Profit</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8"/>
              </w:rPr>
              <w:t>Sales</w:t>
            </w:r>
          </w:p>
        </w:tc>
        <w:tc>
          <w:tcPr>
            <w:tcW w:w="10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BCBDC0"/>
            </w:tcBorders>
          </w:tcPr>
          <w:p>
            <w:pPr>
              <w:ind w:left="20"/>
              <w:spacing w:after="0" w:line="196" w:lineRule="exact"/>
              <w:rPr>
                <w:sz w:val="20"/>
                <w:szCs w:val="20"/>
                <w:color w:val="auto"/>
              </w:rPr>
            </w:pPr>
            <w:r>
              <w:rPr>
                <w:rFonts w:ascii="Arial" w:cs="Arial" w:eastAsia="Arial" w:hAnsi="Arial"/>
                <w:sz w:val="14"/>
                <w:szCs w:val="14"/>
                <w:color w:val="auto"/>
              </w:rPr>
              <w:t>Organic</w:t>
            </w:r>
            <w:r>
              <w:rPr>
                <w:rFonts w:ascii="Arial" w:cs="Arial" w:eastAsia="Arial" w:hAnsi="Arial"/>
                <w:sz w:val="18"/>
                <w:szCs w:val="18"/>
                <w:color w:val="auto"/>
                <w:vertAlign w:val="superscript"/>
              </w:rPr>
              <w:t>(1)</w:t>
            </w:r>
          </w:p>
        </w:tc>
        <w:tc>
          <w:tcPr>
            <w:tcW w:w="760" w:type="dxa"/>
            <w:vAlign w:val="bottom"/>
            <w:tcBorders>
              <w:bottom w:val="single" w:sz="8" w:color="BCBDC0"/>
            </w:tcBorders>
          </w:tcPr>
          <w:p>
            <w:pPr>
              <w:spacing w:after="0"/>
              <w:rPr>
                <w:sz w:val="17"/>
                <w:szCs w:val="17"/>
                <w:color w:val="auto"/>
              </w:rPr>
            </w:pPr>
          </w:p>
        </w:tc>
        <w:tc>
          <w:tcPr>
            <w:tcW w:w="110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5 %</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8 %</w:t>
            </w:r>
          </w:p>
        </w:tc>
        <w:tc>
          <w:tcPr>
            <w:tcW w:w="24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5 %</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760" w:type="dxa"/>
            <w:vAlign w:val="bottom"/>
            <w:tcBorders>
              <w:bottom w:val="single" w:sz="8" w:color="BCBDC0"/>
            </w:tcBorders>
          </w:tcPr>
          <w:p>
            <w:pPr>
              <w:spacing w:after="0"/>
              <w:rPr>
                <w:sz w:val="16"/>
                <w:szCs w:val="16"/>
                <w:color w:val="auto"/>
              </w:rPr>
            </w:pPr>
          </w:p>
        </w:tc>
        <w:tc>
          <w:tcPr>
            <w:tcW w:w="110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w w:val="98"/>
              </w:rPr>
              <w:t>— %</w:t>
            </w:r>
          </w:p>
        </w:tc>
        <w:tc>
          <w:tcPr>
            <w:tcW w:w="940" w:type="dxa"/>
            <w:vAlign w:val="bottom"/>
            <w:tcBorders>
              <w:bottom w:val="single" w:sz="8" w:color="BCBDC0"/>
            </w:tcBorders>
            <w:gridSpan w:val="3"/>
          </w:tcPr>
          <w:p>
            <w:pPr>
              <w:jc w:val="right"/>
              <w:ind w:right="600"/>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7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color w:val="auto"/>
                <w:w w:val="98"/>
              </w:rPr>
              <w:t>— %</w:t>
            </w:r>
          </w:p>
        </w:tc>
        <w:tc>
          <w:tcPr>
            <w:tcW w:w="940" w:type="dxa"/>
            <w:vAlign w:val="bottom"/>
            <w:tcBorders>
              <w:bottom w:val="single" w:sz="8" w:color="D7282F"/>
            </w:tcBorders>
            <w:gridSpan w:val="3"/>
          </w:tcPr>
          <w:p>
            <w:pPr>
              <w:jc w:val="right"/>
              <w:ind w:right="600"/>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66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7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5 %</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8 %</w:t>
            </w:r>
          </w:p>
        </w:tc>
        <w:tc>
          <w:tcPr>
            <w:tcW w:w="2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5 %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8"/>
        <w:spacing w:after="0" w:line="251" w:lineRule="auto"/>
        <w:tabs>
          <w:tab w:leader="none" w:pos="136" w:val="left"/>
        </w:tabs>
        <w:numPr>
          <w:ilvl w:val="0"/>
          <w:numId w:val="21"/>
        </w:numPr>
        <w:rPr>
          <w:rFonts w:ascii="Arial" w:cs="Arial" w:eastAsia="Arial" w:hAnsi="Arial"/>
          <w:sz w:val="15"/>
          <w:szCs w:val="15"/>
          <w:color w:val="auto"/>
          <w:vertAlign w:val="superscript"/>
        </w:rPr>
      </w:pPr>
      <w:r>
        <w:rPr>
          <w:rFonts w:ascii="Arial" w:cs="Arial" w:eastAsia="Arial" w:hAnsi="Arial"/>
          <w:sz w:val="12"/>
          <w:szCs w:val="12"/>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to Q2 2021</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Sales increased due to favorable pricing, higher demand for our aftermarket products and services as flight hours increase from pandemic lows, and higher demand from commercial OEMs, partially offset by lower volumes in domestic and international defense.</w:t>
      </w:r>
    </w:p>
    <w:p>
      <w:pPr>
        <w:spacing w:after="0" w:line="64" w:lineRule="exact"/>
        <w:rPr>
          <w:sz w:val="20"/>
          <w:szCs w:val="20"/>
          <w:color w:val="auto"/>
        </w:rPr>
      </w:pPr>
    </w:p>
    <w:p>
      <w:pPr>
        <w:ind w:left="200" w:hanging="192"/>
        <w:spacing w:after="0" w:line="304" w:lineRule="auto"/>
        <w:tabs>
          <w:tab w:leader="none" w:pos="197" w:val="left"/>
        </w:tabs>
        <w:numPr>
          <w:ilvl w:val="0"/>
          <w:numId w:val="22"/>
        </w:numPr>
        <w:rPr>
          <w:rFonts w:ascii="Arial" w:cs="Arial" w:eastAsia="Arial" w:hAnsi="Arial"/>
          <w:sz w:val="16"/>
          <w:szCs w:val="16"/>
          <w:color w:val="D7282F"/>
        </w:rPr>
      </w:pPr>
      <w:r>
        <w:rPr>
          <w:rFonts w:ascii="Arial" w:cs="Arial" w:eastAsia="Arial" w:hAnsi="Arial"/>
          <w:sz w:val="16"/>
          <w:szCs w:val="16"/>
          <w:color w:val="auto"/>
        </w:rPr>
        <w:t>Commercial Aviation Original Equipment sales increased 21% (increased 22% organic) due to higher demand in air transport and regional and business aviation.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20" w:hanging="192"/>
        <w:spacing w:after="0" w:line="286" w:lineRule="auto"/>
        <w:tabs>
          <w:tab w:leader="none" w:pos="197"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Commercial Aviation Aftermarket sales increased 19% (increased 19% organic) due to higher demand and favorable pricing in air transport and regional and business aviation.</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Defense and Space sales decreased 12% (decreased 11% organic) due to lower sales volumes in domestic and international defense.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due to favorable pricing, partially offset by higher direct and indirect material costs and higher labor costs.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Sales increased due to favorable pricing, and higher demand for our aftermarket products and services, as flight hours increase from pandemic lows, and commercial OEMs, partially offset by lower volumes in domestic and international defense.</w:t>
      </w:r>
    </w:p>
    <w:p>
      <w:pPr>
        <w:spacing w:after="0" w:line="64"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6"/>
          <w:szCs w:val="16"/>
          <w:color w:val="D7282F"/>
        </w:rPr>
      </w:pPr>
      <w:r>
        <w:rPr>
          <w:rFonts w:ascii="Arial" w:cs="Arial" w:eastAsia="Arial" w:hAnsi="Arial"/>
          <w:sz w:val="16"/>
          <w:szCs w:val="16"/>
          <w:color w:val="auto"/>
        </w:rPr>
        <w:t>Commercial Aviation Original Equipment sales increased 16% (increased 16% organic) due to higher demand in air transport.</w:t>
      </w:r>
    </w:p>
    <w:p>
      <w:pPr>
        <w:spacing w:after="0" w:line="86" w:lineRule="exact"/>
        <w:rPr>
          <w:rFonts w:ascii="Arial" w:cs="Arial" w:eastAsia="Arial" w:hAnsi="Arial"/>
          <w:sz w:val="16"/>
          <w:szCs w:val="16"/>
          <w:color w:val="D7282F"/>
        </w:rPr>
      </w:pPr>
    </w:p>
    <w:p>
      <w:pPr>
        <w:ind w:left="200" w:hanging="192"/>
        <w:spacing w:after="0" w:line="299" w:lineRule="auto"/>
        <w:tabs>
          <w:tab w:leader="none" w:pos="197" w:val="left"/>
        </w:tabs>
        <w:numPr>
          <w:ilvl w:val="0"/>
          <w:numId w:val="24"/>
        </w:numPr>
        <w:rPr>
          <w:rFonts w:ascii="Arial" w:cs="Arial" w:eastAsia="Arial" w:hAnsi="Arial"/>
          <w:sz w:val="16"/>
          <w:szCs w:val="16"/>
          <w:color w:val="D7282F"/>
        </w:rPr>
      </w:pPr>
      <w:r>
        <w:rPr>
          <w:rFonts w:ascii="Arial" w:cs="Arial" w:eastAsia="Arial" w:hAnsi="Arial"/>
          <w:sz w:val="16"/>
          <w:szCs w:val="16"/>
          <w:color w:val="auto"/>
        </w:rPr>
        <w:t>Commercial Aviation Aftermarket sales increased 23% (increased 24% organic) due to higher demand, and favorable pricing in air transport and regional and business aviation.</w:t>
      </w:r>
    </w:p>
    <w:p>
      <w:pPr>
        <w:ind w:left="200" w:hanging="192"/>
        <w:spacing w:after="0"/>
        <w:tabs>
          <w:tab w:leader="none" w:pos="200" w:val="left"/>
        </w:tabs>
        <w:numPr>
          <w:ilvl w:val="0"/>
          <w:numId w:val="24"/>
        </w:numPr>
        <w:rPr>
          <w:rFonts w:ascii="Arial" w:cs="Arial" w:eastAsia="Arial" w:hAnsi="Arial"/>
          <w:sz w:val="16"/>
          <w:szCs w:val="16"/>
          <w:color w:val="D7282F"/>
        </w:rPr>
      </w:pPr>
      <w:r>
        <w:rPr>
          <w:rFonts w:ascii="Arial" w:cs="Arial" w:eastAsia="Arial" w:hAnsi="Arial"/>
          <w:sz w:val="16"/>
          <w:szCs w:val="16"/>
          <w:color w:val="auto"/>
        </w:rPr>
        <w:t>Defense and Space sales decreased 13% (decreased 13% organic) due to lower sales volumes in domestic and international defense.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and higher sales volumes.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Segment profit increased due to favorable pricing and higher sales volumes, partially offset by offset by higher direct and indirect material costs and higher labor costs.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HONEYWELL BUILDING TECHNOLOGIES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314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2"/>
                <w:szCs w:val="12"/>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2021</w:t>
            </w:r>
          </w:p>
        </w:tc>
        <w:tc>
          <w:tcPr>
            <w:tcW w:w="820" w:type="dxa"/>
            <w:vAlign w:val="bottom"/>
          </w:tcPr>
          <w:p>
            <w:pPr>
              <w:jc w:val="right"/>
              <w:ind w:right="42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2"/>
                <w:szCs w:val="12"/>
                <w:color w:val="auto"/>
              </w:rPr>
            </w:pPr>
          </w:p>
        </w:tc>
        <w:tc>
          <w:tcPr>
            <w:tcW w:w="90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w w:val="96"/>
              </w:rPr>
              <w:t>2021</w:t>
            </w:r>
          </w:p>
        </w:tc>
        <w:tc>
          <w:tcPr>
            <w:tcW w:w="86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104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1,531</w:t>
            </w:r>
          </w:p>
        </w:tc>
        <w:tc>
          <w:tcPr>
            <w:tcW w:w="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1,407</w:t>
            </w:r>
          </w:p>
        </w:tc>
        <w:tc>
          <w:tcPr>
            <w:tcW w:w="8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9 %</w:t>
            </w:r>
          </w:p>
        </w:tc>
        <w:tc>
          <w:tcPr>
            <w:tcW w:w="22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2,960</w:t>
            </w:r>
          </w:p>
        </w:tc>
        <w:tc>
          <w:tcPr>
            <w:tcW w:w="240" w:type="dxa"/>
            <w:vAlign w:val="bottom"/>
            <w:tcBorders>
              <w:bottom w:val="single" w:sz="8" w:color="BCBDC0"/>
            </w:tcBorders>
          </w:tcPr>
          <w:p>
            <w:pPr>
              <w:ind w:left="16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BCBDC0"/>
            </w:tcBorders>
          </w:tcPr>
          <w:p>
            <w:pPr>
              <w:jc w:val="right"/>
              <w:ind w:right="248"/>
              <w:spacing w:after="0"/>
              <w:rPr>
                <w:sz w:val="20"/>
                <w:szCs w:val="20"/>
                <w:color w:val="auto"/>
              </w:rPr>
            </w:pPr>
            <w:r>
              <w:rPr>
                <w:rFonts w:ascii="Arial" w:cs="Arial" w:eastAsia="Arial" w:hAnsi="Arial"/>
                <w:sz w:val="14"/>
                <w:szCs w:val="14"/>
                <w:color w:val="auto"/>
              </w:rPr>
              <w:t>2,765</w:t>
            </w:r>
          </w:p>
        </w:tc>
        <w:tc>
          <w:tcPr>
            <w:tcW w:w="8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884</w:t>
            </w:r>
          </w:p>
        </w:tc>
        <w:tc>
          <w:tcPr>
            <w:tcW w:w="240" w:type="dxa"/>
            <w:vAlign w:val="bottom"/>
            <w:tcBorders>
              <w:bottom w:val="single" w:sz="8" w:color="BCBDC0"/>
            </w:tcBorders>
          </w:tcPr>
          <w:p>
            <w:pPr>
              <w:spacing w:after="0"/>
              <w:rPr>
                <w:sz w:val="17"/>
                <w:szCs w:val="17"/>
                <w:color w:val="auto"/>
              </w:rPr>
            </w:pPr>
          </w:p>
        </w:tc>
        <w:tc>
          <w:tcPr>
            <w:tcW w:w="940" w:type="dxa"/>
            <w:vAlign w:val="bottom"/>
            <w:tcBorders>
              <w:bottom w:val="single" w:sz="8" w:color="BCBDC0"/>
            </w:tcBorders>
          </w:tcPr>
          <w:p>
            <w:pPr>
              <w:jc w:val="right"/>
              <w:ind w:right="288"/>
              <w:spacing w:after="0"/>
              <w:rPr>
                <w:sz w:val="20"/>
                <w:szCs w:val="20"/>
                <w:color w:val="auto"/>
              </w:rPr>
            </w:pPr>
            <w:r>
              <w:rPr>
                <w:rFonts w:ascii="Arial" w:cs="Arial" w:eastAsia="Arial" w:hAnsi="Arial"/>
                <w:sz w:val="14"/>
                <w:szCs w:val="14"/>
                <w:color w:val="auto"/>
              </w:rPr>
              <w:t>822</w:t>
            </w:r>
          </w:p>
        </w:tc>
        <w:tc>
          <w:tcPr>
            <w:tcW w:w="82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1,723</w:t>
            </w:r>
          </w:p>
        </w:tc>
        <w:tc>
          <w:tcPr>
            <w:tcW w:w="24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tcPr>
          <w:p>
            <w:pPr>
              <w:jc w:val="right"/>
              <w:ind w:right="248"/>
              <w:spacing w:after="0"/>
              <w:rPr>
                <w:sz w:val="20"/>
                <w:szCs w:val="20"/>
                <w:color w:val="auto"/>
              </w:rPr>
            </w:pPr>
            <w:r>
              <w:rPr>
                <w:rFonts w:ascii="Arial" w:cs="Arial" w:eastAsia="Arial" w:hAnsi="Arial"/>
                <w:sz w:val="14"/>
                <w:szCs w:val="14"/>
                <w:color w:val="auto"/>
              </w:rPr>
              <w:t>1,611</w:t>
            </w:r>
          </w:p>
        </w:tc>
        <w:tc>
          <w:tcPr>
            <w:tcW w:w="86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287</w:t>
            </w:r>
          </w:p>
        </w:tc>
        <w:tc>
          <w:tcPr>
            <w:tcW w:w="2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270</w:t>
            </w:r>
          </w:p>
        </w:tc>
        <w:tc>
          <w:tcPr>
            <w:tcW w:w="8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541</w:t>
            </w:r>
          </w:p>
        </w:tc>
        <w:tc>
          <w:tcPr>
            <w:tcW w:w="24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534</w:t>
            </w: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360</w:t>
            </w:r>
          </w:p>
        </w:tc>
        <w:tc>
          <w:tcPr>
            <w:tcW w:w="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315</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14 %</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696</w:t>
            </w:r>
          </w:p>
        </w:tc>
        <w:tc>
          <w:tcPr>
            <w:tcW w:w="24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620</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3"/>
          </w:tcPr>
          <w:p>
            <w:pPr>
              <w:spacing w:after="0"/>
              <w:rPr>
                <w:sz w:val="20"/>
                <w:szCs w:val="20"/>
                <w:color w:val="auto"/>
              </w:rPr>
            </w:pPr>
            <w:r>
              <w:rPr>
                <w:rFonts w:ascii="Arial" w:cs="Arial" w:eastAsia="Arial" w:hAnsi="Arial"/>
                <w:sz w:val="14"/>
                <w:szCs w:val="14"/>
                <w:b w:val="1"/>
                <w:bCs w:val="1"/>
                <w:color w:val="auto"/>
              </w:rPr>
              <w:t>2022 vs. 2021</w:t>
            </w:r>
          </w:p>
        </w:tc>
        <w:tc>
          <w:tcPr>
            <w:tcW w:w="8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00" w:type="dxa"/>
            <w:vAlign w:val="bottom"/>
          </w:tcPr>
          <w:p>
            <w:pPr>
              <w:spacing w:after="0"/>
              <w:rPr>
                <w:sz w:val="12"/>
                <w:szCs w:val="12"/>
                <w:color w:val="auto"/>
              </w:rPr>
            </w:pPr>
          </w:p>
        </w:tc>
        <w:tc>
          <w:tcPr>
            <w:tcW w:w="18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jc w:val="right"/>
              <w:ind w:right="408"/>
              <w:spacing w:after="0" w:line="147"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7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1840" w:type="dxa"/>
            <w:vAlign w:val="bottom"/>
            <w:tcBorders>
              <w:bottom w:val="single" w:sz="8" w:color="D7282F"/>
            </w:tcBorders>
            <w:gridSpan w:val="2"/>
          </w:tcPr>
          <w:p>
            <w:pPr>
              <w:jc w:val="right"/>
              <w:ind w:right="74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6"/>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740" w:type="dxa"/>
            <w:vAlign w:val="bottom"/>
          </w:tcPr>
          <w:p>
            <w:pPr>
              <w:jc w:val="center"/>
              <w:ind w:left="308"/>
              <w:spacing w:after="0" w:line="147" w:lineRule="exact"/>
              <w:rPr>
                <w:sz w:val="20"/>
                <w:szCs w:val="20"/>
                <w:color w:val="auto"/>
              </w:rPr>
            </w:pPr>
            <w:r>
              <w:rPr>
                <w:rFonts w:ascii="Arial" w:cs="Arial" w:eastAsia="Arial" w:hAnsi="Arial"/>
                <w:sz w:val="14"/>
                <w:szCs w:val="14"/>
                <w:b w:val="1"/>
                <w:bCs w:val="1"/>
                <w:color w:val="auto"/>
              </w:rPr>
              <w:t>Net</w:t>
            </w:r>
          </w:p>
        </w:tc>
        <w:tc>
          <w:tcPr>
            <w:tcW w:w="2060" w:type="dxa"/>
            <w:vAlign w:val="bottom"/>
            <w:gridSpan w:val="4"/>
          </w:tcPr>
          <w:p>
            <w:pPr>
              <w:ind w:left="620"/>
              <w:spacing w:after="0" w:line="147" w:lineRule="exact"/>
              <w:rPr>
                <w:sz w:val="20"/>
                <w:szCs w:val="20"/>
                <w:color w:val="auto"/>
              </w:rPr>
            </w:pPr>
            <w:r>
              <w:rPr>
                <w:rFonts w:ascii="Arial" w:cs="Arial" w:eastAsia="Arial" w:hAnsi="Arial"/>
                <w:sz w:val="14"/>
                <w:szCs w:val="14"/>
                <w:b w:val="1"/>
                <w:bCs w:val="1"/>
                <w:color w:val="auto"/>
              </w:rPr>
              <w:t>Segment</w:t>
            </w:r>
          </w:p>
        </w:tc>
        <w:tc>
          <w:tcPr>
            <w:tcW w:w="840" w:type="dxa"/>
            <w:vAlign w:val="bottom"/>
          </w:tcPr>
          <w:p>
            <w:pPr>
              <w:jc w:val="right"/>
              <w:ind w:right="468"/>
              <w:spacing w:after="0" w:line="147" w:lineRule="exact"/>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D7282F"/>
            </w:tcBorders>
            <w:vMerge w:val="continue"/>
          </w:tcPr>
          <w:p>
            <w:pPr>
              <w:spacing w:after="0"/>
              <w:rPr>
                <w:sz w:val="16"/>
                <w:szCs w:val="16"/>
                <w:color w:val="auto"/>
              </w:rPr>
            </w:pPr>
          </w:p>
        </w:tc>
        <w:tc>
          <w:tcPr>
            <w:tcW w:w="740" w:type="dxa"/>
            <w:vAlign w:val="bottom"/>
            <w:tcBorders>
              <w:bottom w:val="single" w:sz="8" w:color="D7282F"/>
            </w:tcBorders>
          </w:tcPr>
          <w:p>
            <w:pPr>
              <w:jc w:val="center"/>
              <w:ind w:left="288"/>
              <w:spacing w:after="0"/>
              <w:rPr>
                <w:sz w:val="20"/>
                <w:szCs w:val="20"/>
                <w:color w:val="auto"/>
              </w:rPr>
            </w:pPr>
            <w:r>
              <w:rPr>
                <w:rFonts w:ascii="Arial" w:cs="Arial" w:eastAsia="Arial" w:hAnsi="Arial"/>
                <w:sz w:val="14"/>
                <w:szCs w:val="14"/>
                <w:b w:val="1"/>
                <w:bCs w:val="1"/>
                <w:color w:val="auto"/>
              </w:rPr>
              <w:t>Sales</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Profit</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8"/>
              </w:rPr>
              <w:t>Sales</w:t>
            </w:r>
          </w:p>
        </w:tc>
        <w:tc>
          <w:tcPr>
            <w:tcW w:w="10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Organic</w:t>
            </w:r>
          </w:p>
        </w:tc>
        <w:tc>
          <w:tcPr>
            <w:tcW w:w="740" w:type="dxa"/>
            <w:vAlign w:val="bottom"/>
            <w:tcBorders>
              <w:bottom w:val="single" w:sz="8" w:color="BCBDC0"/>
            </w:tcBorders>
          </w:tcPr>
          <w:p>
            <w:pPr>
              <w:spacing w:after="0"/>
              <w:rPr>
                <w:sz w:val="16"/>
                <w:szCs w:val="16"/>
                <w:color w:val="auto"/>
              </w:rPr>
            </w:pPr>
          </w:p>
        </w:tc>
        <w:tc>
          <w:tcPr>
            <w:tcW w:w="112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14 %</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20 %</w:t>
            </w:r>
          </w:p>
        </w:tc>
        <w:tc>
          <w:tcPr>
            <w:tcW w:w="240" w:type="dxa"/>
            <w:vAlign w:val="bottom"/>
            <w:tcBorders>
              <w:bottom w:val="single" w:sz="8" w:color="BCBDC0"/>
            </w:tcBorders>
          </w:tcPr>
          <w:p>
            <w:pPr>
              <w:spacing w:after="0"/>
              <w:rPr>
                <w:sz w:val="16"/>
                <w:szCs w:val="16"/>
                <w:color w:val="auto"/>
              </w:rPr>
            </w:pPr>
          </w:p>
        </w:tc>
        <w:tc>
          <w:tcPr>
            <w:tcW w:w="360" w:type="dxa"/>
            <w:vAlign w:val="bottom"/>
            <w:tcBorders>
              <w:bottom w:val="single" w:sz="8" w:color="BCBDC0"/>
            </w:tcBorders>
          </w:tcPr>
          <w:p>
            <w:pPr>
              <w:spacing w:after="0"/>
              <w:rPr>
                <w:sz w:val="16"/>
                <w:szCs w:val="16"/>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11 %</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Borders>
              <w:bottom w:val="single" w:sz="8" w:color="BCBDC0"/>
            </w:tcBorders>
          </w:tcPr>
          <w:p>
            <w:pPr>
              <w:spacing w:after="0"/>
              <w:rPr>
                <w:sz w:val="17"/>
                <w:szCs w:val="17"/>
                <w:color w:val="auto"/>
              </w:rPr>
            </w:pPr>
          </w:p>
        </w:tc>
        <w:tc>
          <w:tcPr>
            <w:tcW w:w="1120" w:type="dxa"/>
            <w:vAlign w:val="bottom"/>
            <w:tcBorders>
              <w:bottom w:val="single" w:sz="8" w:color="BCBDC0"/>
            </w:tcBorders>
          </w:tcPr>
          <w:p>
            <w:pPr>
              <w:jc w:val="right"/>
              <w:ind w:right="708"/>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BCBDC0"/>
            </w:tcBorders>
          </w:tcPr>
          <w:p>
            <w:pPr>
              <w:spacing w:after="0"/>
              <w:rPr>
                <w:sz w:val="17"/>
                <w:szCs w:val="17"/>
                <w:color w:val="auto"/>
              </w:rPr>
            </w:pPr>
          </w:p>
        </w:tc>
        <w:tc>
          <w:tcPr>
            <w:tcW w:w="360" w:type="dxa"/>
            <w:vAlign w:val="bottom"/>
            <w:tcBorders>
              <w:bottom w:val="single" w:sz="8" w:color="BCBDC0"/>
            </w:tcBorders>
          </w:tcPr>
          <w:p>
            <w:pPr>
              <w:spacing w:after="0"/>
              <w:rPr>
                <w:sz w:val="17"/>
                <w:szCs w:val="17"/>
                <w:color w:val="auto"/>
              </w:rPr>
            </w:pPr>
          </w:p>
        </w:tc>
        <w:tc>
          <w:tcPr>
            <w:tcW w:w="84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(5)%</w:t>
            </w:r>
          </w:p>
        </w:tc>
        <w:tc>
          <w:tcPr>
            <w:tcW w:w="10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color w:val="auto"/>
              </w:rPr>
              <w:t>1 %</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2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66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74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9 %</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14 %</w:t>
            </w:r>
          </w:p>
        </w:tc>
        <w:tc>
          <w:tcPr>
            <w:tcW w:w="2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7 %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to Q2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due to favorable pricing and higher volumes, partially offset by the unfavorable impact of foreign currency translation.</w:t>
      </w:r>
    </w:p>
    <w:p>
      <w:pPr>
        <w:spacing w:after="0" w:line="97" w:lineRule="exact"/>
        <w:rPr>
          <w:sz w:val="20"/>
          <w:szCs w:val="20"/>
          <w:color w:val="auto"/>
        </w:rPr>
      </w:pPr>
    </w:p>
    <w:p>
      <w:pPr>
        <w:ind w:left="200" w:right="20" w:hanging="192"/>
        <w:spacing w:after="0" w:line="304" w:lineRule="auto"/>
        <w:tabs>
          <w:tab w:leader="none" w:pos="197" w:val="left"/>
        </w:tabs>
        <w:numPr>
          <w:ilvl w:val="0"/>
          <w:numId w:val="25"/>
        </w:numPr>
        <w:rPr>
          <w:rFonts w:ascii="Arial" w:cs="Arial" w:eastAsia="Arial" w:hAnsi="Arial"/>
          <w:sz w:val="16"/>
          <w:szCs w:val="16"/>
          <w:color w:val="D7282F"/>
        </w:rPr>
      </w:pPr>
      <w:r>
        <w:rPr>
          <w:rFonts w:ascii="Arial" w:cs="Arial" w:eastAsia="Arial" w:hAnsi="Arial"/>
          <w:sz w:val="16"/>
          <w:szCs w:val="16"/>
          <w:color w:val="auto"/>
        </w:rPr>
        <w:t>Sales in Products increased 15% (increased 20% organic) due to favorable pricing and higher demand for certain product offerings, partially offset by the unfavorable impact of foreign currency translation.</w:t>
      </w:r>
    </w:p>
    <w:p>
      <w:pPr>
        <w:spacing w:after="0" w:line="6" w:lineRule="exact"/>
        <w:rPr>
          <w:rFonts w:ascii="Arial" w:cs="Arial" w:eastAsia="Arial" w:hAnsi="Arial"/>
          <w:sz w:val="16"/>
          <w:szCs w:val="16"/>
          <w:color w:val="D7282F"/>
        </w:rPr>
      </w:pPr>
    </w:p>
    <w:p>
      <w:pPr>
        <w:ind w:left="200" w:hanging="192"/>
        <w:spacing w:after="0"/>
        <w:tabs>
          <w:tab w:leader="none" w:pos="200" w:val="left"/>
        </w:tabs>
        <w:numPr>
          <w:ilvl w:val="0"/>
          <w:numId w:val="25"/>
        </w:numPr>
        <w:rPr>
          <w:rFonts w:ascii="Arial" w:cs="Arial" w:eastAsia="Arial" w:hAnsi="Arial"/>
          <w:sz w:val="16"/>
          <w:szCs w:val="16"/>
          <w:color w:val="D7282F"/>
        </w:rPr>
      </w:pPr>
      <w:r>
        <w:rPr>
          <w:rFonts w:ascii="Arial" w:cs="Arial" w:eastAsia="Arial" w:hAnsi="Arial"/>
          <w:sz w:val="16"/>
          <w:szCs w:val="16"/>
          <w:color w:val="auto"/>
        </w:rPr>
        <w:t>Sales in Building Solutions were flat (increased 6% organic) due to favorable pricing, offset by unfavorable impact of foreign currency translation.</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and higher volumes of lower margin products, partially offset by the favorable impact of foreign currency translation.</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Segment profit increased due to favorable pricing and higher demand for certain product offerings, partially offset by higher direct and indirect material costs and higher labor costs, and the unfavorable impact of foreign currency translation.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due to favorable pricing and higher sales volumes, partially offset by the unfavorable impact of foreign currency translation.</w:t>
      </w:r>
    </w:p>
    <w:p>
      <w:pPr>
        <w:spacing w:after="0" w:line="97" w:lineRule="exact"/>
        <w:rPr>
          <w:sz w:val="20"/>
          <w:szCs w:val="20"/>
          <w:color w:val="auto"/>
        </w:rPr>
      </w:pPr>
    </w:p>
    <w:p>
      <w:pPr>
        <w:ind w:left="200" w:right="20" w:hanging="192"/>
        <w:spacing w:after="0" w:line="299" w:lineRule="auto"/>
        <w:tabs>
          <w:tab w:leader="none" w:pos="197" w:val="left"/>
        </w:tabs>
        <w:numPr>
          <w:ilvl w:val="0"/>
          <w:numId w:val="26"/>
        </w:numPr>
        <w:rPr>
          <w:rFonts w:ascii="Arial" w:cs="Arial" w:eastAsia="Arial" w:hAnsi="Arial"/>
          <w:sz w:val="16"/>
          <w:szCs w:val="16"/>
          <w:color w:val="D7282F"/>
        </w:rPr>
      </w:pPr>
      <w:r>
        <w:rPr>
          <w:rFonts w:ascii="Arial" w:cs="Arial" w:eastAsia="Arial" w:hAnsi="Arial"/>
          <w:sz w:val="16"/>
          <w:szCs w:val="16"/>
          <w:color w:val="auto"/>
        </w:rPr>
        <w:t>Sales in Products increased 14% (increased 17% organic) due to favorable pricing and higher demand for certain product offerings, partially offset by the unfavorable impact of foreign currency translation.</w:t>
      </w:r>
    </w:p>
    <w:p>
      <w:pPr>
        <w:ind w:left="200" w:hanging="192"/>
        <w:spacing w:after="0" w:line="304" w:lineRule="auto"/>
        <w:tabs>
          <w:tab w:leader="none" w:pos="197" w:val="left"/>
        </w:tabs>
        <w:numPr>
          <w:ilvl w:val="0"/>
          <w:numId w:val="26"/>
        </w:numPr>
        <w:rPr>
          <w:rFonts w:ascii="Arial" w:cs="Arial" w:eastAsia="Arial" w:hAnsi="Arial"/>
          <w:sz w:val="16"/>
          <w:szCs w:val="16"/>
          <w:color w:val="D7282F"/>
        </w:rPr>
      </w:pPr>
      <w:r>
        <w:rPr>
          <w:rFonts w:ascii="Arial" w:cs="Arial" w:eastAsia="Arial" w:hAnsi="Arial"/>
          <w:sz w:val="16"/>
          <w:szCs w:val="16"/>
          <w:color w:val="auto"/>
        </w:rPr>
        <w:t>Sales in Building Solutions decreased 2% (increased 3% organic) due to the unfavorable impact of foreign currency translation and lower sales volumes, partially offset by favorable pricing.</w:t>
      </w:r>
    </w:p>
    <w:p>
      <w:pPr>
        <w:spacing w:after="0" w:line="3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lower productivity, and higher sales volumes of lower margin products, partially offset by the favorable impact of foreign currency translation.</w:t>
      </w:r>
    </w:p>
    <w:p>
      <w:pPr>
        <w:spacing w:after="0" w:line="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Segment profit increased due to favorable pricing, partially offset by higher direct and indirect material costs and higher labor costs and the unfavorable impact of foreign currency translation.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PERFORMANCE MATERIALS AND TECHNOLOGIES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314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gridSpan w:val="3"/>
          </w:tcPr>
          <w:p>
            <w:pPr>
              <w:ind w:left="16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2"/>
                <w:szCs w:val="12"/>
                <w:color w:val="auto"/>
              </w:rPr>
            </w:pPr>
          </w:p>
        </w:tc>
        <w:tc>
          <w:tcPr>
            <w:tcW w:w="4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2"/>
                <w:szCs w:val="12"/>
                <w:color w:val="auto"/>
              </w:rPr>
            </w:pPr>
          </w:p>
        </w:tc>
        <w:tc>
          <w:tcPr>
            <w:tcW w:w="108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w w:val="96"/>
              </w:rPr>
              <w:t>2021</w:t>
            </w:r>
          </w:p>
        </w:tc>
        <w:tc>
          <w:tcPr>
            <w:tcW w:w="8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86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vMerge w:val="continue"/>
          </w:tcPr>
          <w:p>
            <w:pPr>
              <w:spacing w:after="0"/>
              <w:rPr>
                <w:sz w:val="16"/>
                <w:szCs w:val="16"/>
                <w:color w:val="auto"/>
              </w:rPr>
            </w:pPr>
          </w:p>
        </w:tc>
        <w:tc>
          <w:tcPr>
            <w:tcW w:w="8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2,694</w:t>
            </w:r>
          </w:p>
        </w:tc>
        <w:tc>
          <w:tcPr>
            <w:tcW w:w="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gridSpan w:val="2"/>
          </w:tcPr>
          <w:p>
            <w:pPr>
              <w:jc w:val="right"/>
              <w:ind w:right="100"/>
              <w:spacing w:after="0"/>
              <w:rPr>
                <w:sz w:val="20"/>
                <w:szCs w:val="20"/>
                <w:color w:val="auto"/>
              </w:rPr>
            </w:pPr>
            <w:r>
              <w:rPr>
                <w:rFonts w:ascii="Arial" w:cs="Arial" w:eastAsia="Arial" w:hAnsi="Arial"/>
                <w:sz w:val="14"/>
                <w:szCs w:val="14"/>
                <w:color w:val="auto"/>
              </w:rPr>
              <w:t>2,552</w:t>
            </w:r>
          </w:p>
        </w:tc>
        <w:tc>
          <w:tcPr>
            <w:tcW w:w="10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6 %</w:t>
            </w:r>
          </w:p>
        </w:tc>
        <w:tc>
          <w:tcPr>
            <w:tcW w:w="56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gridSpan w:val="3"/>
          </w:tcPr>
          <w:p>
            <w:pPr>
              <w:jc w:val="right"/>
              <w:ind w:right="228"/>
              <w:spacing w:after="0"/>
              <w:rPr>
                <w:sz w:val="20"/>
                <w:szCs w:val="20"/>
                <w:color w:val="auto"/>
              </w:rPr>
            </w:pPr>
            <w:r>
              <w:rPr>
                <w:rFonts w:ascii="Arial" w:cs="Arial" w:eastAsia="Arial" w:hAnsi="Arial"/>
                <w:sz w:val="14"/>
                <w:szCs w:val="14"/>
                <w:color w:val="auto"/>
              </w:rPr>
              <w:t>5,147</w:t>
            </w:r>
          </w:p>
        </w:tc>
        <w:tc>
          <w:tcPr>
            <w:tcW w:w="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BCBDC0"/>
            </w:tcBorders>
          </w:tcPr>
          <w:p>
            <w:pPr>
              <w:jc w:val="right"/>
              <w:ind w:right="228"/>
              <w:spacing w:after="0"/>
              <w:rPr>
                <w:sz w:val="20"/>
                <w:szCs w:val="20"/>
                <w:color w:val="auto"/>
              </w:rPr>
            </w:pPr>
            <w:r>
              <w:rPr>
                <w:rFonts w:ascii="Arial" w:cs="Arial" w:eastAsia="Arial" w:hAnsi="Arial"/>
                <w:sz w:val="14"/>
                <w:szCs w:val="14"/>
                <w:color w:val="auto"/>
              </w:rPr>
              <w:t>4,898</w:t>
            </w: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1,734</w:t>
            </w: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gridSpan w:val="2"/>
          </w:tcPr>
          <w:p>
            <w:pPr>
              <w:jc w:val="right"/>
              <w:ind w:right="100"/>
              <w:spacing w:after="0"/>
              <w:rPr>
                <w:sz w:val="20"/>
                <w:szCs w:val="20"/>
                <w:color w:val="auto"/>
              </w:rPr>
            </w:pPr>
            <w:r>
              <w:rPr>
                <w:rFonts w:ascii="Arial" w:cs="Arial" w:eastAsia="Arial" w:hAnsi="Arial"/>
                <w:sz w:val="14"/>
                <w:szCs w:val="14"/>
                <w:color w:val="auto"/>
              </w:rPr>
              <w:t>1,696</w:t>
            </w:r>
          </w:p>
        </w:tc>
        <w:tc>
          <w:tcPr>
            <w:tcW w:w="10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gridSpan w:val="3"/>
          </w:tcPr>
          <w:p>
            <w:pPr>
              <w:jc w:val="right"/>
              <w:ind w:right="228"/>
              <w:spacing w:after="0"/>
              <w:rPr>
                <w:sz w:val="20"/>
                <w:szCs w:val="20"/>
                <w:color w:val="auto"/>
              </w:rPr>
            </w:pPr>
            <w:r>
              <w:rPr>
                <w:rFonts w:ascii="Arial" w:cs="Arial" w:eastAsia="Arial" w:hAnsi="Arial"/>
                <w:sz w:val="14"/>
                <w:szCs w:val="14"/>
                <w:color w:val="auto"/>
              </w:rPr>
              <w:t>3,335</w:t>
            </w:r>
          </w:p>
        </w:tc>
        <w:tc>
          <w:tcPr>
            <w:tcW w:w="10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228"/>
              <w:spacing w:after="0"/>
              <w:rPr>
                <w:sz w:val="20"/>
                <w:szCs w:val="20"/>
                <w:color w:val="auto"/>
              </w:rPr>
            </w:pPr>
            <w:r>
              <w:rPr>
                <w:rFonts w:ascii="Arial" w:cs="Arial" w:eastAsia="Arial" w:hAnsi="Arial"/>
                <w:sz w:val="14"/>
                <w:szCs w:val="14"/>
                <w:color w:val="auto"/>
              </w:rPr>
              <w:t>3,287</w:t>
            </w:r>
          </w:p>
        </w:tc>
        <w:tc>
          <w:tcPr>
            <w:tcW w:w="88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359</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4"/>
                <w:szCs w:val="14"/>
                <w:color w:val="auto"/>
              </w:rPr>
              <w:t>326</w:t>
            </w:r>
          </w:p>
        </w:tc>
        <w:tc>
          <w:tcPr>
            <w:tcW w:w="10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647</w:t>
            </w:r>
          </w:p>
        </w:tc>
        <w:tc>
          <w:tcPr>
            <w:tcW w:w="8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601</w:t>
            </w:r>
          </w:p>
        </w:tc>
        <w:tc>
          <w:tcPr>
            <w:tcW w:w="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4"/>
                <w:szCs w:val="14"/>
                <w:b w:val="1"/>
                <w:bCs w:val="1"/>
                <w:color w:val="auto"/>
              </w:rPr>
              <w:t>530</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13 %</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1,111</w:t>
            </w:r>
          </w:p>
        </w:tc>
        <w:tc>
          <w:tcPr>
            <w:tcW w:w="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964</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15 %</w:t>
            </w:r>
          </w:p>
        </w:tc>
        <w:tc>
          <w:tcPr>
            <w:tcW w:w="0" w:type="dxa"/>
            <w:vAlign w:val="bottom"/>
          </w:tcPr>
          <w:p>
            <w:pPr>
              <w:spacing w:after="0"/>
              <w:rPr>
                <w:sz w:val="1"/>
                <w:szCs w:val="1"/>
                <w:color w:val="auto"/>
              </w:rPr>
            </w:pPr>
          </w:p>
        </w:tc>
      </w:tr>
      <w:tr>
        <w:trPr>
          <w:trHeight w:val="425"/>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0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122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2022 vs. 2021</w:t>
            </w:r>
          </w:p>
        </w:tc>
        <w:tc>
          <w:tcPr>
            <w:tcW w:w="10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3"/>
          </w:tcPr>
          <w:p>
            <w:pPr>
              <w:jc w:val="right"/>
              <w:ind w:right="8"/>
              <w:spacing w:after="0" w:line="143"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408"/>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640" w:type="dxa"/>
            <w:vAlign w:val="bottom"/>
            <w:tcBorders>
              <w:bottom w:val="single" w:sz="8" w:color="D7282F"/>
            </w:tcBorders>
            <w:gridSpan w:val="3"/>
          </w:tcPr>
          <w:p>
            <w:pPr>
              <w:jc w:val="right"/>
              <w:ind w:right="428"/>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74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88"/>
              <w:spacing w:after="0" w:line="142" w:lineRule="exact"/>
              <w:rPr>
                <w:sz w:val="20"/>
                <w:szCs w:val="20"/>
                <w:color w:val="auto"/>
              </w:rPr>
            </w:pPr>
            <w:r>
              <w:rPr>
                <w:rFonts w:ascii="Arial" w:cs="Arial" w:eastAsia="Arial" w:hAnsi="Arial"/>
                <w:sz w:val="14"/>
                <w:szCs w:val="14"/>
                <w:b w:val="1"/>
                <w:bCs w:val="1"/>
                <w:color w:val="auto"/>
              </w:rPr>
              <w:t>Net</w:t>
            </w:r>
          </w:p>
        </w:tc>
        <w:tc>
          <w:tcPr>
            <w:tcW w:w="1440" w:type="dxa"/>
            <w:vAlign w:val="bottom"/>
            <w:gridSpan w:val="5"/>
          </w:tcPr>
          <w:p>
            <w:pPr>
              <w:jc w:val="right"/>
              <w:ind w:right="748"/>
              <w:spacing w:after="0" w:line="142" w:lineRule="exact"/>
              <w:rPr>
                <w:sz w:val="20"/>
                <w:szCs w:val="20"/>
                <w:color w:val="auto"/>
              </w:rPr>
            </w:pPr>
            <w:r>
              <w:rPr>
                <w:rFonts w:ascii="Arial" w:cs="Arial" w:eastAsia="Arial" w:hAnsi="Arial"/>
                <w:sz w:val="14"/>
                <w:szCs w:val="14"/>
                <w:b w:val="1"/>
                <w:bCs w:val="1"/>
                <w:color w:val="auto"/>
              </w:rPr>
              <w:t>Segment</w:t>
            </w:r>
          </w:p>
        </w:tc>
        <w:tc>
          <w:tcPr>
            <w:tcW w:w="980" w:type="dxa"/>
            <w:vAlign w:val="bottom"/>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Net</w:t>
            </w:r>
          </w:p>
        </w:tc>
        <w:tc>
          <w:tcPr>
            <w:tcW w:w="880" w:type="dxa"/>
            <w:vAlign w:val="bottom"/>
          </w:tcPr>
          <w:p>
            <w:pPr>
              <w:jc w:val="center"/>
              <w:ind w:right="14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486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Sales</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Profit</w:t>
            </w:r>
          </w:p>
        </w:tc>
        <w:tc>
          <w:tcPr>
            <w:tcW w:w="30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8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Organic</w:t>
            </w:r>
          </w:p>
        </w:tc>
        <w:tc>
          <w:tcPr>
            <w:tcW w:w="3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108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10 %</w:t>
            </w:r>
          </w:p>
        </w:tc>
        <w:tc>
          <w:tcPr>
            <w:tcW w:w="860" w:type="dxa"/>
            <w:vAlign w:val="bottom"/>
            <w:tcBorders>
              <w:bottom w:val="single" w:sz="8" w:color="BCBDC0"/>
            </w:tcBorders>
            <w:gridSpan w:val="3"/>
          </w:tcPr>
          <w:p>
            <w:pPr>
              <w:jc w:val="right"/>
              <w:spacing w:after="0"/>
              <w:rPr>
                <w:sz w:val="20"/>
                <w:szCs w:val="20"/>
                <w:color w:val="auto"/>
              </w:rPr>
            </w:pPr>
            <w:r>
              <w:rPr>
                <w:rFonts w:ascii="Arial" w:cs="Arial" w:eastAsia="Arial" w:hAnsi="Arial"/>
                <w:sz w:val="14"/>
                <w:szCs w:val="14"/>
                <w:color w:val="auto"/>
              </w:rPr>
              <w:t>18 %</w:t>
            </w:r>
          </w:p>
        </w:tc>
        <w:tc>
          <w:tcPr>
            <w:tcW w:w="2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10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8 %</w:t>
            </w: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108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(4)%</w:t>
            </w:r>
          </w:p>
        </w:tc>
        <w:tc>
          <w:tcPr>
            <w:tcW w:w="860" w:type="dxa"/>
            <w:vAlign w:val="bottom"/>
            <w:tcBorders>
              <w:bottom w:val="single" w:sz="8" w:color="BCBDC0"/>
            </w:tcBorders>
            <w:gridSpan w:val="3"/>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10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(3)%</w:t>
            </w: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gridSpan w:val="4"/>
          </w:tcPr>
          <w:p>
            <w:pPr>
              <w:jc w:val="right"/>
              <w:ind w:right="508"/>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4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6 %</w:t>
            </w:r>
          </w:p>
        </w:tc>
        <w:tc>
          <w:tcPr>
            <w:tcW w:w="86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13 %</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5 %</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to Q2 2021</w:t>
      </w:r>
    </w:p>
    <w:p>
      <w:pPr>
        <w:spacing w:after="0" w:line="3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Sales increased due to favorable pricing, partially offset by the unfavorable impact of foreign currency translation and lower sales volumes due to the impact of the Russia-Ukraine conflict.</w:t>
      </w:r>
    </w:p>
    <w:p>
      <w:pPr>
        <w:spacing w:after="0" w:line="64" w:lineRule="exact"/>
        <w:rPr>
          <w:sz w:val="20"/>
          <w:szCs w:val="20"/>
          <w:color w:val="auto"/>
        </w:rPr>
      </w:pPr>
    </w:p>
    <w:p>
      <w:pPr>
        <w:ind w:left="200" w:hanging="192"/>
        <w:spacing w:after="0" w:line="304" w:lineRule="auto"/>
        <w:tabs>
          <w:tab w:leader="none" w:pos="197" w:val="left"/>
        </w:tabs>
        <w:numPr>
          <w:ilvl w:val="0"/>
          <w:numId w:val="27"/>
        </w:numPr>
        <w:rPr>
          <w:rFonts w:ascii="Arial" w:cs="Arial" w:eastAsia="Arial" w:hAnsi="Arial"/>
          <w:sz w:val="16"/>
          <w:szCs w:val="16"/>
          <w:color w:val="D7282F"/>
        </w:rPr>
      </w:pPr>
      <w:r>
        <w:rPr>
          <w:rFonts w:ascii="Arial" w:cs="Arial" w:eastAsia="Arial" w:hAnsi="Arial"/>
          <w:sz w:val="16"/>
          <w:szCs w:val="16"/>
          <w:color w:val="auto"/>
        </w:rPr>
        <w:t>UOP sales decreased 1% (decreased 1% organic) due to lower demand for new oil and gas projects and the impact of the Russia-Ukraine conflict, partially offset by favorable pricing.</w:t>
      </w:r>
    </w:p>
    <w:p>
      <w:pPr>
        <w:spacing w:after="0" w:line="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27"/>
        </w:numPr>
        <w:rPr>
          <w:rFonts w:ascii="Arial" w:cs="Arial" w:eastAsia="Arial" w:hAnsi="Arial"/>
          <w:sz w:val="16"/>
          <w:szCs w:val="16"/>
          <w:color w:val="D7282F"/>
        </w:rPr>
      </w:pPr>
      <w:r>
        <w:rPr>
          <w:rFonts w:ascii="Arial" w:cs="Arial" w:eastAsia="Arial" w:hAnsi="Arial"/>
          <w:sz w:val="16"/>
          <w:szCs w:val="16"/>
          <w:color w:val="auto"/>
        </w:rPr>
        <w:t>Process Solutions sales increased 1% (increased 7% organic) due to favorable pricing and higher demand for certain products and services, partially offset by the unfavorable impact of foreign currency translation, and the impact of the Russia-Ukraine conflict.</w:t>
      </w:r>
    </w:p>
    <w:p>
      <w:pPr>
        <w:spacing w:after="0" w:line="20" w:lineRule="exact"/>
        <w:rPr>
          <w:rFonts w:ascii="Arial" w:cs="Arial" w:eastAsia="Arial" w:hAnsi="Arial"/>
          <w:sz w:val="16"/>
          <w:szCs w:val="16"/>
          <w:color w:val="D7282F"/>
        </w:rPr>
      </w:pPr>
    </w:p>
    <w:p>
      <w:pPr>
        <w:ind w:left="200" w:right="20" w:hanging="192"/>
        <w:spacing w:after="0" w:line="286" w:lineRule="auto"/>
        <w:tabs>
          <w:tab w:leader="none" w:pos="197" w:val="left"/>
        </w:tabs>
        <w:numPr>
          <w:ilvl w:val="0"/>
          <w:numId w:val="27"/>
        </w:numPr>
        <w:rPr>
          <w:rFonts w:ascii="Arial" w:cs="Arial" w:eastAsia="Arial" w:hAnsi="Arial"/>
          <w:sz w:val="16"/>
          <w:szCs w:val="16"/>
          <w:color w:val="D7282F"/>
        </w:rPr>
      </w:pPr>
      <w:r>
        <w:rPr>
          <w:rFonts w:ascii="Arial" w:cs="Arial" w:eastAsia="Arial" w:hAnsi="Arial"/>
          <w:sz w:val="16"/>
          <w:szCs w:val="16"/>
          <w:color w:val="auto"/>
        </w:rPr>
        <w:t>Advanced Materials sales increased 17% (increased 21% organic) due to favorable pricing and higher demand for specialty products, partially offset by the unfavorable impact of foreign currency translation.</w:t>
      </w:r>
    </w:p>
    <w:p>
      <w:pPr>
        <w:spacing w:after="0" w:line="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partially offset by lower sales volumes due to the impact of the Russia-Ukraine conflict and the favorable impact of foreign currency translation.</w:t>
      </w:r>
    </w:p>
    <w:p>
      <w:pPr>
        <w:spacing w:after="0" w:line="3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Segment profit increased due to favorable pricing, partially offset by higher direct and indirect material costs and higher labor costs and lower sales volumes of higher margin products.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Sales increased due to favorable pricing, partially offset by the unfavorable impact of foreign currency translation and lower sales volumes primarily due to the impact of the Russia-Ukraine conflict.</w:t>
      </w:r>
    </w:p>
    <w:p>
      <w:pPr>
        <w:spacing w:after="0" w:line="50" w:lineRule="exact"/>
        <w:rPr>
          <w:sz w:val="20"/>
          <w:szCs w:val="20"/>
          <w:color w:val="auto"/>
        </w:rPr>
      </w:pPr>
    </w:p>
    <w:p>
      <w:pPr>
        <w:ind w:left="200" w:hanging="192"/>
        <w:spacing w:after="0" w:line="299" w:lineRule="auto"/>
        <w:tabs>
          <w:tab w:leader="none" w:pos="197" w:val="left"/>
        </w:tabs>
        <w:numPr>
          <w:ilvl w:val="0"/>
          <w:numId w:val="28"/>
        </w:numPr>
        <w:rPr>
          <w:rFonts w:ascii="Arial" w:cs="Arial" w:eastAsia="Arial" w:hAnsi="Arial"/>
          <w:sz w:val="16"/>
          <w:szCs w:val="16"/>
          <w:color w:val="D7282F"/>
        </w:rPr>
      </w:pPr>
      <w:r>
        <w:rPr>
          <w:rFonts w:ascii="Arial" w:cs="Arial" w:eastAsia="Arial" w:hAnsi="Arial"/>
          <w:sz w:val="16"/>
          <w:szCs w:val="16"/>
          <w:color w:val="auto"/>
        </w:rPr>
        <w:t>UOP sales decreased 5% (decreased 5% organic) due to lower demand for new oil and gas projects and the impact of the Russia-Ukraine conflict, partially offset by favorable pricing.</w:t>
      </w:r>
    </w:p>
    <w:p>
      <w:pPr>
        <w:ind w:left="200" w:hanging="192"/>
        <w:spacing w:after="0" w:line="299" w:lineRule="auto"/>
        <w:tabs>
          <w:tab w:leader="none" w:pos="197" w:val="left"/>
        </w:tabs>
        <w:numPr>
          <w:ilvl w:val="0"/>
          <w:numId w:val="28"/>
        </w:numPr>
        <w:rPr>
          <w:rFonts w:ascii="Arial" w:cs="Arial" w:eastAsia="Arial" w:hAnsi="Arial"/>
          <w:sz w:val="16"/>
          <w:szCs w:val="16"/>
          <w:color w:val="D7282F"/>
        </w:rPr>
      </w:pPr>
      <w:r>
        <w:rPr>
          <w:rFonts w:ascii="Arial" w:cs="Arial" w:eastAsia="Arial" w:hAnsi="Arial"/>
          <w:sz w:val="16"/>
          <w:szCs w:val="16"/>
          <w:color w:val="auto"/>
        </w:rPr>
        <w:t>Process Solutions sales increased 3% (increased 7% organic) due to favorable pricing and higher demand for certain products and services, partially offset by the unfavorable impact of foreign currency translation and the impact of the Russia-Ukraine conflict.</w:t>
      </w:r>
    </w:p>
    <w:p>
      <w:pPr>
        <w:ind w:left="200" w:right="20" w:hanging="192"/>
        <w:spacing w:after="0" w:line="304" w:lineRule="auto"/>
        <w:tabs>
          <w:tab w:leader="none" w:pos="197" w:val="left"/>
        </w:tabs>
        <w:numPr>
          <w:ilvl w:val="0"/>
          <w:numId w:val="28"/>
        </w:numPr>
        <w:rPr>
          <w:rFonts w:ascii="Arial" w:cs="Arial" w:eastAsia="Arial" w:hAnsi="Arial"/>
          <w:sz w:val="16"/>
          <w:szCs w:val="16"/>
          <w:color w:val="D7282F"/>
        </w:rPr>
      </w:pPr>
      <w:r>
        <w:rPr>
          <w:rFonts w:ascii="Arial" w:cs="Arial" w:eastAsia="Arial" w:hAnsi="Arial"/>
          <w:sz w:val="16"/>
          <w:szCs w:val="16"/>
          <w:color w:val="auto"/>
        </w:rPr>
        <w:t>Advanced Materials sales increased 15% (increased 19% organic) due to favorable pricing and higher demand for specialty products, partially offset by the unfavorable impact of foreign currency translation and lower demand for fluorine products.</w:t>
      </w:r>
    </w:p>
    <w:p>
      <w:pPr>
        <w:spacing w:after="0" w:line="3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 partially offset by lower sales volumes primarily due to the impact of the Russia-Ukraine conflict and the favorable impact of foreign currency translation.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due to favorable pricing, partially offset by higher direct and indirect material costs and higher labor costs.</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SAFETY AND PRODUCTIVITY SOLUTIONS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89535</wp:posOffset>
            </wp:positionV>
            <wp:extent cx="5829300" cy="2314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93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gridSpan w:val="3"/>
          </w:tcPr>
          <w:p>
            <w:pPr>
              <w:ind w:left="16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2"/>
                <w:szCs w:val="12"/>
                <w:color w:val="auto"/>
              </w:rPr>
            </w:pPr>
          </w:p>
        </w:tc>
        <w:tc>
          <w:tcPr>
            <w:tcW w:w="4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2"/>
                <w:szCs w:val="12"/>
                <w:color w:val="auto"/>
              </w:rPr>
            </w:pPr>
          </w:p>
        </w:tc>
        <w:tc>
          <w:tcPr>
            <w:tcW w:w="108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w w:val="96"/>
              </w:rPr>
              <w:t>2021</w:t>
            </w:r>
          </w:p>
        </w:tc>
        <w:tc>
          <w:tcPr>
            <w:tcW w:w="8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860" w:type="dxa"/>
            <w:vAlign w:val="bottom"/>
            <w:tcBorders>
              <w:bottom w:val="single" w:sz="8" w:color="D7282F"/>
            </w:tcBorders>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vMerge w:val="continue"/>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vMerge w:val="continue"/>
          </w:tcPr>
          <w:p>
            <w:pPr>
              <w:spacing w:after="0"/>
              <w:rPr>
                <w:sz w:val="16"/>
                <w:szCs w:val="16"/>
                <w:color w:val="auto"/>
              </w:rPr>
            </w:pPr>
          </w:p>
        </w:tc>
        <w:tc>
          <w:tcPr>
            <w:tcW w:w="8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1,829</w:t>
            </w:r>
          </w:p>
        </w:tc>
        <w:tc>
          <w:tcPr>
            <w:tcW w:w="240" w:type="dxa"/>
            <w:vAlign w:val="bottom"/>
            <w:tcBorders>
              <w:bottom w:val="single" w:sz="8" w:color="BCBDC0"/>
            </w:tcBorders>
          </w:tcPr>
          <w:p>
            <w:pPr>
              <w:ind w:lef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CBDC0"/>
            </w:tcBorders>
            <w:gridSpan w:val="2"/>
          </w:tcPr>
          <w:p>
            <w:pPr>
              <w:jc w:val="right"/>
              <w:ind w:right="100"/>
              <w:spacing w:after="0"/>
              <w:rPr>
                <w:sz w:val="20"/>
                <w:szCs w:val="20"/>
                <w:color w:val="auto"/>
              </w:rPr>
            </w:pPr>
            <w:r>
              <w:rPr>
                <w:rFonts w:ascii="Arial" w:cs="Arial" w:eastAsia="Arial" w:hAnsi="Arial"/>
                <w:sz w:val="14"/>
                <w:szCs w:val="14"/>
                <w:color w:val="auto"/>
              </w:rPr>
              <w:t>2,083</w:t>
            </w:r>
          </w:p>
        </w:tc>
        <w:tc>
          <w:tcPr>
            <w:tcW w:w="1080" w:type="dxa"/>
            <w:vAlign w:val="bottom"/>
            <w:tcBorders>
              <w:bottom w:val="single" w:sz="8" w:color="BCBDC0"/>
            </w:tcBorders>
          </w:tcPr>
          <w:p>
            <w:pPr>
              <w:jc w:val="center"/>
              <w:ind w:left="568"/>
              <w:spacing w:after="0"/>
              <w:rPr>
                <w:sz w:val="20"/>
                <w:szCs w:val="20"/>
                <w:color w:val="auto"/>
              </w:rPr>
            </w:pPr>
            <w:r>
              <w:rPr>
                <w:rFonts w:ascii="Arial" w:cs="Arial" w:eastAsia="Arial" w:hAnsi="Arial"/>
                <w:sz w:val="14"/>
                <w:szCs w:val="14"/>
                <w:color w:val="auto"/>
              </w:rPr>
              <w:t>(12)%</w:t>
            </w:r>
          </w:p>
        </w:tc>
        <w:tc>
          <w:tcPr>
            <w:tcW w:w="560" w:type="dxa"/>
            <w:vAlign w:val="bottom"/>
            <w:tcBorders>
              <w:bottom w:val="single" w:sz="8" w:color="BCBDC0"/>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DC0"/>
            </w:tcBorders>
            <w:gridSpan w:val="3"/>
          </w:tcPr>
          <w:p>
            <w:pPr>
              <w:jc w:val="right"/>
              <w:ind w:right="228"/>
              <w:spacing w:after="0"/>
              <w:rPr>
                <w:sz w:val="20"/>
                <w:szCs w:val="20"/>
                <w:color w:val="auto"/>
              </w:rPr>
            </w:pPr>
            <w:r>
              <w:rPr>
                <w:rFonts w:ascii="Arial" w:cs="Arial" w:eastAsia="Arial" w:hAnsi="Arial"/>
                <w:sz w:val="14"/>
                <w:szCs w:val="14"/>
                <w:color w:val="auto"/>
              </w:rPr>
              <w:t>3,573</w:t>
            </w:r>
          </w:p>
        </w:tc>
        <w:tc>
          <w:tcPr>
            <w:tcW w:w="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BCBDC0"/>
            </w:tcBorders>
          </w:tcPr>
          <w:p>
            <w:pPr>
              <w:jc w:val="right"/>
              <w:ind w:right="228"/>
              <w:spacing w:after="0"/>
              <w:rPr>
                <w:sz w:val="20"/>
                <w:szCs w:val="20"/>
                <w:color w:val="auto"/>
              </w:rPr>
            </w:pPr>
            <w:r>
              <w:rPr>
                <w:rFonts w:ascii="Arial" w:cs="Arial" w:eastAsia="Arial" w:hAnsi="Arial"/>
                <w:sz w:val="14"/>
                <w:szCs w:val="14"/>
                <w:color w:val="auto"/>
              </w:rPr>
              <w:t>4,201</w:t>
            </w: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1,310</w:t>
            </w:r>
          </w:p>
        </w:tc>
        <w:tc>
          <w:tcPr>
            <w:tcW w:w="240" w:type="dxa"/>
            <w:vAlign w:val="bottom"/>
            <w:tcBorders>
              <w:bottom w:val="single" w:sz="8" w:color="BCBDC0"/>
            </w:tcBorders>
          </w:tcPr>
          <w:p>
            <w:pPr>
              <w:spacing w:after="0"/>
              <w:rPr>
                <w:sz w:val="17"/>
                <w:szCs w:val="17"/>
                <w:color w:val="auto"/>
              </w:rPr>
            </w:pPr>
          </w:p>
        </w:tc>
        <w:tc>
          <w:tcPr>
            <w:tcW w:w="680" w:type="dxa"/>
            <w:vAlign w:val="bottom"/>
            <w:tcBorders>
              <w:bottom w:val="single" w:sz="8" w:color="BCBDC0"/>
            </w:tcBorders>
            <w:gridSpan w:val="2"/>
          </w:tcPr>
          <w:p>
            <w:pPr>
              <w:jc w:val="right"/>
              <w:ind w:right="100"/>
              <w:spacing w:after="0"/>
              <w:rPr>
                <w:sz w:val="20"/>
                <w:szCs w:val="20"/>
                <w:color w:val="auto"/>
              </w:rPr>
            </w:pPr>
            <w:r>
              <w:rPr>
                <w:rFonts w:ascii="Arial" w:cs="Arial" w:eastAsia="Arial" w:hAnsi="Arial"/>
                <w:sz w:val="14"/>
                <w:szCs w:val="14"/>
                <w:color w:val="auto"/>
              </w:rPr>
              <w:t>1,523</w:t>
            </w:r>
          </w:p>
        </w:tc>
        <w:tc>
          <w:tcPr>
            <w:tcW w:w="10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gridSpan w:val="3"/>
          </w:tcPr>
          <w:p>
            <w:pPr>
              <w:jc w:val="right"/>
              <w:ind w:right="228"/>
              <w:spacing w:after="0"/>
              <w:rPr>
                <w:sz w:val="20"/>
                <w:szCs w:val="20"/>
                <w:color w:val="auto"/>
              </w:rPr>
            </w:pPr>
            <w:r>
              <w:rPr>
                <w:rFonts w:ascii="Arial" w:cs="Arial" w:eastAsia="Arial" w:hAnsi="Arial"/>
                <w:sz w:val="14"/>
                <w:szCs w:val="14"/>
                <w:color w:val="auto"/>
              </w:rPr>
              <w:t>2,528</w:t>
            </w:r>
          </w:p>
        </w:tc>
        <w:tc>
          <w:tcPr>
            <w:tcW w:w="10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228"/>
              <w:spacing w:after="0"/>
              <w:rPr>
                <w:sz w:val="20"/>
                <w:szCs w:val="20"/>
                <w:color w:val="auto"/>
              </w:rPr>
            </w:pPr>
            <w:r>
              <w:rPr>
                <w:rFonts w:ascii="Arial" w:cs="Arial" w:eastAsia="Arial" w:hAnsi="Arial"/>
                <w:sz w:val="14"/>
                <w:szCs w:val="14"/>
                <w:color w:val="auto"/>
              </w:rPr>
              <w:t>3,073</w:t>
            </w:r>
          </w:p>
        </w:tc>
        <w:tc>
          <w:tcPr>
            <w:tcW w:w="880" w:type="dxa"/>
            <w:vAlign w:val="bottom"/>
            <w:tcBorders>
              <w:bottom w:val="single" w:sz="8" w:color="BCBDC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288</w:t>
            </w:r>
          </w:p>
        </w:tc>
        <w:tc>
          <w:tcPr>
            <w:tcW w:w="2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4"/>
                <w:szCs w:val="14"/>
                <w:color w:val="auto"/>
              </w:rPr>
              <w:t>268</w:t>
            </w:r>
          </w:p>
        </w:tc>
        <w:tc>
          <w:tcPr>
            <w:tcW w:w="10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color w:val="auto"/>
              </w:rPr>
              <w:t>561</w:t>
            </w:r>
          </w:p>
        </w:tc>
        <w:tc>
          <w:tcPr>
            <w:tcW w:w="10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533</w:t>
            </w:r>
          </w:p>
        </w:tc>
        <w:tc>
          <w:tcPr>
            <w:tcW w:w="8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231</w:t>
            </w:r>
          </w:p>
        </w:tc>
        <w:tc>
          <w:tcPr>
            <w:tcW w:w="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gridSpan w:val="2"/>
          </w:tcPr>
          <w:p>
            <w:pPr>
              <w:jc w:val="right"/>
              <w:ind w:right="100"/>
              <w:spacing w:after="0"/>
              <w:rPr>
                <w:sz w:val="20"/>
                <w:szCs w:val="20"/>
                <w:color w:val="auto"/>
              </w:rPr>
            </w:pPr>
            <w:r>
              <w:rPr>
                <w:rFonts w:ascii="Arial" w:cs="Arial" w:eastAsia="Arial" w:hAnsi="Arial"/>
                <w:sz w:val="14"/>
                <w:szCs w:val="14"/>
                <w:b w:val="1"/>
                <w:bCs w:val="1"/>
                <w:color w:val="auto"/>
              </w:rPr>
              <w:t>292</w:t>
            </w:r>
          </w:p>
        </w:tc>
        <w:tc>
          <w:tcPr>
            <w:tcW w:w="1080" w:type="dxa"/>
            <w:vAlign w:val="bottom"/>
            <w:tcBorders>
              <w:bottom w:val="single" w:sz="8" w:color="D7282F"/>
            </w:tcBorders>
          </w:tcPr>
          <w:p>
            <w:pPr>
              <w:jc w:val="center"/>
              <w:ind w:left="568"/>
              <w:spacing w:after="0"/>
              <w:rPr>
                <w:sz w:val="20"/>
                <w:szCs w:val="20"/>
                <w:color w:val="auto"/>
              </w:rPr>
            </w:pPr>
            <w:r>
              <w:rPr>
                <w:rFonts w:ascii="Arial" w:cs="Arial" w:eastAsia="Arial" w:hAnsi="Arial"/>
                <w:sz w:val="14"/>
                <w:szCs w:val="14"/>
                <w:b w:val="1"/>
                <w:bCs w:val="1"/>
                <w:color w:val="auto"/>
              </w:rPr>
              <w:t>(21)%</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484</w:t>
            </w:r>
          </w:p>
        </w:tc>
        <w:tc>
          <w:tcPr>
            <w:tcW w:w="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595</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426"/>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0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122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2022 vs. 2021</w:t>
            </w:r>
          </w:p>
        </w:tc>
        <w:tc>
          <w:tcPr>
            <w:tcW w:w="10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408"/>
              <w:spacing w:after="0" w:line="147"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640" w:type="dxa"/>
            <w:vAlign w:val="bottom"/>
            <w:tcBorders>
              <w:bottom w:val="single" w:sz="8" w:color="D7282F"/>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D7282F"/>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74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6"/>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88"/>
              <w:spacing w:after="0" w:line="147" w:lineRule="exact"/>
              <w:rPr>
                <w:sz w:val="20"/>
                <w:szCs w:val="20"/>
                <w:color w:val="auto"/>
              </w:rPr>
            </w:pPr>
            <w:r>
              <w:rPr>
                <w:rFonts w:ascii="Arial" w:cs="Arial" w:eastAsia="Arial" w:hAnsi="Arial"/>
                <w:sz w:val="14"/>
                <w:szCs w:val="14"/>
                <w:b w:val="1"/>
                <w:bCs w:val="1"/>
                <w:color w:val="auto"/>
              </w:rPr>
              <w:t>Net</w:t>
            </w:r>
          </w:p>
        </w:tc>
        <w:tc>
          <w:tcPr>
            <w:tcW w:w="1440" w:type="dxa"/>
            <w:vAlign w:val="bottom"/>
            <w:gridSpan w:val="5"/>
          </w:tcPr>
          <w:p>
            <w:pPr>
              <w:jc w:val="right"/>
              <w:ind w:right="748"/>
              <w:spacing w:after="0" w:line="147" w:lineRule="exact"/>
              <w:rPr>
                <w:sz w:val="20"/>
                <w:szCs w:val="20"/>
                <w:color w:val="auto"/>
              </w:rPr>
            </w:pPr>
            <w:r>
              <w:rPr>
                <w:rFonts w:ascii="Arial" w:cs="Arial" w:eastAsia="Arial" w:hAnsi="Arial"/>
                <w:sz w:val="14"/>
                <w:szCs w:val="14"/>
                <w:b w:val="1"/>
                <w:bCs w:val="1"/>
                <w:color w:val="auto"/>
              </w:rPr>
              <w:t>Segment</w:t>
            </w:r>
          </w:p>
        </w:tc>
        <w:tc>
          <w:tcPr>
            <w:tcW w:w="980" w:type="dxa"/>
            <w:vAlign w:val="bottom"/>
            <w:gridSpan w:val="2"/>
          </w:tcPr>
          <w:p>
            <w:pPr>
              <w:jc w:val="right"/>
              <w:ind w:right="588"/>
              <w:spacing w:after="0" w:line="147" w:lineRule="exact"/>
              <w:rPr>
                <w:sz w:val="20"/>
                <w:szCs w:val="20"/>
                <w:color w:val="auto"/>
              </w:rPr>
            </w:pPr>
            <w:r>
              <w:rPr>
                <w:rFonts w:ascii="Arial" w:cs="Arial" w:eastAsia="Arial" w:hAnsi="Arial"/>
                <w:sz w:val="14"/>
                <w:szCs w:val="14"/>
                <w:b w:val="1"/>
                <w:bCs w:val="1"/>
                <w:color w:val="auto"/>
              </w:rPr>
              <w:t>Net</w:t>
            </w:r>
          </w:p>
        </w:tc>
        <w:tc>
          <w:tcPr>
            <w:tcW w:w="8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486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Sales</w:t>
            </w:r>
          </w:p>
        </w:tc>
        <w:tc>
          <w:tcPr>
            <w:tcW w:w="56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Profit</w:t>
            </w:r>
          </w:p>
        </w:tc>
        <w:tc>
          <w:tcPr>
            <w:tcW w:w="30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8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Organic</w:t>
            </w:r>
          </w:p>
        </w:tc>
        <w:tc>
          <w:tcPr>
            <w:tcW w:w="320" w:type="dxa"/>
            <w:vAlign w:val="bottom"/>
            <w:tcBorders>
              <w:bottom w:val="single" w:sz="8" w:color="BCBDC0"/>
            </w:tcBorders>
          </w:tcPr>
          <w:p>
            <w:pPr>
              <w:spacing w:after="0"/>
              <w:rPr>
                <w:sz w:val="16"/>
                <w:szCs w:val="16"/>
                <w:color w:val="auto"/>
              </w:rPr>
            </w:pPr>
          </w:p>
        </w:tc>
        <w:tc>
          <w:tcPr>
            <w:tcW w:w="760" w:type="dxa"/>
            <w:vAlign w:val="bottom"/>
            <w:tcBorders>
              <w:bottom w:val="single" w:sz="8" w:color="BCBDC0"/>
            </w:tcBorders>
          </w:tcPr>
          <w:p>
            <w:pPr>
              <w:spacing w:after="0"/>
              <w:rPr>
                <w:sz w:val="16"/>
                <w:szCs w:val="16"/>
                <w:color w:val="auto"/>
              </w:rPr>
            </w:pPr>
          </w:p>
        </w:tc>
        <w:tc>
          <w:tcPr>
            <w:tcW w:w="240" w:type="dxa"/>
            <w:vAlign w:val="bottom"/>
            <w:tcBorders>
              <w:bottom w:val="single" w:sz="8" w:color="BCBDC0"/>
            </w:tcBorders>
          </w:tcPr>
          <w:p>
            <w:pPr>
              <w:spacing w:after="0"/>
              <w:rPr>
                <w:sz w:val="16"/>
                <w:szCs w:val="16"/>
                <w:color w:val="auto"/>
              </w:rPr>
            </w:pPr>
          </w:p>
        </w:tc>
        <w:tc>
          <w:tcPr>
            <w:tcW w:w="420" w:type="dxa"/>
            <w:vAlign w:val="bottom"/>
            <w:tcBorders>
              <w:bottom w:val="single" w:sz="8" w:color="BCBDC0"/>
            </w:tcBorders>
          </w:tcPr>
          <w:p>
            <w:pPr>
              <w:spacing w:after="0"/>
              <w:rPr>
                <w:sz w:val="16"/>
                <w:szCs w:val="16"/>
                <w:color w:val="auto"/>
              </w:rPr>
            </w:pPr>
          </w:p>
        </w:tc>
        <w:tc>
          <w:tcPr>
            <w:tcW w:w="260" w:type="dxa"/>
            <w:vAlign w:val="bottom"/>
            <w:tcBorders>
              <w:bottom w:val="single" w:sz="8" w:color="BCBDC0"/>
            </w:tcBorders>
          </w:tcPr>
          <w:p>
            <w:pPr>
              <w:spacing w:after="0"/>
              <w:rPr>
                <w:sz w:val="16"/>
                <w:szCs w:val="16"/>
                <w:color w:val="auto"/>
              </w:rPr>
            </w:pPr>
          </w:p>
        </w:tc>
        <w:tc>
          <w:tcPr>
            <w:tcW w:w="108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(10)%</w:t>
            </w:r>
          </w:p>
        </w:tc>
        <w:tc>
          <w:tcPr>
            <w:tcW w:w="860" w:type="dxa"/>
            <w:vAlign w:val="bottom"/>
            <w:tcBorders>
              <w:bottom w:val="single" w:sz="8" w:color="BCBDC0"/>
            </w:tcBorders>
            <w:gridSpan w:val="3"/>
          </w:tcPr>
          <w:p>
            <w:pPr>
              <w:jc w:val="right"/>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BCBDC0"/>
            </w:tcBorders>
          </w:tcPr>
          <w:p>
            <w:pPr>
              <w:spacing w:after="0"/>
              <w:rPr>
                <w:sz w:val="16"/>
                <w:szCs w:val="16"/>
                <w:color w:val="auto"/>
              </w:rPr>
            </w:pPr>
          </w:p>
        </w:tc>
        <w:tc>
          <w:tcPr>
            <w:tcW w:w="340" w:type="dxa"/>
            <w:vAlign w:val="bottom"/>
            <w:tcBorders>
              <w:bottom w:val="single" w:sz="8" w:color="BCBDC0"/>
            </w:tcBorders>
          </w:tcPr>
          <w:p>
            <w:pPr>
              <w:spacing w:after="0"/>
              <w:rPr>
                <w:sz w:val="16"/>
                <w:szCs w:val="16"/>
                <w:color w:val="auto"/>
              </w:rPr>
            </w:pPr>
          </w:p>
        </w:tc>
        <w:tc>
          <w:tcPr>
            <w:tcW w:w="100" w:type="dxa"/>
            <w:vAlign w:val="bottom"/>
            <w:tcBorders>
              <w:bottom w:val="single" w:sz="8" w:color="BCBDC0"/>
            </w:tcBorders>
          </w:tcPr>
          <w:p>
            <w:pPr>
              <w:spacing w:after="0"/>
              <w:rPr>
                <w:sz w:val="16"/>
                <w:szCs w:val="16"/>
                <w:color w:val="auto"/>
              </w:rPr>
            </w:pPr>
          </w:p>
        </w:tc>
        <w:tc>
          <w:tcPr>
            <w:tcW w:w="8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(12)%</w:t>
            </w: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320" w:type="dxa"/>
            <w:vAlign w:val="bottom"/>
            <w:tcBorders>
              <w:bottom w:val="single" w:sz="8" w:color="BCBDC0"/>
            </w:tcBorders>
          </w:tcPr>
          <w:p>
            <w:pPr>
              <w:spacing w:after="0"/>
              <w:rPr>
                <w:sz w:val="17"/>
                <w:szCs w:val="17"/>
                <w:color w:val="auto"/>
              </w:rPr>
            </w:pPr>
          </w:p>
        </w:tc>
        <w:tc>
          <w:tcPr>
            <w:tcW w:w="760" w:type="dxa"/>
            <w:vAlign w:val="bottom"/>
            <w:tcBorders>
              <w:bottom w:val="single" w:sz="8" w:color="BCBDC0"/>
            </w:tcBorders>
          </w:tcPr>
          <w:p>
            <w:pPr>
              <w:spacing w:after="0"/>
              <w:rPr>
                <w:sz w:val="17"/>
                <w:szCs w:val="17"/>
                <w:color w:val="auto"/>
              </w:rPr>
            </w:pPr>
          </w:p>
        </w:tc>
        <w:tc>
          <w:tcPr>
            <w:tcW w:w="240" w:type="dxa"/>
            <w:vAlign w:val="bottom"/>
            <w:tcBorders>
              <w:bottom w:val="single" w:sz="8" w:color="BCBDC0"/>
            </w:tcBorders>
          </w:tcPr>
          <w:p>
            <w:pPr>
              <w:spacing w:after="0"/>
              <w:rPr>
                <w:sz w:val="17"/>
                <w:szCs w:val="17"/>
                <w:color w:val="auto"/>
              </w:rPr>
            </w:pPr>
          </w:p>
        </w:tc>
        <w:tc>
          <w:tcPr>
            <w:tcW w:w="420" w:type="dxa"/>
            <w:vAlign w:val="bottom"/>
            <w:tcBorders>
              <w:bottom w:val="single" w:sz="8" w:color="BCBDC0"/>
            </w:tcBorders>
          </w:tcPr>
          <w:p>
            <w:pPr>
              <w:spacing w:after="0"/>
              <w:rPr>
                <w:sz w:val="17"/>
                <w:szCs w:val="17"/>
                <w:color w:val="auto"/>
              </w:rPr>
            </w:pPr>
          </w:p>
        </w:tc>
        <w:tc>
          <w:tcPr>
            <w:tcW w:w="260" w:type="dxa"/>
            <w:vAlign w:val="bottom"/>
            <w:tcBorders>
              <w:bottom w:val="single" w:sz="8" w:color="BCBDC0"/>
            </w:tcBorders>
          </w:tcPr>
          <w:p>
            <w:pPr>
              <w:spacing w:after="0"/>
              <w:rPr>
                <w:sz w:val="17"/>
                <w:szCs w:val="17"/>
                <w:color w:val="auto"/>
              </w:rPr>
            </w:pPr>
          </w:p>
        </w:tc>
        <w:tc>
          <w:tcPr>
            <w:tcW w:w="1080" w:type="dxa"/>
            <w:vAlign w:val="bottom"/>
            <w:tcBorders>
              <w:bottom w:val="single" w:sz="8" w:color="BCBDC0"/>
            </w:tcBorders>
          </w:tcPr>
          <w:p>
            <w:pPr>
              <w:jc w:val="right"/>
              <w:ind w:right="188"/>
              <w:spacing w:after="0"/>
              <w:rPr>
                <w:sz w:val="20"/>
                <w:szCs w:val="20"/>
                <w:color w:val="auto"/>
              </w:rPr>
            </w:pPr>
            <w:r>
              <w:rPr>
                <w:rFonts w:ascii="Arial" w:cs="Arial" w:eastAsia="Arial" w:hAnsi="Arial"/>
                <w:sz w:val="14"/>
                <w:szCs w:val="14"/>
                <w:color w:val="auto"/>
              </w:rPr>
              <w:t>(2)%</w:t>
            </w:r>
          </w:p>
        </w:tc>
        <w:tc>
          <w:tcPr>
            <w:tcW w:w="860" w:type="dxa"/>
            <w:vAlign w:val="bottom"/>
            <w:tcBorders>
              <w:bottom w:val="single" w:sz="8" w:color="BCBDC0"/>
            </w:tcBorders>
            <w:gridSpan w:val="3"/>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BCBDC0"/>
            </w:tcBorders>
          </w:tcPr>
          <w:p>
            <w:pPr>
              <w:spacing w:after="0"/>
              <w:rPr>
                <w:sz w:val="17"/>
                <w:szCs w:val="17"/>
                <w:color w:val="auto"/>
              </w:rPr>
            </w:pPr>
          </w:p>
        </w:tc>
        <w:tc>
          <w:tcPr>
            <w:tcW w:w="340" w:type="dxa"/>
            <w:vAlign w:val="bottom"/>
            <w:tcBorders>
              <w:bottom w:val="single" w:sz="8" w:color="BCBDC0"/>
            </w:tcBorders>
          </w:tcPr>
          <w:p>
            <w:pPr>
              <w:spacing w:after="0"/>
              <w:rPr>
                <w:sz w:val="17"/>
                <w:szCs w:val="17"/>
                <w:color w:val="auto"/>
              </w:rPr>
            </w:pPr>
          </w:p>
        </w:tc>
        <w:tc>
          <w:tcPr>
            <w:tcW w:w="100" w:type="dxa"/>
            <w:vAlign w:val="bottom"/>
            <w:tcBorders>
              <w:bottom w:val="single" w:sz="8" w:color="BCBDC0"/>
            </w:tcBorders>
          </w:tcPr>
          <w:p>
            <w:pPr>
              <w:spacing w:after="0"/>
              <w:rPr>
                <w:sz w:val="17"/>
                <w:szCs w:val="17"/>
                <w:color w:val="auto"/>
              </w:rPr>
            </w:pPr>
          </w:p>
        </w:tc>
        <w:tc>
          <w:tcPr>
            <w:tcW w:w="880" w:type="dxa"/>
            <w:vAlign w:val="bottom"/>
            <w:tcBorders>
              <w:bottom w:val="single" w:sz="8" w:color="BCBDC0"/>
            </w:tcBorders>
          </w:tcPr>
          <w:p>
            <w:pPr>
              <w:jc w:val="right"/>
              <w:ind w:right="168"/>
              <w:spacing w:after="0"/>
              <w:rPr>
                <w:sz w:val="20"/>
                <w:szCs w:val="20"/>
                <w:color w:val="auto"/>
              </w:rPr>
            </w:pPr>
            <w:r>
              <w:rPr>
                <w:rFonts w:ascii="Arial" w:cs="Arial" w:eastAsia="Arial" w:hAnsi="Arial"/>
                <w:sz w:val="14"/>
                <w:szCs w:val="14"/>
                <w:color w:val="auto"/>
              </w:rPr>
              <w:t>(2)%</w:t>
            </w:r>
          </w:p>
        </w:tc>
        <w:tc>
          <w:tcPr>
            <w:tcW w:w="88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gridSpan w:val="4"/>
          </w:tcPr>
          <w:p>
            <w:pPr>
              <w:jc w:val="right"/>
              <w:ind w:right="508"/>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4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 Change</w:t>
            </w:r>
          </w:p>
        </w:tc>
        <w:tc>
          <w:tcPr>
            <w:tcW w:w="3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(12)%</w:t>
            </w:r>
          </w:p>
        </w:tc>
        <w:tc>
          <w:tcPr>
            <w:tcW w:w="86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(15)%</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45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2022 compared to Q2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decreased due to lower sales volumes and the unfavorable impact of foreign currency translation, partially offset by favorable pricing.</w:t>
      </w:r>
    </w:p>
    <w:p>
      <w:pPr>
        <w:spacing w:after="0" w:line="111" w:lineRule="exact"/>
        <w:rPr>
          <w:sz w:val="20"/>
          <w:szCs w:val="20"/>
          <w:color w:val="auto"/>
        </w:rPr>
      </w:pPr>
    </w:p>
    <w:p>
      <w:pPr>
        <w:ind w:left="200" w:hanging="192"/>
        <w:spacing w:after="0" w:line="286" w:lineRule="auto"/>
        <w:tabs>
          <w:tab w:leader="none" w:pos="197" w:val="left"/>
        </w:tabs>
        <w:numPr>
          <w:ilvl w:val="0"/>
          <w:numId w:val="29"/>
        </w:numPr>
        <w:rPr>
          <w:rFonts w:ascii="Arial" w:cs="Arial" w:eastAsia="Arial" w:hAnsi="Arial"/>
          <w:sz w:val="16"/>
          <w:szCs w:val="16"/>
          <w:color w:val="D7282F"/>
        </w:rPr>
      </w:pPr>
      <w:r>
        <w:rPr>
          <w:rFonts w:ascii="Arial" w:cs="Arial" w:eastAsia="Arial" w:hAnsi="Arial"/>
          <w:sz w:val="16"/>
          <w:szCs w:val="16"/>
          <w:color w:val="auto"/>
        </w:rPr>
        <w:t>Sales in Safety and Retail decreased 21% (decreased 18% organic) due to lower demand for personal protective equipment, partially offset by favorable pricing.</w:t>
      </w:r>
    </w:p>
    <w:p>
      <w:pPr>
        <w:spacing w:after="0" w:line="20"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29"/>
        </w:numPr>
        <w:rPr>
          <w:rFonts w:ascii="Arial" w:cs="Arial" w:eastAsia="Arial" w:hAnsi="Arial"/>
          <w:sz w:val="16"/>
          <w:szCs w:val="16"/>
          <w:color w:val="D7282F"/>
        </w:rPr>
      </w:pPr>
      <w:r>
        <w:rPr>
          <w:rFonts w:ascii="Arial" w:cs="Arial" w:eastAsia="Arial" w:hAnsi="Arial"/>
          <w:sz w:val="16"/>
          <w:szCs w:val="16"/>
          <w:color w:val="auto"/>
        </w:rPr>
        <w:t>Sales in Productivity Solutions and Services increased 14% (increased 19% organic) due to favorable pricing and higher sales volumes (driven by a licensing agreement executed in the second quarter of 2022, discussed below), partially offset by the unfavorable impact of foreign currency translation.</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29"/>
        </w:numPr>
        <w:rPr>
          <w:rFonts w:ascii="Arial" w:cs="Arial" w:eastAsia="Arial" w:hAnsi="Arial"/>
          <w:sz w:val="16"/>
          <w:szCs w:val="16"/>
          <w:color w:val="D7282F"/>
        </w:rPr>
      </w:pPr>
      <w:r>
        <w:rPr>
          <w:rFonts w:ascii="Arial" w:cs="Arial" w:eastAsia="Arial" w:hAnsi="Arial"/>
          <w:sz w:val="16"/>
          <w:szCs w:val="16"/>
          <w:color w:val="auto"/>
        </w:rPr>
        <w:t>Sales in Warehouse and Workflow Solutions decreased 26% (decreased 25% organic) due to lower demand and timing of projects.</w:t>
      </w:r>
    </w:p>
    <w:p>
      <w:pPr>
        <w:spacing w:after="0" w:line="86" w:lineRule="exact"/>
        <w:rPr>
          <w:rFonts w:ascii="Arial" w:cs="Arial" w:eastAsia="Arial" w:hAnsi="Arial"/>
          <w:sz w:val="16"/>
          <w:szCs w:val="16"/>
          <w:color w:val="D7282F"/>
        </w:rPr>
      </w:pPr>
    </w:p>
    <w:p>
      <w:pPr>
        <w:ind w:left="200" w:right="20" w:hanging="192"/>
        <w:spacing w:after="0" w:line="286" w:lineRule="auto"/>
        <w:tabs>
          <w:tab w:leader="none" w:pos="197" w:val="left"/>
        </w:tabs>
        <w:numPr>
          <w:ilvl w:val="0"/>
          <w:numId w:val="29"/>
        </w:numPr>
        <w:rPr>
          <w:rFonts w:ascii="Arial" w:cs="Arial" w:eastAsia="Arial" w:hAnsi="Arial"/>
          <w:sz w:val="16"/>
          <w:szCs w:val="16"/>
          <w:color w:val="D7282F"/>
        </w:rPr>
      </w:pPr>
      <w:r>
        <w:rPr>
          <w:rFonts w:ascii="Arial" w:cs="Arial" w:eastAsia="Arial" w:hAnsi="Arial"/>
          <w:sz w:val="16"/>
          <w:szCs w:val="16"/>
          <w:color w:val="auto"/>
        </w:rPr>
        <w:t>Sales in Advanced Sensing Technologies increased 21% (increased 25% organic) due to higher demand and favorable pricing, partially offset by the unfavorable impact of foreign currency translation.</w:t>
      </w:r>
    </w:p>
    <w:p>
      <w:pPr>
        <w:spacing w:after="0" w:line="6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Cost of products and services sold decreased due to lower sales volumes and the favorable impact of foreign currency translation, partially offset by higher direct and indirect material costs and higher labor costs and lower productivity including a write-down of mask inventory.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decreased primarily due to lower productivity and lower sales volumes, partially offset by favorable pricing.</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2022 compared to YTD 2021</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Sales decreased due to lower sales volumes, the unfavorable impact of foreign currency translation, and the sale of the retail footwear business, partially offset by favorable pricing.</w:t>
      </w:r>
    </w:p>
    <w:p>
      <w:pPr>
        <w:spacing w:after="0" w:line="77" w:lineRule="exact"/>
        <w:rPr>
          <w:sz w:val="20"/>
          <w:szCs w:val="20"/>
          <w:color w:val="auto"/>
        </w:rPr>
      </w:pPr>
    </w:p>
    <w:p>
      <w:pPr>
        <w:ind w:left="200" w:hanging="192"/>
        <w:spacing w:after="0" w:line="286" w:lineRule="auto"/>
        <w:tabs>
          <w:tab w:leader="none" w:pos="197" w:val="left"/>
        </w:tabs>
        <w:numPr>
          <w:ilvl w:val="0"/>
          <w:numId w:val="30"/>
        </w:numPr>
        <w:rPr>
          <w:rFonts w:ascii="Arial" w:cs="Arial" w:eastAsia="Arial" w:hAnsi="Arial"/>
          <w:sz w:val="16"/>
          <w:szCs w:val="16"/>
          <w:color w:val="D7282F"/>
        </w:rPr>
      </w:pPr>
      <w:r>
        <w:rPr>
          <w:rFonts w:ascii="Arial" w:cs="Arial" w:eastAsia="Arial" w:hAnsi="Arial"/>
          <w:sz w:val="16"/>
          <w:szCs w:val="16"/>
          <w:color w:val="auto"/>
        </w:rPr>
        <w:t>Sales in Safety and Retail decreased 27% (decreased 22% organic) due to lower demand for personal protective equipment and the sale of the retail footwear business, partially offset by favorable pricing.</w:t>
      </w:r>
    </w:p>
    <w:p>
      <w:pPr>
        <w:spacing w:after="0" w:line="20"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30"/>
        </w:numPr>
        <w:rPr>
          <w:rFonts w:ascii="Arial" w:cs="Arial" w:eastAsia="Arial" w:hAnsi="Arial"/>
          <w:sz w:val="16"/>
          <w:szCs w:val="16"/>
          <w:color w:val="D7282F"/>
        </w:rPr>
      </w:pPr>
      <w:r>
        <w:rPr>
          <w:rFonts w:ascii="Arial" w:cs="Arial" w:eastAsia="Arial" w:hAnsi="Arial"/>
          <w:sz w:val="16"/>
          <w:szCs w:val="16"/>
          <w:color w:val="auto"/>
        </w:rPr>
        <w:t>Sales in Productivity Solutions and Services increased 14% (increased 17% organic) due to favorable pricing and higher sales volumes (driven by a licensing agreement executed in the second quarter of 2022, discussed below), partially offset by the unfavorable impact of foreign currency translation.</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30"/>
        </w:numPr>
        <w:rPr>
          <w:rFonts w:ascii="Arial" w:cs="Arial" w:eastAsia="Arial" w:hAnsi="Arial"/>
          <w:sz w:val="16"/>
          <w:szCs w:val="16"/>
          <w:color w:val="D7282F"/>
        </w:rPr>
      </w:pPr>
      <w:r>
        <w:rPr>
          <w:rFonts w:ascii="Arial" w:cs="Arial" w:eastAsia="Arial" w:hAnsi="Arial"/>
          <w:sz w:val="16"/>
          <w:szCs w:val="16"/>
          <w:color w:val="auto"/>
        </w:rPr>
        <w:t>Sales in Warehouse and Workflow Solutions decreased 27% (decreased 26% organic) due to lower demand and timing of projects.</w:t>
      </w:r>
    </w:p>
    <w:p>
      <w:pPr>
        <w:spacing w:after="0" w:line="86" w:lineRule="exact"/>
        <w:rPr>
          <w:rFonts w:ascii="Arial" w:cs="Arial" w:eastAsia="Arial" w:hAnsi="Arial"/>
          <w:sz w:val="16"/>
          <w:szCs w:val="16"/>
          <w:color w:val="D7282F"/>
        </w:rPr>
      </w:pPr>
    </w:p>
    <w:p>
      <w:pPr>
        <w:ind w:left="200" w:right="20" w:hanging="192"/>
        <w:spacing w:after="0" w:line="286" w:lineRule="auto"/>
        <w:tabs>
          <w:tab w:leader="none" w:pos="197" w:val="left"/>
        </w:tabs>
        <w:numPr>
          <w:ilvl w:val="0"/>
          <w:numId w:val="30"/>
        </w:numPr>
        <w:rPr>
          <w:rFonts w:ascii="Arial" w:cs="Arial" w:eastAsia="Arial" w:hAnsi="Arial"/>
          <w:sz w:val="16"/>
          <w:szCs w:val="16"/>
          <w:color w:val="D7282F"/>
        </w:rPr>
      </w:pPr>
      <w:r>
        <w:rPr>
          <w:rFonts w:ascii="Arial" w:cs="Arial" w:eastAsia="Arial" w:hAnsi="Arial"/>
          <w:sz w:val="16"/>
          <w:szCs w:val="16"/>
          <w:color w:val="auto"/>
        </w:rPr>
        <w:t>Sales in Advanced Sensing Technologies increased 22% (increased 25% organic) due to higher demand and favorable pricing, partially offset by the unfavorable impact of foreign currency translation.</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Cost of products and services sold decreased due to lower sales volumes and the favorable impact of foreign currency translation, partially offset by higher direct and indirect material costs and higher labor costs and lower productivity including a write-down of mask inventory.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decreased primarily due to lower productivity and lower sales volumes, partially offset by favorable pricing.</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second quarter of 2022, our Productivity Solutions and Services business entered into a license and settlement agreement (the Agreement). Under the Agreement, we will receive up to $360 million, paid in equal quarterly installments over eight quarters, beginning with the second quarter of 2022. The Agreement provides each party a license to its existing patent portfolio for use by the other party’s existing products and, resolves all patent-related litigation between the parties.</w:t>
      </w: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considered a separate reportable business segment as segment reporting criteria is not met for the activities reported with Corporate and All Other. The Company continues to monitor the activities in Corporate and All Other to determine the need for further reportable business segment disaggregation.</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See Note 5 Repositioning and Other Charges of Notes to Consolidated Financial Statements for a discussion of our repositioning actions and related charges incurred in the six months ended June 30, 2022 and 2021. Cash spending related to our repositioning actions was $157 million in the six months ended June 30, 2022, and was funded through operating cash flows.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46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continue to manage our businesses to maximize operating cash flows as the primary source of liquidity. Each of our businesses is focused on increasing operating cash flows through revenue growth, margin expansion, and improved working capital turnover. Additional sources of liquidity include committed credit lines, short-term debt from the commercial paper market, long-term borrowings, access to the public debt and equity markets, U.S. cash balances, and the ability to access non-U.S. cash balances.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 As of June 30, 2022, and December 31, 2021, we held $8.7 billion and $11.5 billion, respectively, of cash and cash equivalents, including our short-term investments.</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Consolidated total borrowings were $19.1 billion and $19.6 billion as of June 30,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D7282F"/>
            </w:tcBorders>
          </w:tcPr>
          <w:p>
            <w:pPr>
              <w:spacing w:after="0"/>
              <w:rPr>
                <w:sz w:val="17"/>
                <w:szCs w:val="17"/>
                <w:color w:val="auto"/>
              </w:rPr>
            </w:pPr>
          </w:p>
        </w:tc>
        <w:tc>
          <w:tcPr>
            <w:tcW w:w="25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June 30, 2022</w:t>
            </w:r>
          </w:p>
        </w:tc>
        <w:tc>
          <w:tcPr>
            <w:tcW w:w="156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57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Commercial paper and other short-term borrowings</w:t>
            </w:r>
          </w:p>
        </w:tc>
        <w:tc>
          <w:tcPr>
            <w:tcW w:w="25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3,487</w:t>
            </w:r>
          </w:p>
        </w:tc>
        <w:tc>
          <w:tcPr>
            <w:tcW w:w="660" w:type="dxa"/>
            <w:vAlign w:val="bottom"/>
            <w:tcBorders>
              <w:bottom w:val="single" w:sz="8" w:color="BCBDC0"/>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3,542</w:t>
            </w:r>
          </w:p>
        </w:tc>
      </w:tr>
      <w:tr>
        <w:trPr>
          <w:trHeight w:val="196"/>
        </w:trPr>
        <w:tc>
          <w:tcPr>
            <w:tcW w:w="57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Variable rate notes</w:t>
            </w:r>
          </w:p>
        </w:tc>
        <w:tc>
          <w:tcPr>
            <w:tcW w:w="2560" w:type="dxa"/>
            <w:vAlign w:val="bottom"/>
            <w:tcBorders>
              <w:bottom w:val="single" w:sz="8" w:color="BCBDC0"/>
            </w:tcBorders>
          </w:tcPr>
          <w:p>
            <w:pPr>
              <w:spacing w:after="0"/>
              <w:rPr>
                <w:sz w:val="17"/>
                <w:szCs w:val="17"/>
                <w:color w:val="auto"/>
              </w:rPr>
            </w:pPr>
          </w:p>
        </w:tc>
        <w:tc>
          <w:tcPr>
            <w:tcW w:w="136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622</w:t>
            </w:r>
          </w:p>
        </w:tc>
        <w:tc>
          <w:tcPr>
            <w:tcW w:w="66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622</w:t>
            </w:r>
          </w:p>
        </w:tc>
      </w:tr>
      <w:tr>
        <w:trPr>
          <w:trHeight w:val="196"/>
        </w:trPr>
        <w:tc>
          <w:tcPr>
            <w:tcW w:w="57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Fixed rate notes</w:t>
            </w:r>
          </w:p>
        </w:tc>
        <w:tc>
          <w:tcPr>
            <w:tcW w:w="2560" w:type="dxa"/>
            <w:vAlign w:val="bottom"/>
            <w:tcBorders>
              <w:bottom w:val="single" w:sz="8" w:color="BCBDC0"/>
            </w:tcBorders>
          </w:tcPr>
          <w:p>
            <w:pPr>
              <w:spacing w:after="0"/>
              <w:rPr>
                <w:sz w:val="17"/>
                <w:szCs w:val="17"/>
                <w:color w:val="auto"/>
              </w:rPr>
            </w:pPr>
          </w:p>
        </w:tc>
        <w:tc>
          <w:tcPr>
            <w:tcW w:w="136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15,048</w:t>
            </w:r>
          </w:p>
        </w:tc>
        <w:tc>
          <w:tcPr>
            <w:tcW w:w="66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15,314</w:t>
            </w:r>
          </w:p>
        </w:tc>
      </w:tr>
      <w:tr>
        <w:trPr>
          <w:trHeight w:val="196"/>
        </w:trPr>
        <w:tc>
          <w:tcPr>
            <w:tcW w:w="57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Other</w:t>
            </w:r>
          </w:p>
        </w:tc>
        <w:tc>
          <w:tcPr>
            <w:tcW w:w="2560" w:type="dxa"/>
            <w:vAlign w:val="bottom"/>
            <w:tcBorders>
              <w:bottom w:val="single" w:sz="8" w:color="BCBDC0"/>
            </w:tcBorders>
          </w:tcPr>
          <w:p>
            <w:pPr>
              <w:spacing w:after="0"/>
              <w:rPr>
                <w:sz w:val="17"/>
                <w:szCs w:val="17"/>
                <w:color w:val="auto"/>
              </w:rPr>
            </w:pPr>
          </w:p>
        </w:tc>
        <w:tc>
          <w:tcPr>
            <w:tcW w:w="136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123</w:t>
            </w:r>
          </w:p>
        </w:tc>
        <w:tc>
          <w:tcPr>
            <w:tcW w:w="660" w:type="dxa"/>
            <w:vAlign w:val="bottom"/>
            <w:tcBorders>
              <w:bottom w:val="single" w:sz="8" w:color="BCBDC0"/>
            </w:tcBorders>
          </w:tcPr>
          <w:p>
            <w:pPr>
              <w:spacing w:after="0"/>
              <w:rPr>
                <w:sz w:val="17"/>
                <w:szCs w:val="17"/>
                <w:color w:val="auto"/>
              </w:rPr>
            </w:pPr>
          </w:p>
        </w:tc>
        <w:tc>
          <w:tcPr>
            <w:tcW w:w="9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332</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560" w:type="dxa"/>
            <w:vAlign w:val="bottom"/>
            <w:tcBorders>
              <w:bottom w:val="single" w:sz="8" w:color="D7282F"/>
            </w:tcBorders>
          </w:tcPr>
          <w:p>
            <w:pPr>
              <w:spacing w:after="0"/>
              <w:rPr>
                <w:sz w:val="17"/>
                <w:szCs w:val="17"/>
                <w:color w:val="auto"/>
              </w:rPr>
            </w:pPr>
          </w:p>
        </w:tc>
        <w:tc>
          <w:tcPr>
            <w:tcW w:w="13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(203)</w:t>
            </w:r>
          </w:p>
        </w:tc>
        <w:tc>
          <w:tcPr>
            <w:tcW w:w="6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(211)</w:t>
            </w:r>
          </w:p>
        </w:tc>
      </w:tr>
      <w:tr>
        <w:trPr>
          <w:trHeight w:val="199"/>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borrowings</w:t>
            </w:r>
          </w:p>
        </w:tc>
        <w:tc>
          <w:tcPr>
            <w:tcW w:w="2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19,077</w:t>
            </w:r>
          </w:p>
        </w:tc>
        <w:tc>
          <w:tcPr>
            <w:tcW w:w="66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19,599</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revolving credit agreements:</w:t>
      </w:r>
    </w:p>
    <w:p>
      <w:pPr>
        <w:spacing w:after="0" w:line="127" w:lineRule="exact"/>
        <w:rPr>
          <w:sz w:val="20"/>
          <w:szCs w:val="20"/>
          <w:color w:val="auto"/>
        </w:rPr>
      </w:pPr>
    </w:p>
    <w:p>
      <w:pPr>
        <w:jc w:val="both"/>
        <w:ind w:left="200" w:hanging="192"/>
        <w:spacing w:after="0" w:line="260" w:lineRule="auto"/>
        <w:tabs>
          <w:tab w:leader="none" w:pos="197" w:val="left"/>
        </w:tabs>
        <w:numPr>
          <w:ilvl w:val="0"/>
          <w:numId w:val="31"/>
        </w:numPr>
        <w:rPr>
          <w:rFonts w:ascii="Arial" w:cs="Arial" w:eastAsia="Arial" w:hAnsi="Arial"/>
          <w:sz w:val="16"/>
          <w:szCs w:val="16"/>
          <w:color w:val="D7282F"/>
        </w:rPr>
      </w:pPr>
      <w:r>
        <w:rPr>
          <w:rFonts w:ascii="Arial" w:cs="Arial" w:eastAsia="Arial" w:hAnsi="Arial"/>
          <w:sz w:val="16"/>
          <w:szCs w:val="16"/>
          <w:color w:val="auto"/>
        </w:rPr>
        <w:t>A $1.5 billion 364-Day Credit Agreement (the 364-Day Credit Agreement) with a syndicate of banks, dated March 24, 2022. Amounts borrowed under the 364-Day Credit Agreement are required to be repaid no later than March 23, 2023, unless (i) we elect to convert all then outstanding amounts into a term loan, upon which such amounts shall be repaid in full on March 23, 2024, or (ii) the 364-Day Credit Agreement is terminated earlier pursuant to its terms. The 364-Day Credit Agreement replaced the previously reported $1.5 billion 364-day credit agreement dated as of March 31, 2021, which was terminated in accordance with its terms effective March 24, 2022. As of June 30, 2022, there were no outstanding borrowings under our 364-Day Credit Agreement.</w:t>
      </w:r>
    </w:p>
    <w:p>
      <w:pPr>
        <w:spacing w:after="0" w:line="42"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31"/>
        </w:numPr>
        <w:rPr>
          <w:rFonts w:ascii="Arial" w:cs="Arial" w:eastAsia="Arial" w:hAnsi="Arial"/>
          <w:sz w:val="16"/>
          <w:szCs w:val="16"/>
          <w:color w:val="D7282F"/>
        </w:rPr>
      </w:pPr>
      <w:r>
        <w:rPr>
          <w:rFonts w:ascii="Arial" w:cs="Arial" w:eastAsia="Arial" w:hAnsi="Arial"/>
          <w:sz w:val="16"/>
          <w:szCs w:val="16"/>
          <w:color w:val="auto"/>
        </w:rPr>
        <w:t>A $4.0 billion Five Year Credit Agreement (the 5-Year Credit Agreement) with a syndicate of banks, dated March 24, 2022. Commitments under the 5-Year Credit Agreement can be increased pursuant to the terms of the 5-Year Credit Agreement to an aggregate amount not to exceed $4.5 billion. The 5-Year Credit Agreement amended and restated the previously reported $4.0 billion amended and restated five year credit agreement dated as of March 31, 2021. As of June 30, 2022, there were no outstanding borrowings under our 5-Year Credit Agreement.</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also have a current shelf registration statement filed with the Securities and Exchange Commission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47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June 30, 2022, S&amp;P Global Inc. (S&amp;P), Fitch Ratings Inc. (Fitch), and Moody’s Investor Service (Moody's) have ratings on our debt set forth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Borders>
              <w:bottom w:val="single" w:sz="8" w:color="D7282F"/>
            </w:tcBorders>
          </w:tcPr>
          <w:p>
            <w:pPr>
              <w:spacing w:after="0"/>
              <w:rPr>
                <w:sz w:val="17"/>
                <w:szCs w:val="17"/>
                <w:color w:val="auto"/>
              </w:rPr>
            </w:pP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b w:val="1"/>
                <w:bCs w:val="1"/>
                <w:color w:val="auto"/>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5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Moody's</w:t>
            </w:r>
          </w:p>
        </w:tc>
      </w:tr>
      <w:tr>
        <w:trPr>
          <w:trHeight w:val="193"/>
        </w:trPr>
        <w:tc>
          <w:tcPr>
            <w:tcW w:w="38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Outlook</w:t>
            </w:r>
          </w:p>
        </w:tc>
        <w:tc>
          <w:tcPr>
            <w:tcW w:w="4200" w:type="dxa"/>
            <w:vAlign w:val="bottom"/>
            <w:tcBorders>
              <w:bottom w:val="single" w:sz="8" w:color="BCBDC0"/>
            </w:tcBorders>
          </w:tcPr>
          <w:p>
            <w:pPr>
              <w:jc w:val="center"/>
              <w:ind w:left="2508"/>
              <w:spacing w:after="0"/>
              <w:rPr>
                <w:sz w:val="20"/>
                <w:szCs w:val="20"/>
                <w:color w:val="auto"/>
              </w:rPr>
            </w:pPr>
            <w:r>
              <w:rPr>
                <w:rFonts w:ascii="Arial" w:cs="Arial" w:eastAsia="Arial" w:hAnsi="Arial"/>
                <w:sz w:val="14"/>
                <w:szCs w:val="14"/>
                <w:color w:val="auto"/>
              </w:rPr>
              <w:t>Stable</w:t>
            </w:r>
          </w:p>
        </w:tc>
        <w:tc>
          <w:tcPr>
            <w:tcW w:w="1600" w:type="dxa"/>
            <w:vAlign w:val="bottom"/>
            <w:tcBorders>
              <w:bottom w:val="single" w:sz="8" w:color="BCBDC0"/>
            </w:tcBorders>
          </w:tcPr>
          <w:p>
            <w:pPr>
              <w:jc w:val="center"/>
              <w:spacing w:after="0"/>
              <w:rPr>
                <w:sz w:val="20"/>
                <w:szCs w:val="20"/>
                <w:color w:val="auto"/>
              </w:rPr>
            </w:pPr>
            <w:r>
              <w:rPr>
                <w:rFonts w:ascii="Arial" w:cs="Arial" w:eastAsia="Arial" w:hAnsi="Arial"/>
                <w:sz w:val="14"/>
                <w:szCs w:val="14"/>
                <w:color w:val="auto"/>
              </w:rPr>
              <w:t>Stable</w:t>
            </w:r>
          </w:p>
        </w:tc>
        <w:tc>
          <w:tcPr>
            <w:tcW w:w="1560" w:type="dxa"/>
            <w:vAlign w:val="bottom"/>
            <w:tcBorders>
              <w:bottom w:val="single" w:sz="8" w:color="BCBDC0"/>
            </w:tcBorders>
          </w:tcPr>
          <w:p>
            <w:pPr>
              <w:jc w:val="center"/>
              <w:ind w:left="88"/>
              <w:spacing w:after="0"/>
              <w:rPr>
                <w:sz w:val="20"/>
                <w:szCs w:val="20"/>
                <w:color w:val="auto"/>
              </w:rPr>
            </w:pPr>
            <w:r>
              <w:rPr>
                <w:rFonts w:ascii="Arial" w:cs="Arial" w:eastAsia="Arial" w:hAnsi="Arial"/>
                <w:sz w:val="14"/>
                <w:szCs w:val="14"/>
                <w:color w:val="auto"/>
              </w:rPr>
              <w:t>Stable</w:t>
            </w:r>
          </w:p>
        </w:tc>
      </w:tr>
      <w:tr>
        <w:trPr>
          <w:trHeight w:val="196"/>
        </w:trPr>
        <w:tc>
          <w:tcPr>
            <w:tcW w:w="388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Short-term</w:t>
            </w:r>
          </w:p>
        </w:tc>
        <w:tc>
          <w:tcPr>
            <w:tcW w:w="4200" w:type="dxa"/>
            <w:vAlign w:val="bottom"/>
            <w:tcBorders>
              <w:bottom w:val="single" w:sz="8" w:color="BCBDC0"/>
            </w:tcBorders>
          </w:tcPr>
          <w:p>
            <w:pPr>
              <w:jc w:val="center"/>
              <w:ind w:left="2508"/>
              <w:spacing w:after="0"/>
              <w:rPr>
                <w:sz w:val="20"/>
                <w:szCs w:val="20"/>
                <w:color w:val="auto"/>
              </w:rPr>
            </w:pPr>
            <w:r>
              <w:rPr>
                <w:rFonts w:ascii="Arial" w:cs="Arial" w:eastAsia="Arial" w:hAnsi="Arial"/>
                <w:sz w:val="14"/>
                <w:szCs w:val="14"/>
                <w:color w:val="auto"/>
              </w:rPr>
              <w:t>A-1</w:t>
            </w:r>
          </w:p>
        </w:tc>
        <w:tc>
          <w:tcPr>
            <w:tcW w:w="1600" w:type="dxa"/>
            <w:vAlign w:val="bottom"/>
            <w:tcBorders>
              <w:bottom w:val="single" w:sz="8" w:color="BCBDC0"/>
            </w:tcBorders>
          </w:tcPr>
          <w:p>
            <w:pPr>
              <w:jc w:val="center"/>
              <w:spacing w:after="0"/>
              <w:rPr>
                <w:sz w:val="20"/>
                <w:szCs w:val="20"/>
                <w:color w:val="auto"/>
              </w:rPr>
            </w:pPr>
            <w:r>
              <w:rPr>
                <w:rFonts w:ascii="Arial" w:cs="Arial" w:eastAsia="Arial" w:hAnsi="Arial"/>
                <w:sz w:val="14"/>
                <w:szCs w:val="14"/>
                <w:color w:val="auto"/>
                <w:w w:val="97"/>
              </w:rPr>
              <w:t>F1</w:t>
            </w:r>
          </w:p>
        </w:tc>
        <w:tc>
          <w:tcPr>
            <w:tcW w:w="1560" w:type="dxa"/>
            <w:vAlign w:val="bottom"/>
            <w:tcBorders>
              <w:bottom w:val="single" w:sz="8" w:color="BCBDC0"/>
            </w:tcBorders>
          </w:tcPr>
          <w:p>
            <w:pPr>
              <w:jc w:val="center"/>
              <w:ind w:left="88"/>
              <w:spacing w:after="0"/>
              <w:rPr>
                <w:sz w:val="20"/>
                <w:szCs w:val="20"/>
                <w:color w:val="auto"/>
              </w:rPr>
            </w:pPr>
            <w:r>
              <w:rPr>
                <w:rFonts w:ascii="Arial" w:cs="Arial" w:eastAsia="Arial" w:hAnsi="Arial"/>
                <w:sz w:val="14"/>
                <w:szCs w:val="14"/>
                <w:color w:val="auto"/>
                <w:w w:val="93"/>
              </w:rPr>
              <w:t>P1</w:t>
            </w:r>
          </w:p>
        </w:tc>
      </w:tr>
      <w:tr>
        <w:trPr>
          <w:trHeight w:val="196"/>
        </w:trPr>
        <w:tc>
          <w:tcPr>
            <w:tcW w:w="3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5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w w:val="93"/>
              </w:rPr>
              <w:t>A2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214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D7282F"/>
            </w:tcBorders>
          </w:tcPr>
          <w:p>
            <w:pPr>
              <w:spacing w:after="0"/>
              <w:rPr>
                <w:sz w:val="17"/>
                <w:szCs w:val="17"/>
                <w:color w:val="auto"/>
              </w:rPr>
            </w:pPr>
          </w:p>
        </w:tc>
      </w:tr>
      <w:tr>
        <w:trPr>
          <w:trHeight w:val="196"/>
        </w:trPr>
        <w:tc>
          <w:tcPr>
            <w:tcW w:w="82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w w:val="96"/>
              </w:rPr>
              <w:t>2021</w:t>
            </w:r>
          </w:p>
        </w:tc>
        <w:tc>
          <w:tcPr>
            <w:tcW w:w="92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Variance</w:t>
            </w:r>
          </w:p>
        </w:tc>
      </w:tr>
      <w:tr>
        <w:trPr>
          <w:trHeight w:val="193"/>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10,959</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14,275</w:t>
            </w:r>
          </w:p>
        </w:tc>
        <w:tc>
          <w:tcPr>
            <w:tcW w:w="400" w:type="dxa"/>
            <w:vAlign w:val="bottom"/>
            <w:tcBorders>
              <w:bottom w:val="single" w:sz="8" w:color="BCBDC0"/>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(3,316)</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Operating activities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spacing w:after="0"/>
              <w:rPr>
                <w:sz w:val="17"/>
                <w:szCs w:val="17"/>
                <w:color w:val="auto"/>
              </w:rPr>
            </w:pP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spacing w:after="0"/>
              <w:rPr>
                <w:sz w:val="17"/>
                <w:szCs w:val="17"/>
                <w:color w:val="auto"/>
              </w:rPr>
            </w:pPr>
          </w:p>
        </w:tc>
        <w:tc>
          <w:tcPr>
            <w:tcW w:w="40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spacing w:after="0"/>
              <w:rPr>
                <w:sz w:val="17"/>
                <w:szCs w:val="17"/>
                <w:color w:val="auto"/>
              </w:rPr>
            </w:pPr>
          </w:p>
        </w:tc>
      </w:tr>
      <w:tr>
        <w:trPr>
          <w:trHeight w:val="196"/>
        </w:trPr>
        <w:tc>
          <w:tcPr>
            <w:tcW w:w="8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Net income attributable to Honeywell</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2,395</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2,857</w:t>
            </w:r>
          </w:p>
        </w:tc>
        <w:tc>
          <w:tcPr>
            <w:tcW w:w="40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8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Noncash adjustments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931</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411</w:t>
            </w:r>
          </w:p>
        </w:tc>
        <w:tc>
          <w:tcPr>
            <w:tcW w:w="40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520</w:t>
            </w:r>
          </w:p>
        </w:tc>
      </w:tr>
      <w:tr>
        <w:trPr>
          <w:trHeight w:val="196"/>
        </w:trPr>
        <w:tc>
          <w:tcPr>
            <w:tcW w:w="8240" w:type="dxa"/>
            <w:vAlign w:val="bottom"/>
            <w:tcBorders>
              <w:bottom w:val="single" w:sz="8" w:color="BCBDC0"/>
            </w:tcBorders>
          </w:tcPr>
          <w:p>
            <w:pPr>
              <w:ind w:left="220"/>
              <w:spacing w:after="0"/>
              <w:rPr>
                <w:sz w:val="20"/>
                <w:szCs w:val="20"/>
                <w:color w:val="auto"/>
              </w:rPr>
            </w:pPr>
            <w:r>
              <w:rPr>
                <w:rFonts w:ascii="Arial" w:cs="Arial" w:eastAsia="Arial" w:hAnsi="Arial"/>
                <w:sz w:val="14"/>
                <w:szCs w:val="14"/>
                <w:color w:val="auto"/>
              </w:rPr>
              <w:t>Changes in working capital</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(1,578)</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4</w:t>
            </w:r>
          </w:p>
        </w:tc>
        <w:tc>
          <w:tcPr>
            <w:tcW w:w="40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(1,582)</w:t>
            </w:r>
          </w:p>
        </w:tc>
      </w:tr>
      <w:tr>
        <w:trPr>
          <w:trHeight w:val="196"/>
        </w:trPr>
        <w:tc>
          <w:tcPr>
            <w:tcW w:w="8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Other operating activities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(923)</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(1,016)</w:t>
            </w:r>
          </w:p>
        </w:tc>
        <w:tc>
          <w:tcPr>
            <w:tcW w:w="4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93</w:t>
            </w:r>
          </w:p>
        </w:tc>
      </w:tr>
      <w:tr>
        <w:trPr>
          <w:trHeight w:val="196"/>
        </w:trPr>
        <w:tc>
          <w:tcPr>
            <w:tcW w:w="8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825</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2,256</w:t>
            </w:r>
          </w:p>
        </w:tc>
        <w:tc>
          <w:tcPr>
            <w:tcW w:w="4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(1,431)</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cash provided by (used for) investing activities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414</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(1,243)</w:t>
            </w:r>
          </w:p>
        </w:tc>
        <w:tc>
          <w:tcPr>
            <w:tcW w:w="40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1,657</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Net cash used for financing activities</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(3,832)</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28"/>
              <w:spacing w:after="0"/>
              <w:rPr>
                <w:sz w:val="20"/>
                <w:szCs w:val="20"/>
                <w:color w:val="auto"/>
              </w:rPr>
            </w:pPr>
            <w:r>
              <w:rPr>
                <w:rFonts w:ascii="Arial" w:cs="Arial" w:eastAsia="Arial" w:hAnsi="Arial"/>
                <w:sz w:val="14"/>
                <w:szCs w:val="14"/>
                <w:color w:val="auto"/>
              </w:rPr>
              <w:t>(3,877)</w:t>
            </w:r>
          </w:p>
        </w:tc>
        <w:tc>
          <w:tcPr>
            <w:tcW w:w="40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45</w:t>
            </w:r>
          </w:p>
        </w:tc>
      </w:tr>
      <w:tr>
        <w:trPr>
          <w:trHeight w:val="196"/>
        </w:trPr>
        <w:tc>
          <w:tcPr>
            <w:tcW w:w="824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BCBDC0"/>
            </w:tcBorders>
          </w:tcPr>
          <w:p>
            <w:pPr>
              <w:spacing w:after="0"/>
              <w:rPr>
                <w:sz w:val="17"/>
                <w:szCs w:val="17"/>
                <w:color w:val="auto"/>
              </w:rPr>
            </w:pPr>
          </w:p>
        </w:tc>
        <w:tc>
          <w:tcPr>
            <w:tcW w:w="78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(118)</w:t>
            </w:r>
          </w:p>
        </w:tc>
        <w:tc>
          <w:tcPr>
            <w:tcW w:w="220" w:type="dxa"/>
            <w:vAlign w:val="bottom"/>
            <w:tcBorders>
              <w:bottom w:val="single" w:sz="8" w:color="BCBDC0"/>
            </w:tcBorders>
          </w:tcPr>
          <w:p>
            <w:pPr>
              <w:spacing w:after="0"/>
              <w:rPr>
                <w:sz w:val="17"/>
                <w:szCs w:val="17"/>
                <w:color w:val="auto"/>
              </w:rPr>
            </w:pPr>
          </w:p>
        </w:tc>
        <w:tc>
          <w:tcPr>
            <w:tcW w:w="740" w:type="dxa"/>
            <w:vAlign w:val="bottom"/>
            <w:tcBorders>
              <w:bottom w:val="single" w:sz="8" w:color="BCBDC0"/>
            </w:tcBorders>
          </w:tcPr>
          <w:p>
            <w:pPr>
              <w:jc w:val="right"/>
              <w:ind w:right="68"/>
              <w:spacing w:after="0"/>
              <w:rPr>
                <w:sz w:val="20"/>
                <w:szCs w:val="20"/>
                <w:color w:val="auto"/>
              </w:rPr>
            </w:pPr>
            <w:r>
              <w:rPr>
                <w:rFonts w:ascii="Arial" w:cs="Arial" w:eastAsia="Arial" w:hAnsi="Arial"/>
                <w:sz w:val="14"/>
                <w:szCs w:val="14"/>
                <w:color w:val="auto"/>
              </w:rPr>
              <w:t>16</w:t>
            </w:r>
          </w:p>
        </w:tc>
        <w:tc>
          <w:tcPr>
            <w:tcW w:w="400" w:type="dxa"/>
            <w:vAlign w:val="bottom"/>
            <w:tcBorders>
              <w:bottom w:val="single" w:sz="8" w:color="BCBDC0"/>
            </w:tcBorders>
          </w:tcPr>
          <w:p>
            <w:pPr>
              <w:spacing w:after="0"/>
              <w:rPr>
                <w:sz w:val="17"/>
                <w:szCs w:val="17"/>
                <w:color w:val="auto"/>
              </w:rPr>
            </w:pPr>
          </w:p>
        </w:tc>
        <w:tc>
          <w:tcPr>
            <w:tcW w:w="52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(134)</w:t>
            </w:r>
          </w:p>
        </w:tc>
      </w:tr>
      <w:tr>
        <w:trPr>
          <w:trHeight w:val="196"/>
        </w:trPr>
        <w:tc>
          <w:tcPr>
            <w:tcW w:w="8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(2,711)</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(2,848)</w:t>
            </w:r>
          </w:p>
        </w:tc>
        <w:tc>
          <w:tcPr>
            <w:tcW w:w="4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137</w:t>
            </w:r>
          </w:p>
        </w:tc>
      </w:tr>
      <w:tr>
        <w:trPr>
          <w:trHeight w:val="199"/>
        </w:trPr>
        <w:tc>
          <w:tcPr>
            <w:tcW w:w="8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8,248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11,427</w:t>
            </w:r>
          </w:p>
        </w:tc>
        <w:tc>
          <w:tcPr>
            <w:tcW w:w="4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(3,179)</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Cash related to operating activities decreased due to an unfavorable impact to working capital and a decrease in net income, partially offset by an increase in noncash adjustments, primarily driven by an increase in repositioning and other charges, and a gain from the 2021 sale of the retail footwear business.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Cash related to investing activities increased by $1,657 million primarily due to a $1,149 million decrease in cash paid for acquisitions, and $360 million increase in cash receipts from settlements of derivative contracts, partially offset by $242 million net increase in investments, and $190 million in proceeds from the 2021 sale of the retail footwear business.</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Cash related to financing activities increased by $45 million primarily due to $746 million decrease in payments of long-term debt, partially offset by $588 million increase in repurchases of common stock and $55 million increase in cash dividends paid.</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our normal operating cash requirements, our principal future cash requirements will be to fund capital expenditures, share repurchases, dividends, strategic acquisitions and debt repayments. On February 12, 2021, the Board of Directors authorized the repurchase of up to a total of $10 billion of Honeywell common stock, which included amounts remaining under, and replaced, the previously approved share repurchase program. During the six months ended June 30, 2022, the Company repurchased common stock of $2,437 million. Refer to the section titled Liquidity and Capital Resources of our 2021 Form 10-K for a discussion of our expected capital expenditures, share repurchases, and dividends for 2022.</w:t>
      </w:r>
    </w:p>
    <w:p>
      <w:pPr>
        <w:spacing w:after="0" w:line="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continue to identify opportunities to improve our liquidity and working capital efficiency, which includes the extension of payment terms with our suppliers and sales of our trade receivables to unaffiliated financial institutions without recourse. The impact of these programs is not material to our overall liquidity.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48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See Note 8 Long-term Debt and Credit Agreements of Notes to Consolidated Financial Statements for additional discussion of items impacting our liquidity.</w:t>
      </w:r>
    </w:p>
    <w:p>
      <w:pPr>
        <w:spacing w:after="0" w:line="3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 See Note 14 Commitments and Contingencies of Notes to Consolidated Financial Statements for further discussion of environmental, asbestos and other litigation matters.</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have been no material changes to our Critical Accounting Estimates presented in our 2021 Annual Report on Form 10-K. For a discussion of the Company’s Critical Accounting Estimates, see the section titled Critical Accounting Estimates in our 2021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See Note 2 Summary of Significant Accounting Policies of Notes to Consolidated Financial Statements for a discussion of recent accounting pronouncements.</w:t>
      </w:r>
    </w:p>
    <w:p>
      <w:pPr>
        <w:spacing w:after="0" w:line="200" w:lineRule="exact"/>
        <w:rPr>
          <w:sz w:val="20"/>
          <w:szCs w:val="20"/>
          <w:color w:val="auto"/>
        </w:rPr>
      </w:pPr>
    </w:p>
    <w:p>
      <w:pPr>
        <w:spacing w:after="0" w:line="337"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0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2021 Annual Report on Form 10-K. As of June 30, 2022, there has been no material change in this information.</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49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50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w:t>
      </w:r>
    </w:p>
    <w:p>
      <w:pPr>
        <w:spacing w:after="0" w:line="31"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b w:val="1"/>
          <w:bCs w:val="1"/>
          <w:color w:val="auto"/>
        </w:rPr>
        <w:t>Note 14 Commitments and Contingencies of Notes to Consolidated Financial Statements</w:t>
      </w:r>
      <w:r>
        <w:rPr>
          <w:rFonts w:ascii="Arial" w:cs="Arial" w:eastAsia="Arial" w:hAnsi="Arial"/>
          <w:sz w:val="16"/>
          <w:szCs w:val="16"/>
          <w:color w:val="auto"/>
        </w:rPr>
        <w:t xml:space="preserve"> for a discussion of environmental, asbestos and other litigation matters.</w:t>
      </w:r>
    </w:p>
    <w:p>
      <w:pPr>
        <w:spacing w:after="0" w:line="6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than as noted below, there have been no material changes to our Risk Factors presented in our 2021 Annual Report on Form 10-K under the section titled Risk Factors. For further discussion of our Risk Factors, refer to the section titled Risk Factors in our 2021 Annual Report on Form 10-K.</w:t>
      </w:r>
    </w:p>
    <w:p>
      <w:pPr>
        <w:spacing w:after="0" w:line="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C202E"/>
        </w:rPr>
        <w:t>A significant percentage of our sales and operations is in non-U.S. jurisdictions and is subject to the economic, political, regulatory, foreign exchange, and other risks of international operations, including those from the ongoing Russia-Ukraine conflict.</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international operations, including U.S. exports, represent more than half of the Company’s sales. Risks related to international operations include exchange control regulations, wage and price controls, antitrust regulations, employment regulations, foreign investment laws, import, export and other trade restrictions (such as sanctions and embargoes), differing levels of protection of intellectual property, acts of industrial espionage, violations by our employees of anti-corruption laws (despite our efforts to mitigate such risk), changes in regulations regarding transactions with state-owned enterprises, nationalization of private enterprises, acts of terrorism, acts of war, civil strife, and our ability to hire and maintain qualified staff and maintain the safety of our employees in these regions. Instability and uncertainties arising from the global geopolitical environment and the evolving international and domestic political, regulatory, and economic landscape, including the potential for changes in global trade policies, such as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U.S. continues to implement certain trade actions, including imposing tariffs on certain goods imported from China and other countries, which has resulted in retaliatory tariffs by China and other countries. Additional tariffs, export controls and sanctions laws imposed by the U.S. on a broader range of imports, or further retaliatory trade measures taken by China or other countries in response, could increase the cost of our products.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response to the conflict between Russia and Ukraine, the U.S. and other countries imposed actions including sanctions, export and import controls, and trade restrictions with respect to Russian and Belarusian governments, government-related entities, and other entities and individuals. Further, the Russian government implemented retaliatory actions against the U.S. and other nation members of the North Atlantic Treaty Organization (NATO) as well as certain other nations. As a result of these governmental actions, in March 2022, we suspended substantially all of our sales, distribution, and service activities in Russia and Belarus (the Suspension), and in June 2022, we decided to wind down our existing businesses and operations in Russia (the Wind down). Given the uncertainty inherent in our remaining obligations related to our contracts with Russian counterparties, we do not believe it is possible to develop estimates of reasonably possible loss in excess of current accruals for these matters. Based on available information to date, the Company's estimate of potential future losses or other contingencies related to the Suspension and Wind down activities, including guarantee payments or any litigation costs or as otherwise related to our Wind down in Russia, could adversely affect the Company's consolidated results of operations in periods recognized but would not be material with respect to the Company's consolidated financial position. As the conflict continues to evolve, existing conditions may worsen, or other impacts, including escalation of the conflict in other regions of Europe, where there is a material portion of our business, increased tension between Russia and the U.S. and other NATO members and other countries, or other impacts that are unknown at this time, could lead to increased charges and could have a material adverse effect on our consolidated financial position. These impacts may result in increased costs or additional</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51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impacts on our operations and may adversely affect our ability to meet contractual and financial obligations, results of operations, and financial condition.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 the extent the current conflict between Russia and Ukraine escalates, it may also negatively impact other risks disclosed in our 2021 Form 10-K and Form 10-Q for the period ended March 31, 2022, and further impact our financial results. Such risks include, but are not limited to, adverse effects on macroeconomic conditions, including inflation and consumer spending; cybersecurity incidents and other disruptions to our information technology infrastructure or that of our customers and suppliers, including disruptions at our cloud computing, server, systems and other third party IT service providers; adverse changes in international trade policies and relations; our ability to implement and execute our business strategy, particularly in Eastern Europe and surrounding regions; disruptions in global supply chains; energy shortages; terrorist activities targeting U.S. government contractors and/or critical infrastructure; our exposure to foreign currency fluctuations; and constraints, volatility, or disruption in the capital markets.</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Operating outside of the U.S.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outside the U.S.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spacing w:after="0" w:line="315"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February 12, 2021, the Board of Directors authorized the repurchase of up to a total of $10 billion of Honeywell common stock, which included amounts remaining under, and replaced, the previously approved share repurchase program.</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quarter ended June 30, 2022, Honeywell purchased 7,510,486 shares of its common stock, par value $1 per share. As of June 30, 2022, $4.7 billion remained available for additional share repurchases. The following table summarizes Honeywell’s purchase of its common stock for the quarter ended June 30, 2022: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460" w:type="dxa"/>
            <w:vAlign w:val="bottom"/>
            <w:tcBorders>
              <w:top w:val="single" w:sz="8" w:color="D7282F"/>
            </w:tcBorders>
          </w:tcPr>
          <w:p>
            <w:pPr>
              <w:spacing w:after="0"/>
              <w:rPr>
                <w:sz w:val="12"/>
                <w:szCs w:val="12"/>
                <w:color w:val="auto"/>
              </w:rPr>
            </w:pPr>
          </w:p>
        </w:tc>
        <w:tc>
          <w:tcPr>
            <w:tcW w:w="2360" w:type="dxa"/>
            <w:vAlign w:val="bottom"/>
            <w:tcBorders>
              <w:top w:val="single" w:sz="8" w:color="D7282F"/>
            </w:tcBorders>
          </w:tcPr>
          <w:p>
            <w:pPr>
              <w:spacing w:after="0"/>
              <w:rPr>
                <w:sz w:val="12"/>
                <w:szCs w:val="12"/>
                <w:color w:val="auto"/>
              </w:rPr>
            </w:pPr>
          </w:p>
        </w:tc>
        <w:tc>
          <w:tcPr>
            <w:tcW w:w="400" w:type="dxa"/>
            <w:vAlign w:val="bottom"/>
            <w:tcBorders>
              <w:top w:val="single" w:sz="8" w:color="D7282F"/>
            </w:tcBorders>
          </w:tcPr>
          <w:p>
            <w:pPr>
              <w:spacing w:after="0"/>
              <w:rPr>
                <w:sz w:val="12"/>
                <w:szCs w:val="12"/>
                <w:color w:val="auto"/>
              </w:rPr>
            </w:pPr>
          </w:p>
        </w:tc>
        <w:tc>
          <w:tcPr>
            <w:tcW w:w="740" w:type="dxa"/>
            <w:vAlign w:val="bottom"/>
            <w:tcBorders>
              <w:top w:val="single" w:sz="8" w:color="D7282F"/>
            </w:tcBorders>
          </w:tcPr>
          <w:p>
            <w:pPr>
              <w:spacing w:after="0"/>
              <w:rPr>
                <w:sz w:val="12"/>
                <w:szCs w:val="12"/>
                <w:color w:val="auto"/>
              </w:rPr>
            </w:pPr>
          </w:p>
        </w:tc>
        <w:tc>
          <w:tcPr>
            <w:tcW w:w="1500" w:type="dxa"/>
            <w:vAlign w:val="bottom"/>
            <w:tcBorders>
              <w:top w:val="single" w:sz="8" w:color="D7282F"/>
            </w:tcBorders>
          </w:tcPr>
          <w:p>
            <w:pPr>
              <w:jc w:val="center"/>
              <w:ind w:right="28"/>
              <w:spacing w:after="0" w:line="149" w:lineRule="exact"/>
              <w:rPr>
                <w:sz w:val="20"/>
                <w:szCs w:val="20"/>
                <w:color w:val="auto"/>
              </w:rPr>
            </w:pPr>
            <w:r>
              <w:rPr>
                <w:rFonts w:ascii="Arial" w:cs="Arial" w:eastAsia="Arial" w:hAnsi="Arial"/>
                <w:sz w:val="14"/>
                <w:szCs w:val="14"/>
                <w:b w:val="1"/>
                <w:bCs w:val="1"/>
                <w:color w:val="auto"/>
              </w:rPr>
              <w:t>Total Number</w:t>
            </w:r>
          </w:p>
        </w:tc>
        <w:tc>
          <w:tcPr>
            <w:tcW w:w="1780" w:type="dxa"/>
            <w:vAlign w:val="bottom"/>
            <w:tcBorders>
              <w:top w:val="single" w:sz="8" w:color="D7282F"/>
            </w:tcBorders>
            <w:gridSpan w:val="2"/>
          </w:tcPr>
          <w:p>
            <w:pPr>
              <w:ind w:left="220"/>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of Shares</w:t>
            </w:r>
          </w:p>
        </w:tc>
        <w:tc>
          <w:tcPr>
            <w:tcW w:w="17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2360" w:type="dxa"/>
            <w:vAlign w:val="bottom"/>
            <w:vMerge w:val="restart"/>
          </w:tcPr>
          <w:p>
            <w:pPr>
              <w:jc w:val="center"/>
              <w:ind w:left="106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Purchased as</w:t>
            </w:r>
          </w:p>
        </w:tc>
        <w:tc>
          <w:tcPr>
            <w:tcW w:w="420" w:type="dxa"/>
            <w:vAlign w:val="bottom"/>
          </w:tcPr>
          <w:p>
            <w:pPr>
              <w:spacing w:after="0"/>
              <w:rPr>
                <w:sz w:val="12"/>
                <w:szCs w:val="12"/>
                <w:color w:val="auto"/>
              </w:rPr>
            </w:pPr>
          </w:p>
        </w:tc>
        <w:tc>
          <w:tcPr>
            <w:tcW w:w="1360" w:type="dxa"/>
            <w:vAlign w:val="bottom"/>
          </w:tcPr>
          <w:p>
            <w:pPr>
              <w:jc w:val="center"/>
              <w:ind w:right="348"/>
              <w:spacing w:after="0" w:line="13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w:t>
            </w:r>
          </w:p>
        </w:tc>
        <w:tc>
          <w:tcPr>
            <w:tcW w:w="15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Part of Publicly</w:t>
            </w: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Purchased Under Plans</w:t>
            </w:r>
          </w:p>
        </w:tc>
        <w:tc>
          <w:tcPr>
            <w:tcW w:w="0" w:type="dxa"/>
            <w:vAlign w:val="bottom"/>
          </w:tcPr>
          <w:p>
            <w:pPr>
              <w:spacing w:after="0"/>
              <w:rPr>
                <w:sz w:val="1"/>
                <w:szCs w:val="1"/>
                <w:color w:val="auto"/>
              </w:rPr>
            </w:pPr>
          </w:p>
        </w:tc>
      </w:tr>
      <w:tr>
        <w:trPr>
          <w:trHeight w:val="144"/>
        </w:trPr>
        <w:tc>
          <w:tcPr>
            <w:tcW w:w="4460" w:type="dxa"/>
            <w:vAlign w:val="bottom"/>
          </w:tcPr>
          <w:p>
            <w:pPr>
              <w:spacing w:after="0"/>
              <w:rPr>
                <w:sz w:val="12"/>
                <w:szCs w:val="12"/>
                <w:color w:val="auto"/>
              </w:rPr>
            </w:pPr>
          </w:p>
        </w:tc>
        <w:tc>
          <w:tcPr>
            <w:tcW w:w="2360" w:type="dxa"/>
            <w:vAlign w:val="bottom"/>
          </w:tcPr>
          <w:p>
            <w:pPr>
              <w:jc w:val="center"/>
              <w:ind w:left="1088"/>
              <w:spacing w:after="0" w:line="145" w:lineRule="exact"/>
              <w:rPr>
                <w:sz w:val="20"/>
                <w:szCs w:val="20"/>
                <w:color w:val="auto"/>
              </w:rPr>
            </w:pPr>
            <w:r>
              <w:rPr>
                <w:rFonts w:ascii="Arial" w:cs="Arial" w:eastAsia="Arial" w:hAnsi="Arial"/>
                <w:sz w:val="14"/>
                <w:szCs w:val="14"/>
                <w:b w:val="1"/>
                <w:bCs w:val="1"/>
                <w:color w:val="auto"/>
              </w:rPr>
              <w:t>Number of</w:t>
            </w:r>
          </w:p>
        </w:tc>
        <w:tc>
          <w:tcPr>
            <w:tcW w:w="1140" w:type="dxa"/>
            <w:vAlign w:val="bottom"/>
            <w:gridSpan w:val="2"/>
            <w:vMerge w:val="continue"/>
          </w:tcPr>
          <w:p>
            <w:pPr>
              <w:spacing w:after="0"/>
              <w:rPr>
                <w:sz w:val="12"/>
                <w:szCs w:val="12"/>
                <w:color w:val="auto"/>
              </w:rPr>
            </w:pPr>
          </w:p>
        </w:tc>
        <w:tc>
          <w:tcPr>
            <w:tcW w:w="15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Announced</w:t>
            </w:r>
          </w:p>
        </w:tc>
        <w:tc>
          <w:tcPr>
            <w:tcW w:w="420" w:type="dxa"/>
            <w:vAlign w:val="bottom"/>
          </w:tcPr>
          <w:p>
            <w:pPr>
              <w:spacing w:after="0"/>
              <w:rPr>
                <w:sz w:val="12"/>
                <w:szCs w:val="12"/>
                <w:color w:val="auto"/>
              </w:rPr>
            </w:pPr>
          </w:p>
        </w:tc>
        <w:tc>
          <w:tcPr>
            <w:tcW w:w="1360" w:type="dxa"/>
            <w:vAlign w:val="bottom"/>
          </w:tcPr>
          <w:p>
            <w:pPr>
              <w:jc w:val="center"/>
              <w:ind w:right="348"/>
              <w:spacing w:after="0" w:line="145"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8"/>
        </w:trPr>
        <w:tc>
          <w:tcPr>
            <w:tcW w:w="446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Period</w:t>
            </w:r>
          </w:p>
        </w:tc>
        <w:tc>
          <w:tcPr>
            <w:tcW w:w="2360" w:type="dxa"/>
            <w:vAlign w:val="bottom"/>
          </w:tcPr>
          <w:p>
            <w:pPr>
              <w:jc w:val="center"/>
              <w:ind w:left="1088"/>
              <w:spacing w:after="0" w:line="149"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Price Paid</w:t>
            </w:r>
          </w:p>
        </w:tc>
        <w:tc>
          <w:tcPr>
            <w:tcW w:w="15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Plans</w:t>
            </w:r>
          </w:p>
        </w:tc>
        <w:tc>
          <w:tcPr>
            <w:tcW w:w="420" w:type="dxa"/>
            <w:vAlign w:val="bottom"/>
          </w:tcPr>
          <w:p>
            <w:pPr>
              <w:spacing w:after="0"/>
              <w:rPr>
                <w:sz w:val="12"/>
                <w:szCs w:val="12"/>
                <w:color w:val="auto"/>
              </w:rPr>
            </w:pPr>
          </w:p>
        </w:tc>
        <w:tc>
          <w:tcPr>
            <w:tcW w:w="1360" w:type="dxa"/>
            <w:vAlign w:val="bottom"/>
          </w:tcPr>
          <w:p>
            <w:pPr>
              <w:jc w:val="center"/>
              <w:ind w:right="348"/>
              <w:spacing w:after="0" w:line="14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D7282F"/>
            </w:tcBorders>
            <w:vMerge w:val="continue"/>
          </w:tcPr>
          <w:p>
            <w:pPr>
              <w:spacing w:after="0"/>
              <w:rPr>
                <w:sz w:val="16"/>
                <w:szCs w:val="16"/>
                <w:color w:val="auto"/>
              </w:rPr>
            </w:pPr>
          </w:p>
        </w:tc>
        <w:tc>
          <w:tcPr>
            <w:tcW w:w="2360" w:type="dxa"/>
            <w:vAlign w:val="bottom"/>
            <w:tcBorders>
              <w:bottom w:val="single" w:sz="8" w:color="D7282F"/>
            </w:tcBorders>
          </w:tcPr>
          <w:p>
            <w:pPr>
              <w:jc w:val="center"/>
              <w:ind w:left="1068"/>
              <w:spacing w:after="0"/>
              <w:rPr>
                <w:sz w:val="20"/>
                <w:szCs w:val="20"/>
                <w:color w:val="auto"/>
              </w:rPr>
            </w:pPr>
            <w:r>
              <w:rPr>
                <w:rFonts w:ascii="Arial" w:cs="Arial" w:eastAsia="Arial" w:hAnsi="Arial"/>
                <w:sz w:val="14"/>
                <w:szCs w:val="14"/>
                <w:b w:val="1"/>
                <w:bCs w:val="1"/>
                <w:color w:val="auto"/>
              </w:rPr>
              <w:t>Purchased</w:t>
            </w:r>
          </w:p>
        </w:tc>
        <w:tc>
          <w:tcPr>
            <w:tcW w:w="114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per Share</w:t>
            </w:r>
          </w:p>
        </w:tc>
        <w:tc>
          <w:tcPr>
            <w:tcW w:w="150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or Programs</w:t>
            </w:r>
          </w:p>
        </w:tc>
        <w:tc>
          <w:tcPr>
            <w:tcW w:w="17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April 1-30, 2022</w:t>
            </w:r>
          </w:p>
        </w:tc>
        <w:tc>
          <w:tcPr>
            <w:tcW w:w="23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335,486</w:t>
            </w: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189.09</w:t>
            </w:r>
          </w:p>
        </w:tc>
        <w:tc>
          <w:tcPr>
            <w:tcW w:w="15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335,486</w:t>
            </w:r>
          </w:p>
        </w:tc>
        <w:tc>
          <w:tcPr>
            <w:tcW w:w="42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6,024</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May 1-31, 2022</w:t>
            </w:r>
          </w:p>
        </w:tc>
        <w:tc>
          <w:tcPr>
            <w:tcW w:w="2360" w:type="dxa"/>
            <w:vAlign w:val="bottom"/>
            <w:tcBorders>
              <w:bottom w:val="single" w:sz="8" w:color="BCBDC0"/>
            </w:tcBorders>
          </w:tcPr>
          <w:p>
            <w:pPr>
              <w:jc w:val="right"/>
              <w:ind w:right="48"/>
              <w:spacing w:after="0"/>
              <w:rPr>
                <w:sz w:val="20"/>
                <w:szCs w:val="20"/>
                <w:color w:val="auto"/>
              </w:rPr>
            </w:pPr>
            <w:r>
              <w:rPr>
                <w:rFonts w:ascii="Arial" w:cs="Arial" w:eastAsia="Arial" w:hAnsi="Arial"/>
                <w:sz w:val="14"/>
                <w:szCs w:val="14"/>
                <w:color w:val="auto"/>
              </w:rPr>
              <w:t>2,900,000</w:t>
            </w:r>
          </w:p>
        </w:tc>
        <w:tc>
          <w:tcPr>
            <w:tcW w:w="400" w:type="dxa"/>
            <w:vAlign w:val="bottom"/>
            <w:tcBorders>
              <w:bottom w:val="single" w:sz="8" w:color="BCBDC0"/>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BCBDC0"/>
            </w:tcBorders>
          </w:tcPr>
          <w:p>
            <w:pPr>
              <w:jc w:val="right"/>
              <w:ind w:right="108"/>
              <w:spacing w:after="0"/>
              <w:rPr>
                <w:sz w:val="20"/>
                <w:szCs w:val="20"/>
                <w:color w:val="auto"/>
              </w:rPr>
            </w:pPr>
            <w:r>
              <w:rPr>
                <w:rFonts w:ascii="Arial" w:cs="Arial" w:eastAsia="Arial" w:hAnsi="Arial"/>
                <w:sz w:val="14"/>
                <w:szCs w:val="14"/>
                <w:color w:val="auto"/>
              </w:rPr>
              <w:t>194.21</w:t>
            </w:r>
          </w:p>
        </w:tc>
        <w:tc>
          <w:tcPr>
            <w:tcW w:w="150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2,900,000</w:t>
            </w:r>
          </w:p>
        </w:tc>
        <w:tc>
          <w:tcPr>
            <w:tcW w:w="42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CBDC0"/>
            </w:tcBorders>
          </w:tcPr>
          <w:p>
            <w:pPr>
              <w:jc w:val="right"/>
              <w:spacing w:after="0"/>
              <w:rPr>
                <w:sz w:val="20"/>
                <w:szCs w:val="20"/>
                <w:color w:val="auto"/>
              </w:rPr>
            </w:pPr>
            <w:r>
              <w:rPr>
                <w:rFonts w:ascii="Arial" w:cs="Arial" w:eastAsia="Arial" w:hAnsi="Arial"/>
                <w:sz w:val="14"/>
                <w:szCs w:val="14"/>
                <w:color w:val="auto"/>
              </w:rPr>
              <w:t>5,461</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June 1-30, 2022</w:t>
            </w:r>
          </w:p>
        </w:tc>
        <w:tc>
          <w:tcPr>
            <w:tcW w:w="23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4,275,000</w:t>
            </w:r>
          </w:p>
        </w:tc>
        <w:tc>
          <w:tcPr>
            <w:tcW w:w="40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185.31</w:t>
            </w:r>
          </w:p>
        </w:tc>
        <w:tc>
          <w:tcPr>
            <w:tcW w:w="1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4,275,000</w:t>
            </w:r>
          </w:p>
        </w:tc>
        <w:tc>
          <w:tcPr>
            <w:tcW w:w="42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52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53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00" w:type="dxa"/>
            <w:vAlign w:val="bottom"/>
            <w:tcBorders>
              <w:bottom w:val="single" w:sz="8" w:color="BCBDC0"/>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10140" w:type="dxa"/>
            <w:vAlign w:val="bottom"/>
            <w:tcBorders>
              <w:bottom w:val="single" w:sz="8" w:color="BCBDC0"/>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93"/>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31.1</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31.2</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10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10140" w:type="dxa"/>
            <w:vAlign w:val="bottom"/>
          </w:tcPr>
          <w:p>
            <w:pPr>
              <w:ind w:left="24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100" w:type="dxa"/>
            <w:vAlign w:val="bottom"/>
            <w:tcBorders>
              <w:bottom w:val="single" w:sz="8" w:color="BCBDC0"/>
            </w:tcBorders>
          </w:tcPr>
          <w:p>
            <w:pPr>
              <w:spacing w:after="0"/>
              <w:rPr>
                <w:sz w:val="16"/>
                <w:szCs w:val="16"/>
                <w:color w:val="auto"/>
              </w:rPr>
            </w:pP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(furnished herewith)</w:t>
            </w:r>
          </w:p>
        </w:tc>
      </w:tr>
      <w:tr>
        <w:trPr>
          <w:trHeight w:val="142"/>
        </w:trPr>
        <w:tc>
          <w:tcPr>
            <w:tcW w:w="110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10140" w:type="dxa"/>
            <w:vAlign w:val="bottom"/>
          </w:tcPr>
          <w:p>
            <w:pPr>
              <w:ind w:left="24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100" w:type="dxa"/>
            <w:vAlign w:val="bottom"/>
            <w:tcBorders>
              <w:bottom w:val="single" w:sz="8" w:color="BCBDC0"/>
            </w:tcBorders>
          </w:tcPr>
          <w:p>
            <w:pPr>
              <w:spacing w:after="0"/>
              <w:rPr>
                <w:sz w:val="16"/>
                <w:szCs w:val="16"/>
                <w:color w:val="auto"/>
              </w:rPr>
            </w:pP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(furnished herewith)</w:t>
            </w:r>
          </w:p>
        </w:tc>
      </w:tr>
      <w:tr>
        <w:trPr>
          <w:trHeight w:val="192"/>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95</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10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10140" w:type="dxa"/>
            <w:vAlign w:val="bottom"/>
          </w:tcPr>
          <w:p>
            <w:pPr>
              <w:ind w:left="24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 Inline</w:t>
            </w:r>
          </w:p>
        </w:tc>
      </w:tr>
      <w:tr>
        <w:trPr>
          <w:trHeight w:val="189"/>
        </w:trPr>
        <w:tc>
          <w:tcPr>
            <w:tcW w:w="1100" w:type="dxa"/>
            <w:vAlign w:val="bottom"/>
            <w:tcBorders>
              <w:bottom w:val="single" w:sz="8" w:color="BCBDC0"/>
            </w:tcBorders>
          </w:tcPr>
          <w:p>
            <w:pPr>
              <w:spacing w:after="0"/>
              <w:rPr>
                <w:sz w:val="16"/>
                <w:szCs w:val="16"/>
                <w:color w:val="auto"/>
              </w:rPr>
            </w:pP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XBRL document)</w:t>
            </w:r>
          </w:p>
        </w:tc>
      </w:tr>
      <w:tr>
        <w:trPr>
          <w:trHeight w:val="192"/>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101.SCH</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101.CAL</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101.DEF</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101.LAB</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101.PRE</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96"/>
        </w:trPr>
        <w:tc>
          <w:tcPr>
            <w:tcW w:w="1100" w:type="dxa"/>
            <w:vAlign w:val="bottom"/>
            <w:tcBorders>
              <w:bottom w:val="single" w:sz="8" w:color="BCBDC0"/>
            </w:tcBorders>
          </w:tcPr>
          <w:p>
            <w:pPr>
              <w:ind w:left="20"/>
              <w:spacing w:after="0"/>
              <w:rPr>
                <w:sz w:val="20"/>
                <w:szCs w:val="20"/>
                <w:color w:val="auto"/>
              </w:rPr>
            </w:pPr>
            <w:r>
              <w:rPr>
                <w:rFonts w:ascii="Arial" w:cs="Arial" w:eastAsia="Arial" w:hAnsi="Arial"/>
                <w:sz w:val="14"/>
                <w:szCs w:val="14"/>
                <w:color w:val="auto"/>
              </w:rPr>
              <w:t>104</w:t>
            </w:r>
          </w:p>
        </w:tc>
        <w:tc>
          <w:tcPr>
            <w:tcW w:w="10140" w:type="dxa"/>
            <w:vAlign w:val="bottom"/>
            <w:tcBorders>
              <w:bottom w:val="single" w:sz="8" w:color="BCBDC0"/>
            </w:tcBorders>
          </w:tcPr>
          <w:p>
            <w:pPr>
              <w:ind w:left="24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54 </w:t>
      </w:r>
      <w:r>
        <w:rPr>
          <w:rFonts w:ascii="Arial" w:cs="Arial" w:eastAsia="Arial" w:hAnsi="Arial"/>
          <w:sz w:val="14"/>
          <w:szCs w:val="14"/>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9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July 28,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D7282F"/>
        </w:rPr>
        <w:t xml:space="preserve">55 </w:t>
      </w:r>
      <w:r>
        <w:rPr>
          <w:rFonts w:ascii="Arial" w:cs="Arial" w:eastAsia="Arial" w:hAnsi="Arial"/>
          <w:sz w:val="14"/>
          <w:szCs w:val="14"/>
          <w:color w:val="000000"/>
        </w:rPr>
        <w:t>Honeywell International Inc.</w:t>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266" w:lineRule="exact"/>
        <w:rPr>
          <w:sz w:val="20"/>
          <w:szCs w:val="20"/>
          <w:color w:val="auto"/>
        </w:rPr>
      </w:pPr>
    </w:p>
    <w:p>
      <w:pPr>
        <w:ind w:left="360" w:hanging="334"/>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July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Darius Adamczyk</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July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2022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480" w:type="dxa"/>
            <w:vAlign w:val="bottom"/>
          </w:tcPr>
          <w:p>
            <w:pPr>
              <w:spacing w:after="0"/>
              <w:rPr>
                <w:sz w:val="20"/>
                <w:szCs w:val="20"/>
                <w:color w:val="auto"/>
              </w:rPr>
            </w:pPr>
            <w:r>
              <w:rPr>
                <w:rFonts w:ascii="Arial" w:cs="Arial" w:eastAsia="Arial" w:hAnsi="Arial"/>
                <w:sz w:val="18"/>
                <w:szCs w:val="18"/>
                <w:color w:val="auto"/>
              </w:rPr>
              <w:t>Date: July 28, 2022</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Darius Adamczyk</w:t>
            </w:r>
          </w:p>
        </w:tc>
      </w:tr>
      <w:tr>
        <w:trPr>
          <w:trHeight w:val="218"/>
        </w:trPr>
        <w:tc>
          <w:tcPr>
            <w:tcW w:w="3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Darius Adamczyk</w:t>
            </w:r>
          </w:p>
        </w:tc>
      </w:tr>
      <w:tr>
        <w:trPr>
          <w:trHeight w:val="239"/>
        </w:trPr>
        <w:tc>
          <w:tcPr>
            <w:tcW w:w="3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9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2022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480" w:type="dxa"/>
            <w:vAlign w:val="bottom"/>
          </w:tcPr>
          <w:p>
            <w:pPr>
              <w:spacing w:after="0"/>
              <w:rPr>
                <w:sz w:val="20"/>
                <w:szCs w:val="20"/>
                <w:color w:val="auto"/>
              </w:rPr>
            </w:pPr>
            <w:r>
              <w:rPr>
                <w:rFonts w:ascii="Arial" w:cs="Arial" w:eastAsia="Arial" w:hAnsi="Arial"/>
                <w:sz w:val="18"/>
                <w:szCs w:val="18"/>
                <w:color w:val="auto"/>
              </w:rPr>
              <w:t>Date: July 28, 2022</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18"/>
        </w:trPr>
        <w:tc>
          <w:tcPr>
            <w:tcW w:w="3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39"/>
        </w:trPr>
        <w:tc>
          <w:tcPr>
            <w:tcW w:w="3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June 30, 2022,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June 30, 2022,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2022-07-28T08:21:13Z</dcterms:created>
  <dcterms:modified xsi:type="dcterms:W3CDTF">2022-07-28T08:21:13Z</dcterms:modified>
</cp:coreProperties>
</file>