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355.xml.htm"/>
      <w:bookmarkStart w:id="1" w:name="kswkform4_17912313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ANGOVE DUNCAN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3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921"/>
        <w:gridCol w:w="276"/>
        <w:gridCol w:w="906"/>
        <w:gridCol w:w="801"/>
        <w:gridCol w:w="891"/>
        <w:gridCol w:w="1041"/>
        <w:gridCol w:w="801"/>
        <w:gridCol w:w="1071"/>
        <w:gridCol w:w="831"/>
        <w:gridCol w:w="846"/>
      </w:tblGrid>
      <w:tr>
        <w:trPr>
          <w:tblHeader w:val="true"/>
        </w:trPr>
        <w:tc>
          <w:tcPr>
            <w:tcW w:w="131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163.7037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163.7037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213.8</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5,088.8742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Deferred Compensation (Phantom Shares) are allocated based on the price of Common Stock on the contribution date by dividing the dollar amount of the contribution by the price per share of Common Stock. Common Stock prices are based on the mean of the highest and lowest sales price on the last trading day before the contribution or settlement. Phantom Shares are settled in cash based on the price of Common Stock at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Phantom shares are accrued under the Deferred Compensation Plan for Non-Employee Directors and will be settled in cash based on elections by the Reporting Person as permitted under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Duncan Angove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5356"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3637</Characters>
  <CharactersWithSpaces>4238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