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2015</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80" w:type="dxa"/>
        <w:tblCellMar>
          <w:top w:w="0" w:type="dxa"/>
          <w:left w:w="0" w:type="dxa"/>
          <w:bottom w:w="0" w:type="dxa"/>
          <w:right w:w="0" w:type="dxa"/>
        </w:tblCellMar>
      </w:tblPr>
      <w:tr>
        <w:trPr>
          <w:trHeight w:val="217"/>
        </w:trPr>
        <w:tc>
          <w:tcPr>
            <w:tcW w:w="570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Delaware</w:t>
            </w:r>
          </w:p>
        </w:tc>
        <w:tc>
          <w:tcPr>
            <w:tcW w:w="4580" w:type="dxa"/>
            <w:vAlign w:val="bottom"/>
          </w:tcPr>
          <w:p>
            <w:pPr>
              <w:jc w:val="right"/>
              <w:ind w:right="1710"/>
              <w:spacing w:after="0"/>
              <w:rPr>
                <w:sz w:val="20"/>
                <w:szCs w:val="20"/>
                <w:color w:val="auto"/>
              </w:rPr>
            </w:pPr>
            <w:r>
              <w:rPr>
                <w:rFonts w:ascii="Arial" w:cs="Arial" w:eastAsia="Arial" w:hAnsi="Arial"/>
                <w:sz w:val="18"/>
                <w:szCs w:val="18"/>
                <w:color w:val="auto"/>
              </w:rPr>
              <w:t>22-2640650</w:t>
            </w:r>
          </w:p>
        </w:tc>
      </w:tr>
      <w:tr>
        <w:trPr>
          <w:trHeight w:val="195"/>
        </w:trPr>
        <w:tc>
          <w:tcPr>
            <w:tcW w:w="4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(State or other jurisdiction of</w:t>
            </w:r>
          </w:p>
        </w:tc>
        <w:tc>
          <w:tcPr>
            <w:tcW w:w="1120" w:type="dxa"/>
            <w:vAlign w:val="bottom"/>
          </w:tcPr>
          <w:p>
            <w:pPr>
              <w:spacing w:after="0"/>
              <w:rPr>
                <w:sz w:val="16"/>
                <w:szCs w:val="16"/>
                <w:color w:val="auto"/>
              </w:rPr>
            </w:pPr>
          </w:p>
        </w:tc>
        <w:tc>
          <w:tcPr>
            <w:tcW w:w="4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incorporation or organization)</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418"/>
        </w:trPr>
        <w:tc>
          <w:tcPr>
            <w:tcW w:w="570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101 Columbia Road</w:t>
            </w:r>
          </w:p>
        </w:tc>
        <w:tc>
          <w:tcPr>
            <w:tcW w:w="4580" w:type="dxa"/>
            <w:vAlign w:val="bottom"/>
          </w:tcPr>
          <w:p>
            <w:pPr>
              <w:spacing w:after="0"/>
              <w:rPr>
                <w:sz w:val="24"/>
                <w:szCs w:val="24"/>
                <w:color w:val="auto"/>
              </w:rPr>
            </w:pPr>
          </w:p>
        </w:tc>
      </w:tr>
      <w:tr>
        <w:trPr>
          <w:trHeight w:val="203"/>
        </w:trPr>
        <w:tc>
          <w:tcPr>
            <w:tcW w:w="5700" w:type="dxa"/>
            <w:vAlign w:val="bottom"/>
            <w:gridSpan w:val="2"/>
          </w:tcPr>
          <w:p>
            <w:pPr>
              <w:jc w:val="center"/>
              <w:ind w:right="1120"/>
              <w:spacing w:after="0" w:line="203" w:lineRule="exact"/>
              <w:rPr>
                <w:sz w:val="20"/>
                <w:szCs w:val="20"/>
                <w:color w:val="auto"/>
              </w:rPr>
            </w:pPr>
            <w:r>
              <w:rPr>
                <w:rFonts w:ascii="Arial" w:cs="Arial" w:eastAsia="Arial" w:hAnsi="Arial"/>
                <w:sz w:val="18"/>
                <w:szCs w:val="18"/>
                <w:color w:val="auto"/>
                <w:w w:val="99"/>
              </w:rPr>
              <w:t>Morris Township, New Jersey</w:t>
            </w:r>
          </w:p>
        </w:tc>
        <w:tc>
          <w:tcPr>
            <w:tcW w:w="4580" w:type="dxa"/>
            <w:vAlign w:val="bottom"/>
          </w:tcPr>
          <w:p>
            <w:pPr>
              <w:jc w:val="right"/>
              <w:ind w:right="1950"/>
              <w:spacing w:after="0" w:line="203" w:lineRule="exact"/>
              <w:rPr>
                <w:sz w:val="20"/>
                <w:szCs w:val="20"/>
                <w:color w:val="auto"/>
              </w:rPr>
            </w:pPr>
            <w:r>
              <w:rPr>
                <w:rFonts w:ascii="Arial" w:cs="Arial" w:eastAsia="Arial" w:hAnsi="Arial"/>
                <w:sz w:val="18"/>
                <w:szCs w:val="18"/>
                <w:color w:val="auto"/>
              </w:rPr>
              <w:t>07962</w:t>
            </w:r>
          </w:p>
        </w:tc>
      </w:tr>
      <w:tr>
        <w:trPr>
          <w:trHeight w:val="210"/>
        </w:trPr>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120" w:type="dxa"/>
            <w:vAlign w:val="bottom"/>
          </w:tcPr>
          <w:p>
            <w:pPr>
              <w:spacing w:after="0"/>
              <w:rPr>
                <w:sz w:val="18"/>
                <w:szCs w:val="18"/>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(973)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6350</wp:posOffset>
            </wp:positionV>
            <wp:extent cx="507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6350</wp:posOffset>
            </wp:positionV>
            <wp:extent cx="5076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ind w:left="3580"/>
        <w:spacing w:after="0"/>
        <w:rPr>
          <w:sz w:val="20"/>
          <w:szCs w:val="20"/>
          <w:color w:val="auto"/>
        </w:rPr>
      </w:pPr>
      <w:r>
        <w:rPr>
          <w:rFonts w:ascii="Arial" w:cs="Arial" w:eastAsia="Arial" w:hAnsi="Arial"/>
          <w:sz w:val="18"/>
          <w:szCs w:val="18"/>
          <w:color w:val="auto"/>
        </w:rPr>
        <w:t>(Former name, former address and former fiscal year,</w:t>
      </w:r>
    </w:p>
    <w:p>
      <w:pPr>
        <w:jc w:val="center"/>
        <w:ind w:right="-19"/>
        <w:spacing w:after="0"/>
        <w:rPr>
          <w:sz w:val="20"/>
          <w:szCs w:val="20"/>
          <w:color w:val="auto"/>
        </w:rPr>
      </w:pPr>
      <w:r>
        <w:rPr>
          <w:rFonts w:ascii="Arial" w:cs="Arial" w:eastAsia="Arial" w:hAnsi="Arial"/>
          <w:sz w:val="18"/>
          <w:szCs w:val="18"/>
          <w:color w:val="auto"/>
        </w:rPr>
        <w:t>if changed since last report)</w:t>
      </w:r>
    </w:p>
    <w:p>
      <w:pPr>
        <w:spacing w:after="0" w:line="21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781,762,407 shares of Common Stock outstanding at June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532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380" w:type="dxa"/>
            <w:vAlign w:val="bottom"/>
            <w:gridSpan w:val="2"/>
          </w:tcPr>
          <w:p>
            <w:pPr>
              <w:ind w:left="2600"/>
              <w:spacing w:after="0"/>
              <w:rPr>
                <w:sz w:val="20"/>
                <w:szCs w:val="20"/>
                <w:color w:val="auto"/>
              </w:rPr>
            </w:pPr>
            <w:r>
              <w:rPr>
                <w:rFonts w:ascii="Arial" w:cs="Arial" w:eastAsia="Arial" w:hAnsi="Arial"/>
                <w:sz w:val="18"/>
                <w:szCs w:val="18"/>
                <w:b w:val="1"/>
                <w:bCs w:val="1"/>
                <w:color w:val="auto"/>
                <w:w w:val="98"/>
              </w:rPr>
              <w:t>Page No.</w:t>
            </w:r>
          </w:p>
        </w:tc>
      </w:tr>
      <w:tr>
        <w:trPr>
          <w:trHeight w:val="406"/>
        </w:trPr>
        <w:tc>
          <w:tcPr>
            <w:tcW w:w="5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6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w:t>
              </w:r>
            </w:hyperlink>
          </w:p>
        </w:tc>
        <w:tc>
          <w:tcPr>
            <w:tcW w:w="3500" w:type="dxa"/>
            <w:vAlign w:val="bottom"/>
            <w:gridSpan w:val="12"/>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405"/>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w:t>
              </w:r>
            </w:hyperlink>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0" w:type="dxa"/>
            <w:vAlign w:val="bottom"/>
            <w:tcBorders>
              <w:bottom w:val="single" w:sz="8" w:color="0000EE"/>
            </w:tcBorders>
            <w:gridSpan w:val="13"/>
          </w:tcPr>
          <w:p>
            <w:pPr>
              <w:ind w:left="60"/>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Three and Six Months Ended June 30, 2015 and 2014</w:t>
              </w:r>
            </w:hyperlink>
          </w:p>
        </w:tc>
        <w:tc>
          <w:tcPr>
            <w:tcW w:w="660" w:type="dxa"/>
            <w:vAlign w:val="bottom"/>
          </w:tcPr>
          <w:p>
            <w:pPr>
              <w:spacing w:after="0"/>
              <w:rPr>
                <w:sz w:val="15"/>
                <w:szCs w:val="15"/>
                <w:color w:val="auto"/>
              </w:rPr>
            </w:pPr>
          </w:p>
        </w:tc>
        <w:tc>
          <w:tcPr>
            <w:tcW w:w="3380" w:type="dxa"/>
            <w:vAlign w:val="bottom"/>
            <w:gridSpan w:val="2"/>
          </w:tcPr>
          <w:p>
            <w:pPr>
              <w:jc w:val="center"/>
              <w:ind w:left="2510"/>
              <w:spacing w:after="0" w:line="182" w:lineRule="exact"/>
              <w:rPr>
                <w:sz w:val="20"/>
                <w:szCs w:val="20"/>
                <w:color w:val="auto"/>
              </w:rPr>
            </w:pPr>
            <w:r>
              <w:rPr>
                <w:rFonts w:ascii="Arial" w:cs="Arial" w:eastAsia="Arial" w:hAnsi="Arial"/>
                <w:sz w:val="18"/>
                <w:szCs w:val="18"/>
                <w:color w:val="auto"/>
                <w:w w:val="99"/>
              </w:rPr>
              <w:t>3</w:t>
            </w: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w:t>
              </w:r>
            </w:hyperlink>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Borders>
              <w:bottom w:val="single" w:sz="8" w:color="0000EE"/>
            </w:tcBorders>
            <w:gridSpan w:val="12"/>
          </w:tcPr>
          <w:p>
            <w:pPr>
              <w:ind w:left="60"/>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Three and Six Months Ended June 30, 2015 and 2014</w:t>
              </w:r>
            </w:hyperlink>
          </w:p>
        </w:tc>
        <w:tc>
          <w:tcPr>
            <w:tcW w:w="680" w:type="dxa"/>
            <w:vAlign w:val="bottom"/>
            <w:gridSpan w:val="2"/>
          </w:tcPr>
          <w:p>
            <w:pPr>
              <w:spacing w:after="0"/>
              <w:rPr>
                <w:sz w:val="15"/>
                <w:szCs w:val="15"/>
                <w:color w:val="auto"/>
              </w:rPr>
            </w:pPr>
          </w:p>
        </w:tc>
        <w:tc>
          <w:tcPr>
            <w:tcW w:w="3380" w:type="dxa"/>
            <w:vAlign w:val="bottom"/>
            <w:gridSpan w:val="2"/>
          </w:tcPr>
          <w:p>
            <w:pPr>
              <w:jc w:val="center"/>
              <w:ind w:left="2510"/>
              <w:spacing w:after="0" w:line="182" w:lineRule="exact"/>
              <w:rPr>
                <w:sz w:val="20"/>
                <w:szCs w:val="20"/>
                <w:color w:val="auto"/>
              </w:rPr>
            </w:pPr>
            <w:r>
              <w:rPr>
                <w:rFonts w:ascii="Arial" w:cs="Arial" w:eastAsia="Arial" w:hAnsi="Arial"/>
                <w:sz w:val="18"/>
                <w:szCs w:val="18"/>
                <w:color w:val="auto"/>
                <w:w w:val="99"/>
              </w:rPr>
              <w:t>4</w:t>
            </w: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w:t>
              </w:r>
            </w:hyperlink>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180" w:type="dxa"/>
            <w:vAlign w:val="bottom"/>
            <w:tcBorders>
              <w:top w:val="single" w:sz="8" w:color="0000EE"/>
              <w:bottom w:val="single" w:sz="8" w:color="0000EE"/>
            </w:tcBorders>
            <w:gridSpan w:val="5"/>
          </w:tcPr>
          <w:p>
            <w:pPr>
              <w:ind w:left="60"/>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June 30, 2015 and December 31, 2014</w:t>
              </w:r>
            </w:hyperlink>
          </w:p>
        </w:tc>
        <w:tc>
          <w:tcPr>
            <w:tcW w:w="20" w:type="dxa"/>
            <w:vAlign w:val="bottom"/>
            <w:tcBorders>
              <w:top w:val="single" w:sz="8" w:color="0000EE"/>
            </w:tcBorders>
          </w:tcPr>
          <w:p>
            <w:pPr>
              <w:spacing w:after="0"/>
              <w:rPr>
                <w:sz w:val="15"/>
                <w:szCs w:val="15"/>
                <w:color w:val="auto"/>
              </w:rPr>
            </w:pPr>
          </w:p>
        </w:tc>
        <w:tc>
          <w:tcPr>
            <w:tcW w:w="1860" w:type="dxa"/>
            <w:vAlign w:val="bottom"/>
            <w:gridSpan w:val="8"/>
          </w:tcPr>
          <w:p>
            <w:pPr>
              <w:spacing w:after="0"/>
              <w:rPr>
                <w:sz w:val="15"/>
                <w:szCs w:val="15"/>
                <w:color w:val="auto"/>
              </w:rPr>
            </w:pPr>
          </w:p>
        </w:tc>
        <w:tc>
          <w:tcPr>
            <w:tcW w:w="3380" w:type="dxa"/>
            <w:vAlign w:val="bottom"/>
            <w:gridSpan w:val="2"/>
          </w:tcPr>
          <w:p>
            <w:pPr>
              <w:jc w:val="center"/>
              <w:ind w:left="2510"/>
              <w:spacing w:after="0" w:line="182" w:lineRule="exact"/>
              <w:rPr>
                <w:sz w:val="20"/>
                <w:szCs w:val="20"/>
                <w:color w:val="auto"/>
              </w:rPr>
            </w:pPr>
            <w:r>
              <w:rPr>
                <w:rFonts w:ascii="Arial" w:cs="Arial" w:eastAsia="Arial" w:hAnsi="Arial"/>
                <w:sz w:val="18"/>
                <w:szCs w:val="18"/>
                <w:color w:val="auto"/>
                <w:w w:val="99"/>
              </w:rPr>
              <w:t>5</w:t>
            </w: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w:t>
              </w:r>
            </w:hyperlink>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40" w:type="dxa"/>
            <w:vAlign w:val="bottom"/>
            <w:tcBorders>
              <w:top w:val="single" w:sz="8" w:color="0000EE"/>
            </w:tcBorders>
            <w:gridSpan w:val="11"/>
          </w:tcPr>
          <w:p>
            <w:pPr>
              <w:ind w:left="6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June 30, 2015 and 2014</w:t>
              </w:r>
            </w:hyperlink>
          </w:p>
        </w:tc>
        <w:tc>
          <w:tcPr>
            <w:tcW w:w="1020" w:type="dxa"/>
            <w:vAlign w:val="bottom"/>
            <w:gridSpan w:val="3"/>
          </w:tcPr>
          <w:p>
            <w:pPr>
              <w:spacing w:after="0"/>
              <w:rPr>
                <w:sz w:val="15"/>
                <w:szCs w:val="15"/>
                <w:color w:val="auto"/>
              </w:rPr>
            </w:pPr>
          </w:p>
        </w:tc>
        <w:tc>
          <w:tcPr>
            <w:tcW w:w="3380" w:type="dxa"/>
            <w:vAlign w:val="bottom"/>
            <w:gridSpan w:val="2"/>
          </w:tcPr>
          <w:p>
            <w:pPr>
              <w:jc w:val="center"/>
              <w:ind w:left="2510"/>
              <w:spacing w:after="0" w:line="182" w:lineRule="exact"/>
              <w:rPr>
                <w:sz w:val="20"/>
                <w:szCs w:val="20"/>
                <w:color w:val="auto"/>
              </w:rPr>
            </w:pPr>
            <w:r>
              <w:rPr>
                <w:rFonts w:ascii="Arial" w:cs="Arial" w:eastAsia="Arial" w:hAnsi="Arial"/>
                <w:sz w:val="18"/>
                <w:szCs w:val="18"/>
                <w:color w:val="auto"/>
                <w:w w:val="99"/>
              </w:rPr>
              <w:t>6</w:t>
            </w: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3380" w:type="dxa"/>
            <w:vAlign w:val="bottom"/>
            <w:gridSpan w:val="2"/>
          </w:tcPr>
          <w:p>
            <w:pPr>
              <w:jc w:val="center"/>
              <w:ind w:left="2510"/>
              <w:spacing w:after="0"/>
              <w:rPr>
                <w:sz w:val="20"/>
                <w:szCs w:val="20"/>
                <w:color w:val="auto"/>
              </w:rPr>
            </w:pPr>
            <w:r>
              <w:rPr>
                <w:rFonts w:ascii="Arial" w:cs="Arial" w:eastAsia="Arial" w:hAnsi="Arial"/>
                <w:sz w:val="18"/>
                <w:szCs w:val="18"/>
                <w:color w:val="auto"/>
                <w:w w:val="99"/>
              </w:rPr>
              <w:t>7</w:t>
            </w: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0" w:type="dxa"/>
            <w:vAlign w:val="bottom"/>
            <w:tcBorders>
              <w:bottom w:val="single" w:sz="8" w:color="0000EE"/>
            </w:tcBorders>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w:t>
              </w:r>
            </w:hyperlink>
          </w:p>
        </w:tc>
        <w:tc>
          <w:tcPr>
            <w:tcW w:w="1040" w:type="dxa"/>
            <w:vAlign w:val="bottom"/>
            <w:gridSpan w:val="4"/>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gridSpan w:val="14"/>
          </w:tcPr>
          <w:p>
            <w:pPr>
              <w:ind w:left="60"/>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Condition and Results of Operations</w:t>
              </w:r>
            </w:hyperlink>
          </w:p>
        </w:tc>
        <w:tc>
          <w:tcPr>
            <w:tcW w:w="3380" w:type="dxa"/>
            <w:vAlign w:val="bottom"/>
            <w:gridSpan w:val="2"/>
          </w:tcPr>
          <w:p>
            <w:pPr>
              <w:jc w:val="center"/>
              <w:ind w:left="2530"/>
              <w:spacing w:after="0" w:line="182" w:lineRule="exact"/>
              <w:rPr>
                <w:sz w:val="20"/>
                <w:szCs w:val="20"/>
                <w:color w:val="auto"/>
              </w:rPr>
            </w:pPr>
            <w:r>
              <w:rPr>
                <w:rFonts w:ascii="Arial" w:cs="Arial" w:eastAsia="Arial" w:hAnsi="Arial"/>
                <w:sz w:val="18"/>
                <w:szCs w:val="18"/>
                <w:color w:val="auto"/>
                <w:w w:val="99"/>
              </w:rPr>
              <w:t>21</w:t>
            </w: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3.</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Quantitative and Qualitative Disclosures About</w:t>
              </w:r>
            </w:hyperlink>
          </w:p>
        </w:tc>
        <w:tc>
          <w:tcPr>
            <w:tcW w:w="1520" w:type="dxa"/>
            <w:vAlign w:val="bottom"/>
            <w:gridSpan w:val="6"/>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gridSpan w:val="14"/>
          </w:tcPr>
          <w:p>
            <w:pPr>
              <w:ind w:left="60"/>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Market Risk</w:t>
              </w:r>
            </w:hyperlink>
          </w:p>
        </w:tc>
        <w:tc>
          <w:tcPr>
            <w:tcW w:w="3380" w:type="dxa"/>
            <w:vAlign w:val="bottom"/>
            <w:gridSpan w:val="2"/>
          </w:tcPr>
          <w:p>
            <w:pPr>
              <w:jc w:val="center"/>
              <w:ind w:left="2530"/>
              <w:spacing w:after="0" w:line="182" w:lineRule="exact"/>
              <w:rPr>
                <w:sz w:val="20"/>
                <w:szCs w:val="20"/>
                <w:color w:val="auto"/>
              </w:rPr>
            </w:pPr>
            <w:r>
              <w:rPr>
                <w:rFonts w:ascii="Arial" w:cs="Arial" w:eastAsia="Arial" w:hAnsi="Arial"/>
                <w:sz w:val="18"/>
                <w:szCs w:val="18"/>
                <w:color w:val="auto"/>
                <w:w w:val="99"/>
              </w:rPr>
              <w:t>28</w:t>
            </w: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r>
      <w:tr>
        <w:trPr>
          <w:trHeight w:val="399"/>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4.</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Controls and Procedures</w:t>
              </w:r>
            </w:hyperlink>
          </w:p>
        </w:tc>
        <w:tc>
          <w:tcPr>
            <w:tcW w:w="3240" w:type="dxa"/>
            <w:vAlign w:val="bottom"/>
            <w:gridSpan w:val="11"/>
          </w:tcPr>
          <w:p>
            <w:pPr>
              <w:spacing w:after="0"/>
              <w:rPr>
                <w:sz w:val="24"/>
                <w:szCs w:val="24"/>
                <w:color w:val="auto"/>
              </w:rPr>
            </w:pPr>
          </w:p>
        </w:tc>
        <w:tc>
          <w:tcPr>
            <w:tcW w:w="3380" w:type="dxa"/>
            <w:vAlign w:val="bottom"/>
            <w:gridSpan w:val="2"/>
          </w:tcPr>
          <w:p>
            <w:pPr>
              <w:jc w:val="center"/>
              <w:ind w:left="2530"/>
              <w:spacing w:after="0"/>
              <w:rPr>
                <w:sz w:val="20"/>
                <w:szCs w:val="20"/>
                <w:color w:val="auto"/>
              </w:rPr>
            </w:pPr>
            <w:r>
              <w:rPr>
                <w:rFonts w:ascii="Arial" w:cs="Arial" w:eastAsia="Arial" w:hAnsi="Arial"/>
                <w:sz w:val="18"/>
                <w:szCs w:val="18"/>
                <w:color w:val="auto"/>
                <w:w w:val="99"/>
              </w:rPr>
              <w:t>29</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Part II.</w:t>
              </w:r>
            </w:hyperlink>
          </w:p>
        </w:tc>
        <w:tc>
          <w:tcPr>
            <w:tcW w:w="1980" w:type="dxa"/>
            <w:vAlign w:val="bottom"/>
            <w:gridSpan w:val="5"/>
          </w:tcPr>
          <w:p>
            <w:pPr>
              <w:spacing w:after="0"/>
              <w:rPr>
                <w:sz w:val="17"/>
                <w:szCs w:val="17"/>
                <w:color w:val="auto"/>
              </w:rPr>
            </w:pPr>
          </w:p>
        </w:tc>
        <w:tc>
          <w:tcPr>
            <w:tcW w:w="15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Other Information</w:t>
              </w:r>
            </w:hyperlink>
          </w:p>
        </w:tc>
        <w:tc>
          <w:tcPr>
            <w:tcW w:w="4360" w:type="dxa"/>
            <w:vAlign w:val="bottom"/>
            <w:gridSpan w:val="3"/>
          </w:tcPr>
          <w:p>
            <w:pPr>
              <w:spacing w:after="0"/>
              <w:rPr>
                <w:sz w:val="17"/>
                <w:szCs w:val="17"/>
                <w:color w:val="auto"/>
              </w:rPr>
            </w:pPr>
          </w:p>
        </w:tc>
        <w:tc>
          <w:tcPr>
            <w:tcW w:w="2540" w:type="dxa"/>
            <w:vAlign w:val="bottom"/>
          </w:tcPr>
          <w:p>
            <w:pPr>
              <w:spacing w:after="0"/>
              <w:rPr>
                <w:sz w:val="17"/>
                <w:szCs w:val="17"/>
                <w:color w:val="auto"/>
              </w:rPr>
            </w:pPr>
          </w:p>
        </w:tc>
      </w:tr>
      <w:tr>
        <w:trPr>
          <w:trHeight w:val="399"/>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Legal Proceedings</w:t>
              </w:r>
            </w:hyperlink>
          </w:p>
        </w:tc>
        <w:tc>
          <w:tcPr>
            <w:tcW w:w="4300" w:type="dxa"/>
            <w:vAlign w:val="bottom"/>
            <w:gridSpan w:val="2"/>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9"/>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Changes in Securities and Use of Proceeds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9"/>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6.</w:t>
              </w:r>
            </w:hyperlink>
          </w:p>
        </w:tc>
        <w:tc>
          <w:tcPr>
            <w:tcW w:w="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Exhibits</w:t>
              </w:r>
            </w:hyperlink>
          </w:p>
        </w:tc>
        <w:tc>
          <w:tcPr>
            <w:tcW w:w="2840" w:type="dxa"/>
            <w:vAlign w:val="bottom"/>
            <w:tcBorders>
              <w:top w:val="single" w:sz="8" w:color="0000EE"/>
            </w:tcBorders>
            <w:gridSpan w:val="3"/>
          </w:tcPr>
          <w:p>
            <w:pPr>
              <w:spacing w:after="0"/>
              <w:rPr>
                <w:sz w:val="24"/>
                <w:szCs w:val="24"/>
                <w:color w:val="auto"/>
              </w:rPr>
            </w:pPr>
          </w:p>
        </w:tc>
        <w:tc>
          <w:tcPr>
            <w:tcW w:w="23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9"/>
        </w:trPr>
        <w:tc>
          <w:tcPr>
            <w:tcW w:w="254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2014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5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financial statements and related footnotes as of June 30, 2015 should be read in conjunction with the financial statements for the year ended December 31, 2014 contained in our 2014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92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7,798</w:t>
            </w:r>
          </w:p>
        </w:tc>
        <w:tc>
          <w:tcPr>
            <w:tcW w:w="6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8,278</w:t>
            </w:r>
          </w:p>
        </w:tc>
        <w:tc>
          <w:tcPr>
            <w:tcW w:w="3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E5FFFF"/>
            </w:tcBorders>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15,162</w:t>
            </w: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Service sales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1,977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6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9,775</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10,253</w:t>
            </w:r>
          </w:p>
        </w:tc>
        <w:tc>
          <w:tcPr>
            <w:tcW w:w="3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18,988</w:t>
            </w:r>
          </w:p>
        </w:tc>
        <w:tc>
          <w:tcPr>
            <w:tcW w:w="44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19,932</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16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5,541</w:t>
            </w:r>
          </w:p>
        </w:tc>
        <w:tc>
          <w:tcPr>
            <w:tcW w:w="4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6,047</w:t>
            </w: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tcBorders>
              <w:right w:val="single" w:sz="8" w:color="E5FFFF"/>
            </w:tcBorders>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10,754</w:t>
            </w:r>
          </w:p>
        </w:tc>
        <w:tc>
          <w:tcPr>
            <w:tcW w:w="22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services sold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1,273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2,422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6,814</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7,296</w:t>
            </w:r>
          </w:p>
        </w:tc>
        <w:tc>
          <w:tcPr>
            <w:tcW w:w="3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13,176</w:t>
            </w:r>
          </w:p>
        </w:tc>
        <w:tc>
          <w:tcPr>
            <w:tcW w:w="44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14,263</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1,242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2,472</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4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tcBorders>
              <w:right w:val="single" w:sz="8" w:color="E5FFFF"/>
            </w:tcBorders>
            <w:gridSpan w:val="2"/>
            <w:shd w:val="clear" w:color="auto" w:fill="E5FFFF"/>
          </w:tcPr>
          <w:p>
            <w:pPr>
              <w:jc w:val="right"/>
              <w:ind w:right="38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and other financial charges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8,113</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8,730</w:t>
            </w:r>
          </w:p>
        </w:tc>
        <w:tc>
          <w:tcPr>
            <w:tcW w:w="3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15,762</w:t>
            </w:r>
          </w:p>
        </w:tc>
        <w:tc>
          <w:tcPr>
            <w:tcW w:w="440" w:type="dxa"/>
            <w:vAlign w:val="bottom"/>
            <w:tcBorders>
              <w:top w:val="single" w:sz="8" w:color="E5FFFF"/>
              <w:right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16,998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1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1,662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4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27</w:t>
            </w: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tcBorders>
              <w:right w:val="single" w:sz="8" w:color="E5FFFF"/>
            </w:tcBorders>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1,194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2,310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680" w:type="dxa"/>
            <w:vAlign w:val="bottom"/>
            <w:shd w:val="clear" w:color="auto" w:fill="E5FFFF"/>
          </w:tcPr>
          <w:p>
            <w:pPr>
              <w:spacing w:after="0"/>
              <w:rPr>
                <w:sz w:val="19"/>
                <w:szCs w:val="19"/>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E5FFFF"/>
          </w:tcPr>
          <w:p>
            <w:pPr>
              <w:spacing w:after="0"/>
              <w:rPr>
                <w:sz w:val="19"/>
                <w:szCs w:val="19"/>
                <w:color w:val="auto"/>
              </w:rPr>
            </w:pPr>
          </w:p>
        </w:tc>
        <w:tc>
          <w:tcPr>
            <w:tcW w:w="6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1.40</w:t>
            </w:r>
          </w:p>
        </w:tc>
        <w:tc>
          <w:tcPr>
            <w:tcW w:w="3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E5FFFF"/>
          </w:tcPr>
          <w:p>
            <w:pPr>
              <w:spacing w:after="0" w:line="20" w:lineRule="exact"/>
              <w:rPr>
                <w:sz w:val="1"/>
                <w:szCs w:val="1"/>
                <w:color w:val="auto"/>
              </w:rPr>
            </w:pPr>
          </w:p>
        </w:tc>
        <w:tc>
          <w:tcPr>
            <w:tcW w:w="680" w:type="dxa"/>
            <w:vAlign w:val="bottom"/>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Borders>
              <w:right w:val="single" w:sz="8" w:color="E5FFFF"/>
            </w:tcBorders>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2"/>
            <w:vMerge w:val="continue"/>
          </w:tcPr>
          <w:p>
            <w:pPr>
              <w:spacing w:after="0"/>
              <w:rPr>
                <w:sz w:val="24"/>
                <w:szCs w:val="24"/>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Cash dividends per share of common stock</w:t>
            </w:r>
          </w:p>
        </w:tc>
        <w:tc>
          <w:tcPr>
            <w:tcW w:w="92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0.5175</w:t>
            </w:r>
          </w:p>
        </w:tc>
        <w:tc>
          <w:tcPr>
            <w:tcW w:w="6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0.4500</w:t>
            </w:r>
          </w:p>
        </w:tc>
        <w:tc>
          <w:tcPr>
            <w:tcW w:w="3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E5FFFF"/>
            </w:tcBorders>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1.0350</w:t>
            </w: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0.9000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5FF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E5FF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700" w:type="dxa"/>
            <w:vAlign w:val="bottom"/>
            <w:gridSpan w:val="9"/>
          </w:tcPr>
          <w:p>
            <w:pPr>
              <w:jc w:val="center"/>
              <w:ind w:left="2590"/>
              <w:spacing w:after="0"/>
              <w:rPr>
                <w:sz w:val="20"/>
                <w:szCs w:val="20"/>
                <w:color w:val="auto"/>
              </w:rPr>
            </w:pPr>
            <w:r>
              <w:rPr>
                <w:rFonts w:ascii="Arial" w:cs="Arial" w:eastAsia="Arial" w:hAnsi="Arial"/>
                <w:sz w:val="18"/>
                <w:szCs w:val="18"/>
                <w:color w:val="auto"/>
                <w:w w:val="99"/>
              </w:rPr>
              <w:t>The Notes to Financial Statements are an integral part of this statement.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1,222</w:t>
            </w:r>
          </w:p>
        </w:tc>
        <w:tc>
          <w:tcPr>
            <w:tcW w:w="4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1,126</w:t>
            </w:r>
          </w:p>
        </w:tc>
        <w:tc>
          <w:tcPr>
            <w:tcW w:w="4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2,368</w:t>
            </w: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2,162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211</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66</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(510)</w:t>
            </w:r>
          </w:p>
        </w:tc>
        <w:tc>
          <w:tcPr>
            <w:tcW w:w="22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80" w:type="dxa"/>
            <w:vAlign w:val="bottom"/>
          </w:tcPr>
          <w:p>
            <w:pPr>
              <w:ind w:left="520"/>
              <w:spacing w:after="0"/>
              <w:rPr>
                <w:sz w:val="20"/>
                <w:szCs w:val="20"/>
                <w:color w:val="auto"/>
              </w:rPr>
            </w:pPr>
            <w:r>
              <w:rPr>
                <w:rFonts w:ascii="Arial" w:cs="Arial" w:eastAsia="Arial" w:hAnsi="Arial"/>
                <w:sz w:val="18"/>
                <w:szCs w:val="18"/>
                <w:color w:val="auto"/>
              </w:rPr>
              <w:t>Actuarial losses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losses recognized</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520"/>
              <w:spacing w:after="0" w:line="202" w:lineRule="exact"/>
              <w:rPr>
                <w:sz w:val="20"/>
                <w:szCs w:val="20"/>
                <w:color w:val="auto"/>
              </w:rPr>
            </w:pPr>
            <w:r>
              <w:rPr>
                <w:rFonts w:ascii="Arial" w:cs="Arial" w:eastAsia="Arial" w:hAnsi="Arial"/>
                <w:sz w:val="18"/>
                <w:szCs w:val="18"/>
                <w:color w:val="auto"/>
              </w:rPr>
              <w:t>Prior service credits recognized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5FFFF"/>
          </w:tcPr>
          <w:p>
            <w:pPr>
              <w:ind w:left="520"/>
              <w:spacing w:after="0"/>
              <w:rPr>
                <w:sz w:val="20"/>
                <w:szCs w:val="20"/>
                <w:color w:val="auto"/>
              </w:rPr>
            </w:pPr>
            <w:r>
              <w:rPr>
                <w:rFonts w:ascii="Arial" w:cs="Arial" w:eastAsia="Arial" w:hAnsi="Arial"/>
                <w:sz w:val="18"/>
                <w:szCs w:val="18"/>
                <w:color w:val="auto"/>
              </w:rPr>
              <w:t>Transition obligation recognized</w:t>
            </w: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Pension and other postretirement benefits adjustments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Unrealized gains (losses)</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90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ind w:left="520"/>
              <w:spacing w:after="0" w:line="201" w:lineRule="exact"/>
              <w:rPr>
                <w:sz w:val="20"/>
                <w:szCs w:val="20"/>
                <w:color w:val="auto"/>
              </w:rPr>
            </w:pPr>
            <w:r>
              <w:rPr>
                <w:rFonts w:ascii="Arial" w:cs="Arial" w:eastAsia="Arial" w:hAnsi="Arial"/>
                <w:sz w:val="18"/>
                <w:szCs w:val="18"/>
                <w:color w:val="auto"/>
              </w:rPr>
              <w:t>Less: Reclassification adjustment for gains included in net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700"/>
              <w:spacing w:after="0" w:line="203" w:lineRule="exact"/>
              <w:rPr>
                <w:sz w:val="20"/>
                <w:szCs w:val="20"/>
                <w:color w:val="auto"/>
              </w:rPr>
            </w:pPr>
            <w:r>
              <w:rPr>
                <w:rFonts w:ascii="Arial" w:cs="Arial" w:eastAsia="Arial" w:hAnsi="Arial"/>
                <w:sz w:val="18"/>
                <w:szCs w:val="18"/>
                <w:color w:val="auto"/>
              </w:rPr>
              <w:t>income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E5FFFF"/>
            </w:tcBorders>
            <w:shd w:val="clear" w:color="auto" w:fill="E5FFFF"/>
          </w:tcPr>
          <w:p>
            <w:pPr>
              <w:ind w:left="340"/>
              <w:spacing w:after="0" w:line="196" w:lineRule="exact"/>
              <w:rPr>
                <w:sz w:val="20"/>
                <w:szCs w:val="20"/>
                <w:color w:val="auto"/>
              </w:rPr>
            </w:pPr>
            <w:r>
              <w:rPr>
                <w:rFonts w:ascii="Arial" w:cs="Arial" w:eastAsia="Arial" w:hAnsi="Arial"/>
                <w:sz w:val="18"/>
                <w:szCs w:val="18"/>
                <w:color w:val="auto"/>
              </w:rPr>
              <w:t>Changes in fair value of available for sale investments</w:t>
            </w:r>
          </w:p>
        </w:tc>
        <w:tc>
          <w:tcPr>
            <w:tcW w:w="24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2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(73)</w:t>
            </w:r>
          </w:p>
        </w:tc>
        <w:tc>
          <w:tcPr>
            <w:tcW w:w="100" w:type="dxa"/>
            <w:vAlign w:val="bottom"/>
            <w:tcBorders>
              <w:top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580" w:type="dxa"/>
            <w:vAlign w:val="bottom"/>
          </w:tcPr>
          <w:p>
            <w:pPr>
              <w:ind w:left="520"/>
              <w:spacing w:after="0"/>
              <w:rPr>
                <w:sz w:val="20"/>
                <w:szCs w:val="20"/>
                <w:color w:val="auto"/>
              </w:rPr>
            </w:pPr>
            <w:r>
              <w:rPr>
                <w:rFonts w:ascii="Arial" w:cs="Arial" w:eastAsia="Arial" w:hAnsi="Arial"/>
                <w:sz w:val="18"/>
                <w:szCs w:val="18"/>
                <w:color w:val="auto"/>
              </w:rPr>
              <w:t>Effective portion of cash flow hedges recognized in other</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700"/>
              <w:spacing w:after="0" w:line="203" w:lineRule="exact"/>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Less: Reclassification adjustment for gains (losses) included</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gridSpan w:val="3"/>
            <w:vMerge w:val="restart"/>
            <w:shd w:val="clear" w:color="auto" w:fill="E5FF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E5FFFF"/>
          </w:tcPr>
          <w:p>
            <w:pPr>
              <w:ind w:left="700"/>
              <w:spacing w:after="0" w:line="203" w:lineRule="exact"/>
              <w:rPr>
                <w:sz w:val="20"/>
                <w:szCs w:val="20"/>
                <w:color w:val="auto"/>
              </w:rPr>
            </w:pPr>
            <w:r>
              <w:rPr>
                <w:rFonts w:ascii="Arial" w:cs="Arial" w:eastAsia="Arial" w:hAnsi="Arial"/>
                <w:sz w:val="18"/>
                <w:szCs w:val="18"/>
                <w:color w:val="auto"/>
              </w:rPr>
              <w:t>in net income</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260"/>
              <w:spacing w:after="0" w:line="203" w:lineRule="exact"/>
              <w:rPr>
                <w:sz w:val="20"/>
                <w:szCs w:val="20"/>
                <w:color w:val="auto"/>
              </w:rPr>
            </w:pPr>
            <w:r>
              <w:rPr>
                <w:rFonts w:ascii="Arial" w:cs="Arial" w:eastAsia="Arial" w:hAnsi="Arial"/>
                <w:sz w:val="18"/>
                <w:szCs w:val="18"/>
                <w:color w:val="auto"/>
              </w:rPr>
              <w:t>31</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220"/>
              <w:spacing w:after="0" w:line="203"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360"/>
              <w:spacing w:after="0" w:line="203" w:lineRule="exact"/>
              <w:rPr>
                <w:sz w:val="20"/>
                <w:szCs w:val="20"/>
                <w:color w:val="auto"/>
              </w:rPr>
            </w:pPr>
            <w:r>
              <w:rPr>
                <w:rFonts w:ascii="Arial" w:cs="Arial" w:eastAsia="Arial" w:hAnsi="Arial"/>
                <w:sz w:val="18"/>
                <w:szCs w:val="18"/>
                <w:color w:val="auto"/>
              </w:rPr>
              <w:t>58</w:t>
            </w:r>
          </w:p>
        </w:tc>
        <w:tc>
          <w:tcPr>
            <w:tcW w:w="220" w:type="dxa"/>
            <w:vAlign w:val="bottom"/>
            <w:shd w:val="clear" w:color="auto" w:fill="E5FFFF"/>
          </w:tcPr>
          <w:p>
            <w:pPr>
              <w:spacing w:after="0"/>
              <w:rPr>
                <w:sz w:val="17"/>
                <w:szCs w:val="17"/>
                <w:color w:val="auto"/>
              </w:rPr>
            </w:pPr>
          </w:p>
        </w:tc>
        <w:tc>
          <w:tcPr>
            <w:tcW w:w="900" w:type="dxa"/>
            <w:vAlign w:val="bottom"/>
            <w:gridSpan w:val="3"/>
            <w:vMerge w:val="continue"/>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Changes in fair value of effective cash flow hedges</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shd w:val="clear" w:color="auto" w:fill="E5FFFF"/>
          </w:tcPr>
          <w:p>
            <w:pPr>
              <w:ind w:left="16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130</w:t>
            </w: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89</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(510</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6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1,352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Less: Comprehensive income attributable to the</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E5FFFF"/>
          </w:tcPr>
          <w:p>
            <w:pPr>
              <w:ind w:left="70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Honeywell</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1,324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1,190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5,954</w:t>
            </w:r>
          </w:p>
        </w:tc>
        <w:tc>
          <w:tcPr>
            <w:tcW w:w="1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6,959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8,237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4,447</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4,405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Investments and other current assets</w:t>
            </w: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3,883</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491</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465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5,381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12,763</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12,788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2,141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433</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454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1,658</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16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46,412</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3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5,352</w:t>
            </w:r>
          </w:p>
        </w:tc>
        <w:tc>
          <w:tcPr>
            <w:tcW w:w="1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5,365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2,795</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1,647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6,065</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6,771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5,562</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6,046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921</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911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4,001</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4,282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26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ind w:left="58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5,234</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5,038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(10,351)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380"/>
              <w:spacing w:after="0" w:line="202" w:lineRule="exact"/>
              <w:rPr>
                <w:sz w:val="20"/>
                <w:szCs w:val="20"/>
                <w:color w:val="auto"/>
              </w:rPr>
            </w:pPr>
            <w:r>
              <w:rPr>
                <w:rFonts w:ascii="Arial" w:cs="Arial" w:eastAsia="Arial" w:hAnsi="Arial"/>
                <w:sz w:val="18"/>
                <w:szCs w:val="18"/>
                <w:color w:val="auto"/>
              </w:rPr>
              <w:t>(1,969)</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24,585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0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18,457</w:t>
            </w:r>
          </w:p>
        </w:tc>
        <w:tc>
          <w:tcPr>
            <w:tcW w:w="4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17,657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0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18,597</w:t>
            </w:r>
          </w:p>
        </w:tc>
        <w:tc>
          <w:tcPr>
            <w:tcW w:w="44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17,784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6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46,412</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4"/>
          </w:tcPr>
          <w:p>
            <w:pPr>
              <w:jc w:val="center"/>
              <w:ind w:left="412"/>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left="41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4"/>
          </w:tcPr>
          <w:p>
            <w:pPr>
              <w:jc w:val="center"/>
              <w:ind w:left="412"/>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2,368</w:t>
            </w:r>
          </w:p>
        </w:tc>
        <w:tc>
          <w:tcPr>
            <w:tcW w:w="6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8080" w:type="dxa"/>
            <w:vAlign w:val="bottom"/>
          </w:tcPr>
          <w:p>
            <w:pPr>
              <w:ind w:left="18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2,310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3" w:lineRule="exact"/>
              <w:rPr>
                <w:sz w:val="20"/>
                <w:szCs w:val="20"/>
                <w:color w:val="auto"/>
              </w:rPr>
            </w:pPr>
            <w:r>
              <w:rPr>
                <w:rFonts w:ascii="Arial" w:cs="Arial" w:eastAsia="Arial" w:hAnsi="Arial"/>
                <w:sz w:val="18"/>
                <w:szCs w:val="18"/>
                <w:color w:val="auto"/>
              </w:rPr>
              <w:t>activities: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107</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Loss on sale of non-strategic businesses and assets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260</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(215)</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91</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126</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103</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Accounts, notes and other receivables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(250)</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ind w:left="54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(664)</w:t>
            </w:r>
          </w:p>
        </w:tc>
        <w:tc>
          <w:tcPr>
            <w:tcW w:w="1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E5FF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1,829</w:t>
            </w:r>
          </w:p>
        </w:tc>
        <w:tc>
          <w:tcPr>
            <w:tcW w:w="26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2,029</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(408)</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(3,866)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2,059</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80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(2,545</w:t>
            </w:r>
          </w:p>
        </w:tc>
        <w:tc>
          <w:tcPr>
            <w:tcW w:w="260" w:type="dxa"/>
            <w:vAlign w:val="bottom"/>
            <w:tcBorders>
              <w:top w:val="single" w:sz="8" w:color="E5FFFF"/>
            </w:tcBorders>
            <w:shd w:val="clear" w:color="auto" w:fill="E5FFFF"/>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(1,205</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Net increase in commercial paper</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1,148</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Net decrease in short-term borrowings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125</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(486)</w:t>
            </w:r>
          </w:p>
        </w:tc>
        <w:tc>
          <w:tcPr>
            <w:tcW w:w="1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196"/>
        </w:trPr>
        <w:tc>
          <w:tcPr>
            <w:tcW w:w="80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2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(70</w:t>
            </w:r>
          </w:p>
        </w:tc>
        <w:tc>
          <w:tcPr>
            <w:tcW w:w="260" w:type="dxa"/>
            <w:vAlign w:val="bottom"/>
            <w:tcBorders>
              <w:top w:val="single" w:sz="8" w:color="E5FFFF"/>
            </w:tcBorders>
            <w:shd w:val="clear" w:color="auto" w:fill="E5FFFF"/>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(694</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2"/>
        </w:trPr>
        <w:tc>
          <w:tcPr>
            <w:tcW w:w="808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0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(1,005)</w:t>
            </w:r>
          </w:p>
        </w:tc>
        <w:tc>
          <w:tcPr>
            <w:tcW w:w="2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160</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6,959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
        </w:trPr>
        <w:tc>
          <w:tcPr>
            <w:tcW w:w="808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E5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shd w:val="clear" w:color="auto" w:fill="E5FFFF"/>
          </w:tcPr>
          <w:p>
            <w:pPr>
              <w:spacing w:after="0"/>
              <w:rPr>
                <w:sz w:val="18"/>
                <w:szCs w:val="18"/>
                <w:color w:val="auto"/>
              </w:rPr>
            </w:pPr>
          </w:p>
        </w:tc>
        <w:tc>
          <w:tcPr>
            <w:tcW w:w="56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5,954</w:t>
            </w:r>
          </w:p>
        </w:tc>
        <w:tc>
          <w:tcPr>
            <w:tcW w:w="6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0"/>
        </w:trPr>
        <w:tc>
          <w:tcPr>
            <w:tcW w:w="80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2015 and the results of operations and cash flows for the six months ended June 30, 2015 and 2014. The results of operations for the three and six months ended June 30, 2015 should not necessarily be taken as indicative of the results of operations that may be expected for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that is,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If differences in actual closing dates are material to year-over-year comparisons of quarterly or year-to-date results, we provide appropriate disclosures. Our actual closing dates for the three and six months ended June 30, 2015 and 2014 were June 27, 2015 and June 28, 2014.</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considers the applicability and impact of all accounting standard updates (ASUs). ASUs not listed below were assessed and determined to be either not applicable or are expected to have minimal impact on our consolidated financial position or results of operations.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the Financial Accounting Standards Board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recently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18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E5FFFF"/>
            </w:tcBorders>
          </w:tcPr>
          <w:p>
            <w:pPr>
              <w:spacing w:after="0"/>
              <w:rPr>
                <w:sz w:val="14"/>
                <w:szCs w:val="14"/>
                <w:color w:val="auto"/>
              </w:rPr>
            </w:pPr>
          </w:p>
        </w:tc>
        <w:tc>
          <w:tcPr>
            <w:tcW w:w="14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E5FFFF"/>
            </w:tcBorders>
          </w:tcPr>
          <w:p>
            <w:pPr>
              <w:spacing w:after="0"/>
              <w:rPr>
                <w:sz w:val="14"/>
                <w:szCs w:val="14"/>
                <w:color w:val="auto"/>
              </w:rPr>
            </w:pPr>
          </w:p>
        </w:tc>
        <w:tc>
          <w:tcPr>
            <w:tcW w:w="14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4"/>
                <w:szCs w:val="14"/>
                <w:color w:val="auto"/>
              </w:rPr>
            </w:pPr>
          </w:p>
        </w:tc>
      </w:tr>
      <w:tr>
        <w:trPr>
          <w:trHeight w:val="196"/>
        </w:trPr>
        <w:tc>
          <w:tcPr>
            <w:tcW w:w="6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740" w:type="dxa"/>
            <w:vAlign w:val="bottom"/>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38</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75</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shd w:val="clear" w:color="auto" w:fill="E5FF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740" w:type="dxa"/>
            <w:vAlign w:val="bottom"/>
          </w:tcPr>
          <w:p>
            <w:pPr>
              <w:spacing w:after="0"/>
              <w:rPr>
                <w:sz w:val="17"/>
                <w:szCs w:val="17"/>
                <w:color w:val="auto"/>
              </w:rPr>
            </w:pP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74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740" w:type="dxa"/>
            <w:vAlign w:val="bottom"/>
            <w:shd w:val="clear" w:color="auto" w:fill="E5FFFF"/>
          </w:tcPr>
          <w:p>
            <w:pPr>
              <w:spacing w:after="0"/>
              <w:rPr>
                <w:sz w:val="17"/>
                <w:szCs w:val="17"/>
                <w:color w:val="auto"/>
              </w:rPr>
            </w:pPr>
          </w:p>
        </w:tc>
        <w:tc>
          <w:tcPr>
            <w:tcW w:w="5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Reserve adjustments</w:t>
            </w:r>
          </w:p>
        </w:tc>
        <w:tc>
          <w:tcPr>
            <w:tcW w:w="7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196"/>
        </w:trPr>
        <w:tc>
          <w:tcPr>
            <w:tcW w:w="6180" w:type="dxa"/>
            <w:vAlign w:val="bottom"/>
            <w:tcBorders>
              <w:top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740" w:type="dxa"/>
            <w:vAlign w:val="bottom"/>
            <w:tcBorders>
              <w:top w:val="single" w:sz="8" w:color="auto"/>
              <w:bottom w:val="single" w:sz="8" w:color="auto"/>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34</w:t>
            </w:r>
          </w:p>
        </w:tc>
        <w:tc>
          <w:tcPr>
            <w:tcW w:w="3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bottom w:val="single" w:sz="8" w:color="auto"/>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7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73</w:t>
            </w:r>
          </w:p>
        </w:tc>
        <w:tc>
          <w:tcPr>
            <w:tcW w:w="18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bottom w:val="single" w:sz="8" w:color="auto"/>
            </w:tcBorders>
            <w:shd w:val="clear" w:color="auto" w:fill="E5FFFF"/>
          </w:tcPr>
          <w:p>
            <w:pPr>
              <w:spacing w:after="0"/>
              <w:rPr>
                <w:sz w:val="17"/>
                <w:szCs w:val="17"/>
                <w:color w:val="auto"/>
              </w:rPr>
            </w:pPr>
          </w:p>
        </w:tc>
        <w:tc>
          <w:tcPr>
            <w:tcW w:w="7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w:t>
            </w:r>
          </w:p>
        </w:tc>
        <w:tc>
          <w:tcPr>
            <w:tcW w:w="100" w:type="dxa"/>
            <w:vAlign w:val="bottom"/>
            <w:tcBorders>
              <w:top w:val="single" w:sz="8" w:color="E5FFFF"/>
            </w:tcBorders>
            <w:shd w:val="clear" w:color="auto" w:fill="E5FFFF"/>
          </w:tcPr>
          <w:p>
            <w:pPr>
              <w:spacing w:after="0"/>
              <w:rPr>
                <w:sz w:val="17"/>
                <w:szCs w:val="17"/>
                <w:color w:val="auto"/>
              </w:rPr>
            </w:pPr>
          </w:p>
        </w:tc>
      </w:tr>
      <w:tr>
        <w:trPr>
          <w:trHeight w:val="399"/>
        </w:trPr>
        <w:tc>
          <w:tcPr>
            <w:tcW w:w="618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740" w:type="dxa"/>
            <w:vAlign w:val="bottom"/>
          </w:tcPr>
          <w:p>
            <w:pPr>
              <w:spacing w:after="0"/>
              <w:rPr>
                <w:sz w:val="24"/>
                <w:szCs w:val="2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24"/>
                <w:szCs w:val="2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03"/>
        </w:trPr>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74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49</w:t>
            </w:r>
          </w:p>
        </w:tc>
        <w:tc>
          <w:tcPr>
            <w:tcW w:w="740" w:type="dxa"/>
            <w:vAlign w:val="bottom"/>
            <w:shd w:val="clear" w:color="auto" w:fill="E5FFFF"/>
          </w:tcPr>
          <w:p>
            <w:pPr>
              <w:spacing w:after="0"/>
              <w:rPr>
                <w:sz w:val="17"/>
                <w:szCs w:val="17"/>
                <w:color w:val="auto"/>
              </w:rPr>
            </w:pPr>
          </w:p>
        </w:tc>
        <w:tc>
          <w:tcPr>
            <w:tcW w:w="5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52</w:t>
            </w:r>
          </w:p>
        </w:tc>
        <w:tc>
          <w:tcPr>
            <w:tcW w:w="1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95</w:t>
            </w:r>
          </w:p>
        </w:tc>
        <w:tc>
          <w:tcPr>
            <w:tcW w:w="1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134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196"/>
        </w:trPr>
        <w:tc>
          <w:tcPr>
            <w:tcW w:w="6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740" w:type="dxa"/>
            <w:vAlign w:val="bottom"/>
            <w:shd w:val="clear" w:color="auto" w:fill="E5FFFF"/>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129</w:t>
            </w:r>
          </w:p>
        </w:tc>
        <w:tc>
          <w:tcPr>
            <w:tcW w:w="360" w:type="dxa"/>
            <w:vAlign w:val="bottom"/>
            <w:shd w:val="clear" w:color="auto" w:fill="E5FFFF"/>
          </w:tcPr>
          <w:p>
            <w:pPr>
              <w:spacing w:after="0"/>
              <w:rPr>
                <w:sz w:val="19"/>
                <w:szCs w:val="19"/>
                <w:color w:val="auto"/>
              </w:rPr>
            </w:pPr>
          </w:p>
        </w:tc>
        <w:tc>
          <w:tcPr>
            <w:tcW w:w="740" w:type="dxa"/>
            <w:vAlign w:val="bottom"/>
            <w:shd w:val="clear" w:color="auto" w:fill="E5FFFF"/>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117</w:t>
            </w:r>
          </w:p>
        </w:tc>
        <w:tc>
          <w:tcPr>
            <w:tcW w:w="200" w:type="dxa"/>
            <w:vAlign w:val="bottom"/>
            <w:shd w:val="clear" w:color="auto" w:fill="E5FFFF"/>
          </w:tcPr>
          <w:p>
            <w:pPr>
              <w:spacing w:after="0"/>
              <w:rPr>
                <w:sz w:val="19"/>
                <w:szCs w:val="19"/>
                <w:color w:val="auto"/>
              </w:rPr>
            </w:pPr>
          </w:p>
        </w:tc>
        <w:tc>
          <w:tcPr>
            <w:tcW w:w="4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260</w:t>
            </w:r>
          </w:p>
        </w:tc>
        <w:tc>
          <w:tcPr>
            <w:tcW w:w="40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331</w:t>
            </w:r>
          </w:p>
        </w:tc>
      </w:tr>
      <w:tr>
        <w:trPr>
          <w:trHeight w:val="20"/>
        </w:trPr>
        <w:tc>
          <w:tcPr>
            <w:tcW w:w="61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1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18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1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E5FFFF"/>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4"/>
                <w:szCs w:val="14"/>
                <w:color w:val="auto"/>
              </w:rPr>
            </w:pPr>
          </w:p>
        </w:tc>
      </w:tr>
      <w:tr>
        <w:trPr>
          <w:trHeight w:val="196"/>
        </w:trPr>
        <w:tc>
          <w:tcPr>
            <w:tcW w:w="6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740" w:type="dxa"/>
            <w:vAlign w:val="bottom"/>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112</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110</w:t>
            </w:r>
          </w:p>
        </w:tc>
        <w:tc>
          <w:tcPr>
            <w:tcW w:w="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234</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301</w:t>
            </w:r>
          </w:p>
        </w:tc>
        <w:tc>
          <w:tcPr>
            <w:tcW w:w="100" w:type="dxa"/>
            <w:vAlign w:val="bottom"/>
            <w:shd w:val="clear" w:color="auto" w:fill="E5FFFF"/>
          </w:tcPr>
          <w:p>
            <w:pPr>
              <w:spacing w:after="0"/>
              <w:rPr>
                <w:sz w:val="17"/>
                <w:szCs w:val="17"/>
                <w:color w:val="auto"/>
              </w:rPr>
            </w:pPr>
          </w:p>
        </w:tc>
      </w:tr>
      <w:tr>
        <w:trPr>
          <w:trHeight w:val="216"/>
        </w:trPr>
        <w:tc>
          <w:tcPr>
            <w:tcW w:w="61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5FFFF"/>
            </w:tcBorders>
          </w:tcPr>
          <w:p>
            <w:pPr>
              <w:spacing w:after="0"/>
              <w:rPr>
                <w:sz w:val="18"/>
                <w:szCs w:val="18"/>
                <w:color w:val="auto"/>
              </w:rPr>
            </w:pPr>
          </w:p>
        </w:tc>
      </w:tr>
      <w:tr>
        <w:trPr>
          <w:trHeight w:val="210"/>
        </w:trPr>
        <w:tc>
          <w:tcPr>
            <w:tcW w:w="618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129</w:t>
            </w:r>
          </w:p>
        </w:tc>
        <w:tc>
          <w:tcPr>
            <w:tcW w:w="36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117</w:t>
            </w:r>
          </w:p>
        </w:tc>
        <w:tc>
          <w:tcPr>
            <w:tcW w:w="160" w:type="dxa"/>
            <w:vAlign w:val="bottom"/>
            <w:shd w:val="clear" w:color="auto" w:fill="E5FFFF"/>
          </w:tcPr>
          <w:p>
            <w:pPr>
              <w:spacing w:after="0"/>
              <w:rPr>
                <w:sz w:val="18"/>
                <w:szCs w:val="18"/>
                <w:color w:val="auto"/>
              </w:rPr>
            </w:pPr>
          </w:p>
        </w:tc>
        <w:tc>
          <w:tcPr>
            <w:tcW w:w="4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260</w:t>
            </w:r>
          </w:p>
        </w:tc>
        <w:tc>
          <w:tcPr>
            <w:tcW w:w="42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331</w:t>
            </w:r>
          </w:p>
        </w:tc>
      </w:tr>
      <w:tr>
        <w:trPr>
          <w:trHeight w:val="20"/>
        </w:trPr>
        <w:tc>
          <w:tcPr>
            <w:tcW w:w="61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1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18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18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E5FFFF"/>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4"/>
                <w:szCs w:val="14"/>
                <w:color w:val="auto"/>
              </w:rPr>
            </w:pPr>
          </w:p>
        </w:tc>
      </w:tr>
      <w:tr>
        <w:trPr>
          <w:trHeight w:val="196"/>
        </w:trPr>
        <w:tc>
          <w:tcPr>
            <w:tcW w:w="6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740" w:type="dxa"/>
            <w:vAlign w:val="bottom"/>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48</w:t>
            </w:r>
          </w:p>
        </w:tc>
        <w:tc>
          <w:tcPr>
            <w:tcW w:w="3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50</w:t>
            </w:r>
          </w:p>
        </w:tc>
        <w:tc>
          <w:tcPr>
            <w:tcW w:w="1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96</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126</w:t>
            </w:r>
          </w:p>
        </w:tc>
        <w:tc>
          <w:tcPr>
            <w:tcW w:w="100" w:type="dxa"/>
            <w:vAlign w:val="bottom"/>
            <w:shd w:val="clear" w:color="auto" w:fill="E5FF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740" w:type="dxa"/>
            <w:vAlign w:val="bottom"/>
          </w:tcPr>
          <w:p>
            <w:pPr>
              <w:spacing w:after="0"/>
              <w:rPr>
                <w:sz w:val="17"/>
                <w:szCs w:val="17"/>
                <w:color w:val="auto"/>
              </w:rPr>
            </w:pP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15</w:t>
            </w:r>
          </w:p>
        </w:tc>
        <w:tc>
          <w:tcPr>
            <w:tcW w:w="74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r>
      <w:tr>
        <w:trPr>
          <w:trHeight w:val="203"/>
        </w:trPr>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74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14</w:t>
            </w:r>
          </w:p>
        </w:tc>
        <w:tc>
          <w:tcPr>
            <w:tcW w:w="740" w:type="dxa"/>
            <w:vAlign w:val="bottom"/>
            <w:shd w:val="clear" w:color="auto" w:fill="E5FFFF"/>
          </w:tcPr>
          <w:p>
            <w:pPr>
              <w:spacing w:after="0"/>
              <w:rPr>
                <w:sz w:val="17"/>
                <w:szCs w:val="17"/>
                <w:color w:val="auto"/>
              </w:rPr>
            </w:pPr>
          </w:p>
        </w:tc>
        <w:tc>
          <w:tcPr>
            <w:tcW w:w="4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20</w:t>
            </w:r>
          </w:p>
        </w:tc>
      </w:tr>
      <w:tr>
        <w:trPr>
          <w:trHeight w:val="216"/>
        </w:trPr>
        <w:tc>
          <w:tcPr>
            <w:tcW w:w="61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Corporate</w:t>
            </w: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E5FFFF"/>
            </w:tcBorders>
          </w:tcPr>
          <w:p>
            <w:pPr>
              <w:spacing w:after="0"/>
              <w:rPr>
                <w:sz w:val="18"/>
                <w:szCs w:val="18"/>
                <w:color w:val="auto"/>
              </w:rPr>
            </w:pPr>
          </w:p>
        </w:tc>
      </w:tr>
      <w:tr>
        <w:trPr>
          <w:trHeight w:val="210"/>
        </w:trPr>
        <w:tc>
          <w:tcPr>
            <w:tcW w:w="618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129</w:t>
            </w:r>
          </w:p>
        </w:tc>
        <w:tc>
          <w:tcPr>
            <w:tcW w:w="36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117</w:t>
            </w:r>
          </w:p>
        </w:tc>
        <w:tc>
          <w:tcPr>
            <w:tcW w:w="160" w:type="dxa"/>
            <w:vAlign w:val="bottom"/>
            <w:shd w:val="clear" w:color="auto" w:fill="E5FFFF"/>
          </w:tcPr>
          <w:p>
            <w:pPr>
              <w:spacing w:after="0"/>
              <w:rPr>
                <w:sz w:val="18"/>
                <w:szCs w:val="18"/>
                <w:color w:val="auto"/>
              </w:rPr>
            </w:pPr>
          </w:p>
        </w:tc>
        <w:tc>
          <w:tcPr>
            <w:tcW w:w="44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260</w:t>
            </w:r>
          </w:p>
        </w:tc>
        <w:tc>
          <w:tcPr>
            <w:tcW w:w="44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331</w:t>
            </w:r>
          </w:p>
        </w:tc>
      </w:tr>
      <w:tr>
        <w:trPr>
          <w:trHeight w:val="20"/>
        </w:trPr>
        <w:tc>
          <w:tcPr>
            <w:tcW w:w="61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quarter ended June 30, 2015, we recognized repositioning charges totaling $39 million primarily for severance costs related to workforce reductions of 940 manufacturing and administrative positions mainly in Automation and Control Solutions (ACS) and Performance Materials and Technologies (PMT). The workforce reductions were primarily related to cost savings actions taken in connection with our productivity and ongoing functional transformation initiatives.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quarter ended June 30, 2014, we recognized repositioning charges totaling $17 million including severance costs of $11 million related to workforce reductions of 213 manufacturing and administrative positions primarily in ACS. The workforce reductions were primarily related to cost savings actions taken in connection with our productivity and ongoing functional transformation initiatives.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six months ended June 30, 2015, we recognized repositioning charges totaling $85 million including severance costs of $75 million related to workforce reductions of 3,980 manufacturing and administrative positions across our segments. The workforce reductions were primarily related to cost savings actions taken in connection with our productivity and ongoing functional transformation initiatives and outsourcing of certain component manufacturing in ACS. The previously established accruals of $12 million, primarily for severance, were mainly in ACS and were returned to income due principally to fewer employee severance actions caused by higher attrition than originally associated with prior severance programs.</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six months ended June 30, 2014, we recognized repositioning charges totaling $105 million including severance costs of $82 million related to workforce reductions of 1,733 manufacturing and administrative positions across our segments. The workforce reductions were primarily related to cost savings actions taken in connection with our productivity and ongoing functional transformation initiatives, factory transitions in ACS to more cost-effective locations, site consolidations and organizational realignments of businesses in ACS and PMT. The repositioning charge includes asset impairments of $11 million primarily related to manufacturing plant and equipment associated with site consolidations and factory transitions. The repositioning charge also includes exit costs of $12 million primarily related to closure obligations and costs for early termination of lease contracts associated with site consolidations and factory transitions.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Severance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Exit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Impairments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12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285</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30</w:t>
            </w:r>
          </w:p>
        </w:tc>
        <w:tc>
          <w:tcPr>
            <w:tcW w:w="2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315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3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(44)</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June 30, 2015</w:t>
            </w:r>
          </w:p>
        </w:tc>
        <w:tc>
          <w:tcPr>
            <w:tcW w:w="1260" w:type="dxa"/>
            <w:vAlign w:val="bottom"/>
            <w:shd w:val="clear" w:color="auto" w:fill="E5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E5FFFF"/>
          </w:tcPr>
          <w:p>
            <w:pPr>
              <w:spacing w:after="0"/>
              <w:rPr>
                <w:sz w:val="18"/>
                <w:szCs w:val="18"/>
                <w:color w:val="auto"/>
              </w:rPr>
            </w:pPr>
          </w:p>
        </w:tc>
        <w:tc>
          <w:tcPr>
            <w:tcW w:w="148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301</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3680" w:type="dxa"/>
            <w:vAlign w:val="bottom"/>
            <w:tcBorders>
              <w:top w:val="single" w:sz="8" w:color="E5FFFF"/>
            </w:tcBorders>
          </w:tcPr>
          <w:p>
            <w:pPr>
              <w:spacing w:after="0" w:line="20" w:lineRule="exact"/>
              <w:rPr>
                <w:sz w:val="1"/>
                <w:szCs w:val="1"/>
                <w:color w:val="auto"/>
              </w:rPr>
            </w:pPr>
          </w:p>
        </w:tc>
        <w:tc>
          <w:tcPr>
            <w:tcW w:w="12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46" w:lineRule="auto"/>
        <w:rPr>
          <w:sz w:val="20"/>
          <w:szCs w:val="20"/>
          <w:color w:val="auto"/>
        </w:rPr>
      </w:pPr>
      <w:r>
        <w:rPr>
          <w:rFonts w:ascii="Arial" w:cs="Arial" w:eastAsia="Arial" w:hAnsi="Arial"/>
          <w:sz w:val="18"/>
          <w:szCs w:val="18"/>
          <w:color w:val="auto"/>
        </w:rPr>
        <w:t>Certain repositioning projects in 2015 and 2014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w:t>
            </w:r>
          </w:p>
        </w:tc>
        <w:tc>
          <w:tcPr>
            <w:tcW w:w="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318"/>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319"/>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E5FFFF"/>
            </w:tcBorders>
          </w:tcPr>
          <w:p>
            <w:pPr>
              <w:spacing w:after="0" w:line="20" w:lineRule="exact"/>
              <w:rPr>
                <w:sz w:val="1"/>
                <w:szCs w:val="1"/>
                <w:color w:val="auto"/>
              </w:rPr>
            </w:pPr>
          </w:p>
        </w:tc>
        <w:tc>
          <w:tcPr>
            <w:tcW w:w="3580" w:type="dxa"/>
            <w:vAlign w:val="bottom"/>
            <w:tcBorders>
              <w:bottom w:val="single" w:sz="8" w:color="E5FFFF"/>
            </w:tcBorders>
          </w:tcPr>
          <w:p>
            <w:pPr>
              <w:spacing w:after="0" w:line="20" w:lineRule="exact"/>
              <w:rPr>
                <w:sz w:val="1"/>
                <w:szCs w:val="1"/>
                <w:color w:val="auto"/>
              </w:rPr>
            </w:pPr>
          </w:p>
        </w:tc>
        <w:tc>
          <w:tcPr>
            <w:tcW w:w="960" w:type="dxa"/>
            <w:vAlign w:val="bottom"/>
            <w:tcBorders>
              <w:bottom w:val="single" w:sz="8" w:color="E5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gridSpan w:val="2"/>
            <w:shd w:val="clear" w:color="auto" w:fill="E5FFFF"/>
          </w:tcPr>
          <w:p>
            <w:pPr>
              <w:spacing w:after="0" w:line="183" w:lineRule="exact"/>
              <w:rPr>
                <w:sz w:val="20"/>
                <w:szCs w:val="20"/>
                <w:color w:val="auto"/>
              </w:rPr>
            </w:pPr>
            <w:r>
              <w:rPr>
                <w:rFonts w:ascii="Arial" w:cs="Arial" w:eastAsia="Arial" w:hAnsi="Arial"/>
                <w:sz w:val="18"/>
                <w:szCs w:val="18"/>
                <w:color w:val="auto"/>
              </w:rPr>
              <w:t>Net income attributable to Honeywell</w:t>
            </w:r>
          </w:p>
        </w:tc>
        <w:tc>
          <w:tcPr>
            <w:tcW w:w="960" w:type="dxa"/>
            <w:vAlign w:val="bottom"/>
            <w:shd w:val="clear" w:color="auto" w:fill="E5FFFF"/>
          </w:tcPr>
          <w:p>
            <w:pPr>
              <w:spacing w:after="0"/>
              <w:rPr>
                <w:sz w:val="15"/>
                <w:szCs w:val="15"/>
                <w:color w:val="auto"/>
              </w:rPr>
            </w:pPr>
          </w:p>
        </w:tc>
        <w:tc>
          <w:tcPr>
            <w:tcW w:w="320" w:type="dxa"/>
            <w:vAlign w:val="bottom"/>
            <w:shd w:val="clear" w:color="auto" w:fill="E5FF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1,194</w:t>
            </w:r>
          </w:p>
        </w:tc>
        <w:tc>
          <w:tcPr>
            <w:tcW w:w="24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500" w:type="dxa"/>
            <w:vAlign w:val="bottom"/>
            <w:shd w:val="clear" w:color="auto" w:fill="E5FFFF"/>
          </w:tcPr>
          <w:p>
            <w:pPr>
              <w:jc w:val="right"/>
              <w:ind w:right="310"/>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1,099</w:t>
            </w:r>
          </w:p>
        </w:tc>
        <w:tc>
          <w:tcPr>
            <w:tcW w:w="2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300" w:type="dxa"/>
            <w:vAlign w:val="bottom"/>
            <w:shd w:val="clear" w:color="auto" w:fill="E5FF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2,310</w:t>
            </w:r>
          </w:p>
        </w:tc>
        <w:tc>
          <w:tcPr>
            <w:tcW w:w="2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460" w:type="dxa"/>
            <w:vAlign w:val="bottom"/>
            <w:shd w:val="clear" w:color="auto" w:fill="E5FFFF"/>
          </w:tcPr>
          <w:p>
            <w:pPr>
              <w:jc w:val="right"/>
              <w:ind w:right="27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2,116</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783.3</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784.5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783.5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28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1.52</w:t>
            </w:r>
          </w:p>
        </w:tc>
        <w:tc>
          <w:tcPr>
            <w:tcW w:w="740" w:type="dxa"/>
            <w:vAlign w:val="bottom"/>
            <w:gridSpan w:val="2"/>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1.40</w:t>
            </w:r>
          </w:p>
        </w:tc>
        <w:tc>
          <w:tcPr>
            <w:tcW w:w="22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2.95</w:t>
            </w:r>
          </w:p>
        </w:tc>
        <w:tc>
          <w:tcPr>
            <w:tcW w:w="680" w:type="dxa"/>
            <w:vAlign w:val="bottom"/>
            <w:gridSpan w:val="2"/>
            <w:shd w:val="clear" w:color="auto" w:fill="E5FF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405"/>
        </w:trPr>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58"/>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C0C0C0"/>
            </w:tcBorders>
          </w:tcPr>
          <w:p>
            <w:pPr>
              <w:spacing w:after="0"/>
              <w:rPr>
                <w:sz w:val="20"/>
                <w:szCs w:val="20"/>
                <w:color w:val="auto"/>
              </w:rPr>
            </w:pPr>
          </w:p>
        </w:tc>
        <w:tc>
          <w:tcPr>
            <w:tcW w:w="35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6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2900" w:type="dxa"/>
            <w:vAlign w:val="bottom"/>
            <w:tcBorders>
              <w:bottom w:val="single" w:sz="8" w:color="E5FFFF"/>
            </w:tcBorders>
          </w:tcPr>
          <w:p>
            <w:pPr>
              <w:spacing w:after="0"/>
              <w:rPr>
                <w:sz w:val="15"/>
                <w:szCs w:val="15"/>
                <w:color w:val="auto"/>
              </w:rPr>
            </w:pPr>
          </w:p>
        </w:tc>
        <w:tc>
          <w:tcPr>
            <w:tcW w:w="76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bottom w:val="single" w:sz="8" w:color="auto"/>
            </w:tcBorders>
            <w:gridSpan w:val="2"/>
            <w:shd w:val="clear" w:color="auto" w:fill="E5FFFF"/>
          </w:tcPr>
          <w:p>
            <w:pPr>
              <w:spacing w:after="0" w:line="155" w:lineRule="exact"/>
              <w:rPr>
                <w:sz w:val="20"/>
                <w:szCs w:val="20"/>
                <w:color w:val="auto"/>
              </w:rPr>
            </w:pPr>
            <w:r>
              <w:rPr>
                <w:rFonts w:ascii="Arial" w:cs="Arial" w:eastAsia="Arial" w:hAnsi="Arial"/>
                <w:sz w:val="14"/>
                <w:szCs w:val="14"/>
                <w:b w:val="1"/>
                <w:bCs w:val="1"/>
                <w:color w:val="auto"/>
              </w:rPr>
              <w:t>Assuming Dilution</w:t>
            </w:r>
          </w:p>
        </w:tc>
        <w:tc>
          <w:tcPr>
            <w:tcW w:w="2900" w:type="dxa"/>
            <w:vAlign w:val="bottom"/>
            <w:tcBorders>
              <w:bottom w:val="single" w:sz="8" w:color="E5FFFF"/>
            </w:tcBorders>
            <w:shd w:val="clear" w:color="auto" w:fill="E5FFFF"/>
          </w:tcPr>
          <w:p>
            <w:pPr>
              <w:spacing w:after="0"/>
              <w:rPr>
                <w:sz w:val="15"/>
                <w:szCs w:val="15"/>
                <w:color w:val="auto"/>
              </w:rPr>
            </w:pPr>
          </w:p>
        </w:tc>
        <w:tc>
          <w:tcPr>
            <w:tcW w:w="7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940" w:type="dxa"/>
            <w:vAlign w:val="bottom"/>
            <w:tcBorders>
              <w:bottom w:val="single" w:sz="8" w:color="E5FFFF"/>
            </w:tcBorders>
            <w:shd w:val="clear" w:color="auto" w:fill="E5FFFF"/>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940" w:type="dxa"/>
            <w:vAlign w:val="bottom"/>
            <w:tcBorders>
              <w:bottom w:val="single" w:sz="8" w:color="E5FFFF"/>
            </w:tcBorders>
            <w:shd w:val="clear" w:color="auto" w:fill="E5FFFF"/>
          </w:tcPr>
          <w:p>
            <w:pPr>
              <w:jc w:val="right"/>
              <w:ind w:right="317"/>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760" w:type="dxa"/>
            <w:vAlign w:val="bottom"/>
            <w:tcBorders>
              <w:bottom w:val="single" w:sz="8" w:color="E5FFFF"/>
            </w:tcBorders>
            <w:shd w:val="clear" w:color="auto" w:fill="E5FFFF"/>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180" w:type="dxa"/>
            <w:vAlign w:val="bottom"/>
            <w:gridSpan w:val="4"/>
          </w:tcPr>
          <w:p>
            <w:pPr>
              <w:spacing w:after="0" w:line="203" w:lineRule="exact"/>
              <w:rPr>
                <w:sz w:val="20"/>
                <w:szCs w:val="20"/>
                <w:color w:val="auto"/>
              </w:rPr>
            </w:pPr>
            <w:r>
              <w:rPr>
                <w:rFonts w:ascii="Arial" w:cs="Arial" w:eastAsia="Arial" w:hAnsi="Arial"/>
                <w:sz w:val="18"/>
                <w:szCs w:val="18"/>
                <w:color w:val="auto"/>
              </w:rPr>
              <w:t>Net income attributable to Honeywell</w:t>
            </w:r>
          </w:p>
        </w:tc>
        <w:tc>
          <w:tcPr>
            <w:tcW w:w="760" w:type="dxa"/>
            <w:vAlign w:val="bottom"/>
          </w:tcPr>
          <w:p>
            <w:pPr>
              <w:spacing w:after="0"/>
              <w:rPr>
                <w:sz w:val="17"/>
                <w:szCs w:val="17"/>
                <w:color w:val="auto"/>
              </w:rPr>
            </w:pPr>
          </w:p>
        </w:tc>
        <w:tc>
          <w:tcPr>
            <w:tcW w:w="320" w:type="dxa"/>
            <w:vAlign w:val="bottom"/>
            <w:tcBorders>
              <w:top w:val="single" w:sz="8" w:color="auto"/>
            </w:tcBorders>
          </w:tcPr>
          <w:p>
            <w:pPr>
              <w:jc w:val="right"/>
              <w:ind w:right="130"/>
              <w:spacing w:after="0" w:line="204"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1,194</w:t>
            </w:r>
          </w:p>
        </w:tc>
        <w:tc>
          <w:tcPr>
            <w:tcW w:w="480" w:type="dxa"/>
            <w:vAlign w:val="bottom"/>
          </w:tcPr>
          <w:p>
            <w:pPr>
              <w:spacing w:after="0"/>
              <w:rPr>
                <w:sz w:val="17"/>
                <w:szCs w:val="17"/>
                <w:color w:val="auto"/>
              </w:rPr>
            </w:pPr>
          </w:p>
        </w:tc>
        <w:tc>
          <w:tcPr>
            <w:tcW w:w="520" w:type="dxa"/>
            <w:vAlign w:val="bottom"/>
            <w:tcBorders>
              <w:top w:val="single" w:sz="8" w:color="auto"/>
            </w:tcBorders>
          </w:tcPr>
          <w:p>
            <w:pPr>
              <w:jc w:val="right"/>
              <w:ind w:right="330"/>
              <w:spacing w:after="0" w:line="204"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1,099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4"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2,310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jc w:val="right"/>
              <w:ind w:right="310"/>
              <w:spacing w:after="0" w:line="204"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2,116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3"/>
            <w:shd w:val="clear" w:color="auto" w:fill="E5FFFF"/>
          </w:tcPr>
          <w:p>
            <w:pPr>
              <w:spacing w:after="0"/>
              <w:rPr>
                <w:sz w:val="20"/>
                <w:szCs w:val="20"/>
                <w:color w:val="auto"/>
              </w:rPr>
            </w:pPr>
            <w:r>
              <w:rPr>
                <w:rFonts w:ascii="Arial" w:cs="Arial" w:eastAsia="Arial" w:hAnsi="Arial"/>
                <w:sz w:val="14"/>
                <w:szCs w:val="14"/>
                <w:b w:val="1"/>
                <w:bCs w:val="1"/>
                <w:color w:val="auto"/>
              </w:rPr>
              <w:t>Average Shares</w:t>
            </w:r>
          </w:p>
        </w:tc>
        <w:tc>
          <w:tcPr>
            <w:tcW w:w="7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783.3</w:t>
            </w: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vMerge w:val="restart"/>
          </w:tcPr>
          <w:p>
            <w:pPr>
              <w:jc w:val="right"/>
              <w:ind w:right="220"/>
              <w:spacing w:after="0" w:line="202" w:lineRule="exact"/>
              <w:rPr>
                <w:sz w:val="20"/>
                <w:szCs w:val="20"/>
                <w:color w:val="auto"/>
              </w:rPr>
            </w:pPr>
            <w:r>
              <w:rPr>
                <w:rFonts w:ascii="Arial" w:cs="Arial" w:eastAsia="Arial" w:hAnsi="Arial"/>
                <w:sz w:val="18"/>
                <w:szCs w:val="18"/>
                <w:color w:val="auto"/>
              </w:rPr>
              <w:t>784.5</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vMerge w:val="restart"/>
          </w:tcPr>
          <w:p>
            <w:pPr>
              <w:jc w:val="right"/>
              <w:ind w:right="220"/>
              <w:spacing w:after="0" w:line="202" w:lineRule="exact"/>
              <w:rPr>
                <w:sz w:val="20"/>
                <w:szCs w:val="20"/>
                <w:color w:val="auto"/>
              </w:rPr>
            </w:pPr>
            <w:r>
              <w:rPr>
                <w:rFonts w:ascii="Arial" w:cs="Arial" w:eastAsia="Arial" w:hAnsi="Arial"/>
                <w:sz w:val="18"/>
                <w:szCs w:val="18"/>
                <w:color w:val="auto"/>
              </w:rPr>
              <w:t>783.5</w:t>
            </w: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vMerge w:val="restart"/>
          </w:tcPr>
          <w:p>
            <w:pPr>
              <w:jc w:val="right"/>
              <w:ind w:right="100"/>
              <w:spacing w:after="0" w:line="202" w:lineRule="exact"/>
              <w:rPr>
                <w:sz w:val="20"/>
                <w:szCs w:val="20"/>
                <w:color w:val="auto"/>
              </w:rPr>
            </w:pPr>
            <w:r>
              <w:rPr>
                <w:rFonts w:ascii="Arial" w:cs="Arial" w:eastAsia="Arial" w:hAnsi="Arial"/>
                <w:sz w:val="18"/>
                <w:szCs w:val="18"/>
                <w:color w:val="auto"/>
              </w:rPr>
              <w:t>784.7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gridSpan w:val="3"/>
          </w:tcPr>
          <w:p>
            <w:pPr>
              <w:spacing w:after="0" w:line="182" w:lineRule="exact"/>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Dilutive securities issuable - stock plans</w:t>
            </w:r>
          </w:p>
        </w:tc>
        <w:tc>
          <w:tcPr>
            <w:tcW w:w="7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9.6</w:t>
            </w:r>
          </w:p>
        </w:tc>
        <w:tc>
          <w:tcPr>
            <w:tcW w:w="4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1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Total weighted average shares outstanding</w:t>
            </w: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792.9</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793.4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08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1.51</w:t>
            </w:r>
          </w:p>
        </w:tc>
        <w:tc>
          <w:tcPr>
            <w:tcW w:w="100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1.38</w:t>
            </w:r>
          </w:p>
        </w:tc>
        <w:tc>
          <w:tcPr>
            <w:tcW w:w="22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2.91</w:t>
            </w:r>
          </w:p>
        </w:tc>
        <w:tc>
          <w:tcPr>
            <w:tcW w:w="720" w:type="dxa"/>
            <w:vAlign w:val="bottom"/>
            <w:gridSpan w:val="2"/>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2015, the weighted average number of stock options excluded from the computations were 7.0 million and 7.4 million. For the three and six months ended June 30, 2014, the weighted average number of stock options excluded from the computations were 5.7 million and 3.9 million. These stock options were outstanding at the end of each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Notes and Other Receivables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94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E5FFFF"/>
            </w:tcBorders>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r>
      <w:tr>
        <w:trPr>
          <w:trHeight w:val="196"/>
        </w:trPr>
        <w:tc>
          <w:tcPr>
            <w:tcW w:w="59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Trade</w:t>
            </w: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8,016</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7,788</w:t>
            </w:r>
          </w:p>
        </w:tc>
        <w:tc>
          <w:tcPr>
            <w:tcW w:w="80" w:type="dxa"/>
            <w:vAlign w:val="bottom"/>
            <w:shd w:val="clear" w:color="auto" w:fill="E5FF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445</w:t>
            </w:r>
          </w:p>
        </w:tc>
      </w:tr>
      <w:tr>
        <w:trPr>
          <w:trHeight w:val="196"/>
        </w:trPr>
        <w:tc>
          <w:tcPr>
            <w:tcW w:w="59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8,498</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8,233</w:t>
            </w:r>
          </w:p>
        </w:tc>
        <w:tc>
          <w:tcPr>
            <w:tcW w:w="80" w:type="dxa"/>
            <w:vAlign w:val="bottom"/>
            <w:tcBorders>
              <w:top w:val="single" w:sz="8" w:color="E5FFFF"/>
            </w:tcBorders>
            <w:shd w:val="clear" w:color="auto" w:fill="E5FF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r>
        <w:trPr>
          <w:trHeight w:val="221"/>
        </w:trPr>
        <w:tc>
          <w:tcPr>
            <w:tcW w:w="5940" w:type="dxa"/>
            <w:vAlign w:val="bottom"/>
            <w:tcBorders>
              <w:top w:val="single" w:sz="8" w:color="E5FFFF"/>
              <w:bottom w:val="single" w:sz="8" w:color="E5FFFF"/>
            </w:tcBorders>
            <w:shd w:val="clear" w:color="auto" w:fill="E5FFFF"/>
          </w:tcPr>
          <w:p>
            <w:pPr>
              <w:spacing w:after="0"/>
              <w:rPr>
                <w:sz w:val="18"/>
                <w:szCs w:val="18"/>
                <w:color w:val="auto"/>
              </w:rPr>
            </w:pPr>
          </w:p>
        </w:tc>
        <w:tc>
          <w:tcPr>
            <w:tcW w:w="280" w:type="dxa"/>
            <w:vAlign w:val="bottom"/>
            <w:tcBorders>
              <w:top w:val="single" w:sz="8" w:color="auto"/>
              <w:bottom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8,237</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7,960</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59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bottom w:val="single" w:sz="8" w:color="auto"/>
            </w:tcBorders>
          </w:tcPr>
          <w:p>
            <w:pPr>
              <w:spacing w:after="0" w:line="20" w:lineRule="exact"/>
              <w:rPr>
                <w:sz w:val="1"/>
                <w:szCs w:val="1"/>
                <w:color w:val="auto"/>
              </w:rPr>
            </w:pPr>
          </w:p>
        </w:tc>
        <w:tc>
          <w:tcPr>
            <w:tcW w:w="1100" w:type="dxa"/>
            <w:vAlign w:val="bottom"/>
            <w:tcBorders>
              <w:top w:val="single" w:sz="8" w:color="E5FFFF"/>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bottom w:val="single" w:sz="8" w:color="auto"/>
            </w:tcBorders>
          </w:tcPr>
          <w:p>
            <w:pPr>
              <w:spacing w:after="0" w:line="20" w:lineRule="exact"/>
              <w:rPr>
                <w:sz w:val="1"/>
                <w:szCs w:val="1"/>
                <w:color w:val="auto"/>
              </w:rPr>
            </w:pPr>
          </w:p>
        </w:tc>
        <w:tc>
          <w:tcPr>
            <w:tcW w:w="1180" w:type="dxa"/>
            <w:vAlign w:val="bottom"/>
            <w:tcBorders>
              <w:top w:val="single" w:sz="8" w:color="E5FFFF"/>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Trade receivables include $1,739 and $1,636 million of unbilled balances under long-term contracts as of June 30, 2015 and December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3640" w:type="dxa"/>
            <w:vAlign w:val="bottom"/>
            <w:tcBorders>
              <w:bottom w:val="single" w:sz="8" w:color="E5FFFF"/>
            </w:tcBorders>
          </w:tcPr>
          <w:p>
            <w:pPr>
              <w:spacing w:after="0"/>
              <w:rPr>
                <w:sz w:val="15"/>
                <w:szCs w:val="15"/>
                <w:color w:val="auto"/>
              </w:rPr>
            </w:pPr>
          </w:p>
        </w:tc>
        <w:tc>
          <w:tcPr>
            <w:tcW w:w="230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E5FFFF"/>
            </w:tcBorders>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Raw materials</w:t>
            </w:r>
          </w:p>
        </w:tc>
        <w:tc>
          <w:tcPr>
            <w:tcW w:w="23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1,044</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1,124</w:t>
            </w:r>
          </w:p>
        </w:tc>
        <w:tc>
          <w:tcPr>
            <w:tcW w:w="80" w:type="dxa"/>
            <w:vAlign w:val="bottom"/>
            <w:shd w:val="clear" w:color="auto" w:fill="E5FFFF"/>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64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815</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E5FFFF"/>
          </w:tcPr>
          <w:p>
            <w:pPr>
              <w:ind w:left="40"/>
              <w:spacing w:after="0"/>
              <w:rPr>
                <w:sz w:val="20"/>
                <w:szCs w:val="20"/>
                <w:color w:val="auto"/>
              </w:rPr>
            </w:pPr>
            <w:r>
              <w:rPr>
                <w:rFonts w:ascii="Arial" w:cs="Arial" w:eastAsia="Arial" w:hAnsi="Arial"/>
                <w:sz w:val="18"/>
                <w:szCs w:val="18"/>
                <w:color w:val="auto"/>
              </w:rPr>
              <w:t>Finished products</w:t>
            </w:r>
          </w:p>
        </w:tc>
        <w:tc>
          <w:tcPr>
            <w:tcW w:w="2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2,634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4,573</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E5FFFF"/>
          </w:tcPr>
          <w:p>
            <w:pPr>
              <w:ind w:left="40"/>
              <w:spacing w:after="0"/>
              <w:rPr>
                <w:sz w:val="20"/>
                <w:szCs w:val="20"/>
                <w:color w:val="auto"/>
              </w:rPr>
            </w:pPr>
            <w:r>
              <w:rPr>
                <w:rFonts w:ascii="Arial" w:cs="Arial" w:eastAsia="Arial" w:hAnsi="Arial"/>
                <w:sz w:val="18"/>
                <w:szCs w:val="18"/>
                <w:color w:val="auto"/>
              </w:rPr>
              <w:t>Reduction to LIFO cost basis</w:t>
            </w:r>
          </w:p>
        </w:tc>
        <w:tc>
          <w:tcPr>
            <w:tcW w:w="2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4,405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00" w:type="dxa"/>
            <w:vAlign w:val="bottom"/>
            <w:vMerge w:val="restart"/>
          </w:tcPr>
          <w:p>
            <w:pPr>
              <w:jc w:val="right"/>
              <w:ind w:right="69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bottom w:val="single" w:sz="8" w:color="C0C0C0"/>
            </w:tcBorders>
          </w:tcPr>
          <w:p>
            <w:pPr>
              <w:spacing w:after="0"/>
              <w:rPr>
                <w:sz w:val="20"/>
                <w:szCs w:val="20"/>
                <w:color w:val="auto"/>
              </w:rPr>
            </w:pPr>
          </w:p>
        </w:tc>
        <w:tc>
          <w:tcPr>
            <w:tcW w:w="3640" w:type="dxa"/>
            <w:vAlign w:val="bottom"/>
            <w:tcBorders>
              <w:bottom w:val="single" w:sz="8" w:color="C0C0C0"/>
            </w:tcBorders>
          </w:tcPr>
          <w:p>
            <w:pPr>
              <w:spacing w:after="0"/>
              <w:rPr>
                <w:sz w:val="20"/>
                <w:szCs w:val="20"/>
                <w:color w:val="auto"/>
              </w:rPr>
            </w:pPr>
          </w:p>
        </w:tc>
        <w:tc>
          <w:tcPr>
            <w:tcW w:w="23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6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920" w:type="dxa"/>
            <w:vAlign w:val="bottom"/>
            <w:tcBorders>
              <w:bottom w:val="single" w:sz="8" w:color="E5FFFF"/>
            </w:tcBorders>
          </w:tcPr>
          <w:p>
            <w:pPr>
              <w:spacing w:after="0"/>
              <w:rPr>
                <w:sz w:val="15"/>
                <w:szCs w:val="15"/>
                <w:color w:val="auto"/>
              </w:rPr>
            </w:pPr>
          </w:p>
        </w:tc>
        <w:tc>
          <w:tcPr>
            <w:tcW w:w="398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5"/>
                <w:szCs w:val="15"/>
                <w:color w:val="auto"/>
              </w:rPr>
            </w:pPr>
          </w:p>
        </w:tc>
      </w:tr>
      <w:tr>
        <w:trPr>
          <w:trHeight w:val="196"/>
        </w:trPr>
        <w:tc>
          <w:tcPr>
            <w:tcW w:w="3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Floating rate notes due 2015</w:t>
            </w:r>
          </w:p>
        </w:tc>
        <w:tc>
          <w:tcPr>
            <w:tcW w:w="398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700</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700</w:t>
            </w:r>
          </w:p>
        </w:tc>
        <w:tc>
          <w:tcPr>
            <w:tcW w:w="100" w:type="dxa"/>
            <w:vAlign w:val="bottom"/>
            <w:shd w:val="clear" w:color="auto" w:fill="E5FF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5.40% notes due 2016</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5.30% notes due 2017</w:t>
            </w:r>
          </w:p>
        </w:tc>
        <w:tc>
          <w:tcPr>
            <w:tcW w:w="3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400</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900</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3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900</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4.25% notes due 2021</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3.35% notes due 2023</w:t>
            </w:r>
          </w:p>
        </w:tc>
        <w:tc>
          <w:tcPr>
            <w:tcW w:w="3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300</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5.70% notes due 2036</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2037</w:t>
            </w:r>
          </w:p>
        </w:tc>
        <w:tc>
          <w:tcPr>
            <w:tcW w:w="3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600</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600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5.375% notes due 2041</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Industrial development bond obligations, floating</w:t>
            </w:r>
          </w:p>
        </w:tc>
        <w:tc>
          <w:tcPr>
            <w:tcW w:w="4280" w:type="dxa"/>
            <w:vAlign w:val="bottom"/>
            <w:gridSpan w:val="2"/>
            <w:shd w:val="clear" w:color="auto" w:fill="E5FFFF"/>
          </w:tcPr>
          <w:p>
            <w:pPr>
              <w:jc w:val="right"/>
              <w:ind w:right="650"/>
              <w:spacing w:after="0" w:line="202" w:lineRule="exact"/>
              <w:rPr>
                <w:sz w:val="20"/>
                <w:szCs w:val="20"/>
                <w:color w:val="auto"/>
              </w:rPr>
            </w:pPr>
            <w:r>
              <w:rPr>
                <w:rFonts w:ascii="Arial" w:cs="Arial" w:eastAsia="Arial" w:hAnsi="Arial"/>
                <w:sz w:val="18"/>
                <w:szCs w:val="18"/>
                <w:color w:val="auto"/>
              </w:rPr>
              <w:t>rate maturing at various dates through 2037</w:t>
            </w:r>
          </w:p>
        </w:tc>
        <w:tc>
          <w:tcPr>
            <w:tcW w:w="14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6.625% debentures due 2028</w:t>
            </w: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9.065% debentures due 2033</w:t>
            </w:r>
          </w:p>
        </w:tc>
        <w:tc>
          <w:tcPr>
            <w:tcW w:w="39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51</w:t>
            </w:r>
          </w:p>
        </w:tc>
      </w:tr>
      <w:tr>
        <w:trPr>
          <w:trHeight w:val="202"/>
        </w:trPr>
        <w:tc>
          <w:tcPr>
            <w:tcW w:w="8200" w:type="dxa"/>
            <w:vAlign w:val="bottom"/>
            <w:gridSpan w:val="3"/>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0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0.6%-9.5% maturing at various dates through 2023</w:t>
            </w:r>
          </w:p>
        </w:tc>
        <w:tc>
          <w:tcPr>
            <w:tcW w:w="14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452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538</w:t>
            </w:r>
          </w:p>
        </w:tc>
      </w:tr>
      <w:tr>
        <w:trPr>
          <w:trHeight w:val="196"/>
        </w:trPr>
        <w:tc>
          <w:tcPr>
            <w:tcW w:w="3920" w:type="dxa"/>
            <w:vAlign w:val="bottom"/>
            <w:tcBorders>
              <w:top w:val="single" w:sz="8" w:color="E5FFFF"/>
            </w:tcBorders>
            <w:shd w:val="clear" w:color="auto" w:fill="E5FFFF"/>
          </w:tcPr>
          <w:p>
            <w:pPr>
              <w:spacing w:after="0"/>
              <w:rPr>
                <w:sz w:val="17"/>
                <w:szCs w:val="17"/>
                <w:color w:val="auto"/>
              </w:rPr>
            </w:pPr>
          </w:p>
        </w:tc>
        <w:tc>
          <w:tcPr>
            <w:tcW w:w="398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6,899</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6,985</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392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Less: current portion</w:t>
            </w:r>
          </w:p>
        </w:tc>
        <w:tc>
          <w:tcPr>
            <w:tcW w:w="398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(1,337</w:t>
            </w:r>
          </w:p>
        </w:tc>
        <w:tc>
          <w:tcPr>
            <w:tcW w:w="240" w:type="dxa"/>
            <w:vAlign w:val="bottom"/>
            <w:tcBorders>
              <w:bottom w:val="single" w:sz="8" w:color="E5FF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920" w:type="dxa"/>
            <w:vAlign w:val="bottom"/>
            <w:shd w:val="clear" w:color="auto" w:fill="E5FFFF"/>
          </w:tcPr>
          <w:p>
            <w:pPr>
              <w:spacing w:after="0"/>
              <w:rPr>
                <w:sz w:val="18"/>
                <w:szCs w:val="18"/>
                <w:color w:val="auto"/>
              </w:rPr>
            </w:pPr>
          </w:p>
        </w:tc>
        <w:tc>
          <w:tcPr>
            <w:tcW w:w="4280" w:type="dxa"/>
            <w:vAlign w:val="bottom"/>
            <w:gridSpan w:val="2"/>
            <w:shd w:val="clear" w:color="auto" w:fill="E5FF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5,562</w:t>
            </w:r>
          </w:p>
        </w:tc>
        <w:tc>
          <w:tcPr>
            <w:tcW w:w="42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6,046</w:t>
            </w:r>
          </w:p>
        </w:tc>
      </w:tr>
      <w:tr>
        <w:trPr>
          <w:trHeight w:val="20"/>
        </w:trPr>
        <w:tc>
          <w:tcPr>
            <w:tcW w:w="3920" w:type="dxa"/>
            <w:vAlign w:val="bottom"/>
            <w:tcBorders>
              <w:top w:val="single" w:sz="8" w:color="E5FFFF"/>
            </w:tcBorders>
          </w:tcPr>
          <w:p>
            <w:pPr>
              <w:spacing w:after="0" w:line="20" w:lineRule="exact"/>
              <w:rPr>
                <w:sz w:val="1"/>
                <w:szCs w:val="1"/>
                <w:color w:val="auto"/>
              </w:rPr>
            </w:pPr>
          </w:p>
        </w:tc>
        <w:tc>
          <w:tcPr>
            <w:tcW w:w="398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July 10, 2015, the Company entered into a $4 billion Amended and Restated Five Year Credit Agreement (Credit Agreement) with a syndicate of banks. Commitments under the Credit Agreement can be increased pursuant to the terms of the Credit Agreement to an aggregate amount not to exceed $4.5 billion. The Credit Agreement amends and restates the previous $4 billion five year credit agreement with substantially the same material terms and conditions. A full description of the Credit Agreement can be found in the Company’s Current Report on Form 8-K, dated July 10,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Financial Statements in our 2014 Annual Report on Form 10-K.</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following table sets forth the Company’s financial assets and liabilities that were accounted for at fair value on a recurring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620" w:type="dxa"/>
            <w:vAlign w:val="bottom"/>
            <w:tcBorders>
              <w:bottom w:val="single" w:sz="8" w:color="E5FFFF"/>
            </w:tcBorders>
          </w:tcPr>
          <w:p>
            <w:pPr>
              <w:spacing w:after="0"/>
              <w:rPr>
                <w:sz w:val="15"/>
                <w:szCs w:val="15"/>
                <w:color w:val="auto"/>
              </w:rPr>
            </w:pPr>
          </w:p>
        </w:tc>
        <w:tc>
          <w:tcPr>
            <w:tcW w:w="13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r>
      <w:tr>
        <w:trPr>
          <w:trHeight w:val="196"/>
        </w:trPr>
        <w:tc>
          <w:tcPr>
            <w:tcW w:w="462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4620" w:type="dxa"/>
            <w:vAlign w:val="bottom"/>
          </w:tcPr>
          <w:p>
            <w:pPr>
              <w:ind w:left="340"/>
              <w:spacing w:after="0" w:line="202" w:lineRule="exact"/>
              <w:rPr>
                <w:sz w:val="20"/>
                <w:szCs w:val="20"/>
                <w:color w:val="auto"/>
              </w:rPr>
            </w:pPr>
            <w:r>
              <w:rPr>
                <w:rFonts w:ascii="Arial" w:cs="Arial" w:eastAsia="Arial" w:hAnsi="Arial"/>
                <w:sz w:val="18"/>
                <w:szCs w:val="18"/>
                <w:color w:val="auto"/>
              </w:rPr>
              <w:t>Foreign currency exchange contracts</w:t>
            </w: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r>
      <w:tr>
        <w:trPr>
          <w:trHeight w:val="203"/>
        </w:trPr>
        <w:tc>
          <w:tcPr>
            <w:tcW w:w="46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Available for sale investments</w:t>
            </w:r>
          </w:p>
        </w:tc>
        <w:tc>
          <w:tcPr>
            <w:tcW w:w="1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3,184</w:t>
            </w: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1,479</w:t>
            </w:r>
          </w:p>
        </w:tc>
        <w:tc>
          <w:tcPr>
            <w:tcW w:w="80" w:type="dxa"/>
            <w:vAlign w:val="bottom"/>
            <w:shd w:val="clear" w:color="auto" w:fill="E5FFFF"/>
          </w:tcPr>
          <w:p>
            <w:pPr>
              <w:spacing w:after="0"/>
              <w:rPr>
                <w:sz w:val="17"/>
                <w:szCs w:val="17"/>
                <w:color w:val="auto"/>
              </w:rPr>
            </w:pPr>
          </w:p>
        </w:tc>
      </w:tr>
      <w:tr>
        <w:trPr>
          <w:trHeight w:val="217"/>
        </w:trPr>
        <w:tc>
          <w:tcPr>
            <w:tcW w:w="4620" w:type="dxa"/>
            <w:vAlign w:val="bottom"/>
          </w:tcPr>
          <w:p>
            <w:pPr>
              <w:ind w:left="340"/>
              <w:spacing w:after="0"/>
              <w:rPr>
                <w:sz w:val="20"/>
                <w:szCs w:val="20"/>
                <w:color w:val="auto"/>
              </w:rPr>
            </w:pPr>
            <w:r>
              <w:rPr>
                <w:rFonts w:ascii="Arial" w:cs="Arial" w:eastAsia="Arial" w:hAnsi="Arial"/>
                <w:sz w:val="18"/>
                <w:szCs w:val="18"/>
                <w:color w:val="auto"/>
              </w:rPr>
              <w:t>Interest rate swap agreements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r>
      <w:tr>
        <w:trPr>
          <w:trHeight w:val="188"/>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620" w:type="dxa"/>
            <w:vAlign w:val="bottom"/>
            <w:shd w:val="clear" w:color="auto" w:fill="E5FF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17"/>
        </w:trPr>
        <w:tc>
          <w:tcPr>
            <w:tcW w:w="4620" w:type="dxa"/>
            <w:vAlign w:val="bottom"/>
          </w:tcPr>
          <w:p>
            <w:pPr>
              <w:ind w:left="340"/>
              <w:spacing w:after="0"/>
              <w:rPr>
                <w:sz w:val="20"/>
                <w:szCs w:val="20"/>
                <w:color w:val="auto"/>
              </w:rPr>
            </w:pPr>
            <w:r>
              <w:rPr>
                <w:rFonts w:ascii="Arial" w:cs="Arial" w:eastAsia="Arial" w:hAnsi="Arial"/>
                <w:sz w:val="18"/>
                <w:szCs w:val="18"/>
                <w:color w:val="auto"/>
              </w:rPr>
              <w:t>Foreign currency exchange contracts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bl>
    <w:p>
      <w:pPr>
        <w:spacing w:after="0" w:line="20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of the fair value hierarchy. The Company holds investments in certificates of deposits, time deposits and commercial paper that are designated as available for sale and are valued using market transactions in over-the-counter markets. These investments are classified within level 2 of the fair value hierarchy.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 2015</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600"/>
              <w:spacing w:after="0" w:line="14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center"/>
              <w:ind w:right="299"/>
              <w:spacing w:after="0" w:line="14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center"/>
              <w:ind w:right="399"/>
              <w:spacing w:after="0" w:line="14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Value</w:t>
            </w:r>
          </w:p>
        </w:tc>
      </w:tr>
      <w:tr>
        <w:trPr>
          <w:trHeight w:val="210"/>
        </w:trPr>
        <w:tc>
          <w:tcPr>
            <w:tcW w:w="4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06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320</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22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297</w:t>
            </w:r>
          </w:p>
        </w:tc>
        <w:tc>
          <w:tcPr>
            <w:tcW w:w="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w:t>
            </w:r>
          </w:p>
        </w:tc>
      </w:tr>
      <w:tr>
        <w:trPr>
          <w:trHeight w:val="216"/>
        </w:trPr>
        <w:tc>
          <w:tcPr>
            <w:tcW w:w="4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6,899</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7,533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6,985</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7,817</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These receivables are classified within level 2 of the fair value hierarchy. The Company determined the fair value of the long-term debt and related current maturities utilizing transactions in the listed markets for identical or similar liabilities. The long-term debt and related current maturities are also classified within level 2 of the fair value hierarchy.</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We enter into transactions designed to provide for netting of offsetting obligations in the event of the insolvency or default of a counterparty. However, we have not elected to offset multiple contracts with a single counterparty, therefore the fair value of the derivative instruments in a loss position is not offset against the fair value of derivative instruments in a gain position.</w:t>
      </w:r>
    </w:p>
    <w:p>
      <w:pPr>
        <w:spacing w:after="0" w:line="189"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2015, we recognized $29 million and $13 million of losses in earnings on interest rate swap agreements. For the three and six months ended June 30, 2014, we recognized $ 15 million and $ 28 million of gains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$24 million of income and $138 million of expense in Other (Income) Expense for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three and six months ended June 30, 2015. We recognized $82 million and $25 million of expense in Other (Income) Expense for the three and six months ended June 30,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Changes in</w:t>
            </w: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Changes in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 Available</w:t>
            </w: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Effective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Translation</w:t>
            </w: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for Sale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Cash Flow</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Hedges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2014</w:t>
            </w: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(740)</w:t>
            </w: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(728)</w:t>
            </w: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38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7"/>
                <w:szCs w:val="17"/>
                <w:color w:val="auto"/>
              </w:rPr>
            </w:pPr>
          </w:p>
        </w:tc>
        <w:tc>
          <w:tcPr>
            <w:tcW w:w="13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(510)</w:t>
            </w:r>
          </w:p>
        </w:tc>
        <w:tc>
          <w:tcPr>
            <w:tcW w:w="140" w:type="dxa"/>
            <w:vAlign w:val="bottom"/>
          </w:tcPr>
          <w:p>
            <w:pPr>
              <w:spacing w:after="0"/>
              <w:rPr>
                <w:sz w:val="17"/>
                <w:szCs w:val="17"/>
                <w:color w:val="auto"/>
              </w:rPr>
            </w:pPr>
          </w:p>
        </w:tc>
        <w:tc>
          <w:tcPr>
            <w:tcW w:w="13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68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ind w:left="160"/>
              <w:spacing w:after="0" w:line="182" w:lineRule="exact"/>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Balance at June 30, 2015</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E5FFFF"/>
          </w:tcPr>
          <w:p>
            <w:pPr>
              <w:jc w:val="right"/>
              <w:ind w:right="20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E5FFFF"/>
          </w:tcPr>
          <w:p>
            <w:pPr>
              <w:jc w:val="right"/>
              <w:ind w:right="22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vMerge w:val="continue"/>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(738</w:t>
            </w:r>
          </w:p>
        </w:tc>
        <w:tc>
          <w:tcPr>
            <w:tcW w:w="360" w:type="dxa"/>
            <w:vAlign w:val="bottom"/>
            <w:vMerge w:val="continue"/>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5FFFF"/>
          </w:tcPr>
          <w:p>
            <w:pPr>
              <w:spacing w:after="0"/>
              <w:rPr>
                <w:sz w:val="18"/>
                <w:szCs w:val="18"/>
                <w:color w:val="auto"/>
              </w:rPr>
            </w:pPr>
          </w:p>
        </w:tc>
        <w:tc>
          <w:tcPr>
            <w:tcW w:w="3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vMerge w:val="continue"/>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Changes in</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Changes in</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 Available</w:t>
            </w: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Effective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Translation</w:t>
            </w: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for Sale</w:t>
            </w: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Cash Flow</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Hedges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Balance at December 31, 2013</w:t>
            </w: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304</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355</w:t>
            </w:r>
          </w:p>
        </w:tc>
        <w:tc>
          <w:tcPr>
            <w:tcW w:w="36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170</w:t>
            </w: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38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ind w:left="160"/>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340"/>
              <w:spacing w:after="0" w:line="203" w:lineRule="exact"/>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7"/>
                <w:szCs w:val="17"/>
                <w:color w:val="auto"/>
              </w:rPr>
            </w:pPr>
          </w:p>
        </w:tc>
        <w:tc>
          <w:tcPr>
            <w:tcW w:w="13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61</w:t>
            </w:r>
          </w:p>
        </w:tc>
        <w:tc>
          <w:tcPr>
            <w:tcW w:w="140" w:type="dxa"/>
            <w:vAlign w:val="bottom"/>
          </w:tcPr>
          <w:p>
            <w:pPr>
              <w:spacing w:after="0"/>
              <w:rPr>
                <w:sz w:val="17"/>
                <w:szCs w:val="17"/>
                <w:color w:val="auto"/>
              </w:rPr>
            </w:pPr>
          </w:p>
        </w:tc>
        <w:tc>
          <w:tcPr>
            <w:tcW w:w="13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E5FFFF"/>
          </w:tcPr>
          <w:p>
            <w:pPr>
              <w:ind w:left="16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E5FFFF"/>
          </w:tcPr>
          <w:p>
            <w:pPr>
              <w:ind w:left="3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ind w:left="160"/>
              <w:spacing w:after="0" w:line="182" w:lineRule="exact"/>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Balance at June 30, 2014</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364</w:t>
            </w:r>
          </w:p>
        </w:tc>
        <w:tc>
          <w:tcPr>
            <w:tcW w:w="36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E5FFFF"/>
          </w:tcPr>
          <w:p>
            <w:pPr>
              <w:spacing w:after="0"/>
              <w:rPr>
                <w:sz w:val="18"/>
                <w:szCs w:val="18"/>
                <w:color w:val="auto"/>
              </w:rPr>
            </w:pPr>
          </w:p>
        </w:tc>
        <w:tc>
          <w:tcPr>
            <w:tcW w:w="38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Financial Data</w:t>
      </w:r>
    </w:p>
    <w:p>
      <w:pPr>
        <w:spacing w:after="0" w:line="220" w:lineRule="exact"/>
        <w:rPr>
          <w:sz w:val="20"/>
          <w:szCs w:val="20"/>
          <w:color w:val="auto"/>
        </w:rPr>
      </w:pPr>
    </w:p>
    <w:p>
      <w:pPr>
        <w:jc w:val="both"/>
        <w:ind w:right="260" w:firstLine="648"/>
        <w:spacing w:after="0" w:line="239" w:lineRule="auto"/>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 and accounting changes.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2900" w:type="dxa"/>
            <w:vAlign w:val="bottom"/>
            <w:tcBorders>
              <w:bottom w:val="single" w:sz="8" w:color="E5FFFF"/>
            </w:tcBorders>
          </w:tcPr>
          <w:p>
            <w:pPr>
              <w:spacing w:after="0"/>
              <w:rPr>
                <w:sz w:val="17"/>
                <w:szCs w:val="17"/>
                <w:color w:val="auto"/>
              </w:rPr>
            </w:pPr>
          </w:p>
        </w:tc>
        <w:tc>
          <w:tcPr>
            <w:tcW w:w="84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8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84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98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46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960" w:type="dxa"/>
            <w:vAlign w:val="bottom"/>
            <w:shd w:val="clear" w:color="auto" w:fill="E5FFFF"/>
          </w:tcPr>
          <w:p>
            <w:pPr>
              <w:spacing w:after="0"/>
              <w:rPr>
                <w:sz w:val="14"/>
                <w:szCs w:val="14"/>
                <w:color w:val="auto"/>
              </w:rPr>
            </w:pPr>
          </w:p>
        </w:tc>
        <w:tc>
          <w:tcPr>
            <w:tcW w:w="26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440" w:type="dxa"/>
            <w:vAlign w:val="bottom"/>
            <w:shd w:val="clear" w:color="auto" w:fill="E5FFFF"/>
          </w:tcPr>
          <w:p>
            <w:pPr>
              <w:spacing w:after="0"/>
              <w:rPr>
                <w:sz w:val="14"/>
                <w:szCs w:val="14"/>
                <w:color w:val="auto"/>
              </w:rPr>
            </w:pPr>
          </w:p>
        </w:tc>
        <w:tc>
          <w:tcPr>
            <w:tcW w:w="8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2900" w:type="dxa"/>
            <w:vAlign w:val="bottom"/>
            <w:shd w:val="clear" w:color="auto" w:fill="E5FFFF"/>
          </w:tcPr>
          <w:p>
            <w:pPr>
              <w:spacing w:after="0"/>
              <w:rPr>
                <w:sz w:val="2"/>
                <w:szCs w:val="2"/>
                <w:color w:val="auto"/>
              </w:rPr>
            </w:pPr>
          </w:p>
        </w:tc>
        <w:tc>
          <w:tcPr>
            <w:tcW w:w="84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98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46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960" w:type="dxa"/>
            <w:vAlign w:val="bottom"/>
            <w:shd w:val="clear" w:color="auto" w:fill="E5FFFF"/>
          </w:tcPr>
          <w:p>
            <w:pPr>
              <w:spacing w:after="0"/>
              <w:rPr>
                <w:sz w:val="2"/>
                <w:szCs w:val="2"/>
                <w:color w:val="auto"/>
              </w:rPr>
            </w:pPr>
          </w:p>
        </w:tc>
        <w:tc>
          <w:tcPr>
            <w:tcW w:w="26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440" w:type="dxa"/>
            <w:vAlign w:val="bottom"/>
            <w:shd w:val="clear" w:color="auto" w:fill="E5FFFF"/>
          </w:tcPr>
          <w:p>
            <w:pPr>
              <w:spacing w:after="0"/>
              <w:rPr>
                <w:sz w:val="2"/>
                <w:szCs w:val="2"/>
                <w:color w:val="auto"/>
              </w:rPr>
            </w:pPr>
          </w:p>
        </w:tc>
        <w:tc>
          <w:tcPr>
            <w:tcW w:w="82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112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2,623</w:t>
            </w:r>
          </w:p>
        </w:tc>
        <w:tc>
          <w:tcPr>
            <w:tcW w:w="6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2,820</w:t>
            </w:r>
          </w:p>
        </w:tc>
        <w:tc>
          <w:tcPr>
            <w:tcW w:w="48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5,086</w:t>
            </w:r>
          </w:p>
        </w:tc>
        <w:tc>
          <w:tcPr>
            <w:tcW w:w="62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2,348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E5FFFF"/>
            </w:tcBorders>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3,827</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4,010</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7,434</w:t>
            </w:r>
          </w:p>
        </w:tc>
        <w:tc>
          <w:tcPr>
            <w:tcW w:w="2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7,861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3,243</w:t>
            </w:r>
          </w:p>
        </w:tc>
        <w:tc>
          <w:tcPr>
            <w:tcW w:w="2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3,287</w:t>
            </w:r>
          </w:p>
        </w:tc>
        <w:tc>
          <w:tcPr>
            <w:tcW w:w="2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6,222</w:t>
            </w:r>
          </w:p>
        </w:tc>
        <w:tc>
          <w:tcPr>
            <w:tcW w:w="1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E5FFFF"/>
            </w:tcBorders>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3,553</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3,607</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6,817</w:t>
            </w:r>
          </w:p>
        </w:tc>
        <w:tc>
          <w:tcPr>
            <w:tcW w:w="2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6,969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1,932</w:t>
            </w:r>
          </w:p>
        </w:tc>
        <w:tc>
          <w:tcPr>
            <w:tcW w:w="2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2,171</w:t>
            </w:r>
          </w:p>
        </w:tc>
        <w:tc>
          <w:tcPr>
            <w:tcW w:w="2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3,854</w:t>
            </w:r>
          </w:p>
        </w:tc>
        <w:tc>
          <w:tcPr>
            <w:tcW w:w="1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E5FFFF"/>
            </w:tcBorders>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2,395</w:t>
            </w: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bottom w:val="single" w:sz="8" w:color="auto"/>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2,636</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4,737</w:t>
            </w:r>
          </w:p>
        </w:tc>
        <w:tc>
          <w:tcPr>
            <w:tcW w:w="26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5,102</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9,775</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10,253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18,988</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7"/>
              </w:rPr>
              <w:t>Segment Profit</w:t>
            </w:r>
          </w:p>
        </w:tc>
        <w:tc>
          <w:tcPr>
            <w:tcW w:w="290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98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460" w:type="dxa"/>
            <w:vAlign w:val="bottom"/>
            <w:tcBorders>
              <w:bottom w:val="single" w:sz="8" w:color="E5FFFF"/>
            </w:tcBorders>
            <w:shd w:val="clear" w:color="auto" w:fill="E5FFFF"/>
          </w:tcPr>
          <w:p>
            <w:pPr>
              <w:spacing w:after="0"/>
              <w:rPr>
                <w:sz w:val="15"/>
                <w:szCs w:val="15"/>
                <w:color w:val="auto"/>
              </w:rPr>
            </w:pPr>
          </w:p>
        </w:tc>
        <w:tc>
          <w:tcPr>
            <w:tcW w:w="80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96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440" w:type="dxa"/>
            <w:vAlign w:val="bottom"/>
            <w:tcBorders>
              <w:bottom w:val="single" w:sz="8" w:color="E5FFFF"/>
            </w:tcBorders>
            <w:shd w:val="clear" w:color="auto" w:fill="E5FFFF"/>
          </w:tcPr>
          <w:p>
            <w:pPr>
              <w:spacing w:after="0"/>
              <w:rPr>
                <w:sz w:val="15"/>
                <w:szCs w:val="15"/>
                <w:color w:val="auto"/>
              </w:rPr>
            </w:pPr>
          </w:p>
        </w:tc>
        <w:tc>
          <w:tcPr>
            <w:tcW w:w="82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777</w:t>
            </w: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759</w:t>
            </w:r>
          </w:p>
        </w:tc>
        <w:tc>
          <w:tcPr>
            <w:tcW w:w="240" w:type="dxa"/>
            <w:vAlign w:val="bottom"/>
          </w:tcPr>
          <w:p>
            <w:pPr>
              <w:spacing w:after="0"/>
              <w:rPr>
                <w:sz w:val="17"/>
                <w:szCs w:val="17"/>
                <w:color w:val="auto"/>
              </w:rPr>
            </w:pPr>
          </w:p>
        </w:tc>
        <w:tc>
          <w:tcPr>
            <w:tcW w:w="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1,529</w:t>
            </w:r>
          </w:p>
        </w:tc>
        <w:tc>
          <w:tcPr>
            <w:tcW w:w="6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8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567</w:t>
            </w:r>
          </w:p>
        </w:tc>
        <w:tc>
          <w:tcPr>
            <w:tcW w:w="2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533</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2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1,083</w:t>
            </w:r>
          </w:p>
        </w:tc>
        <w:tc>
          <w:tcPr>
            <w:tcW w:w="1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509</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1,012</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3"/>
            <w:vMerge w:val="restart"/>
          </w:tcPr>
          <w:p>
            <w:pPr>
              <w:ind w:left="160"/>
              <w:spacing w:after="0"/>
              <w:rPr>
                <w:sz w:val="20"/>
                <w:szCs w:val="20"/>
                <w:color w:val="auto"/>
              </w:rPr>
            </w:pPr>
            <w:r>
              <w:rPr>
                <w:rFonts w:ascii="Arial" w:cs="Arial" w:eastAsia="Arial" w:hAnsi="Arial"/>
                <w:sz w:val="18"/>
                <w:szCs w:val="18"/>
                <w:color w:val="auto"/>
              </w:rPr>
              <w:t>Total segment profit</w:t>
            </w: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3,524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income</w:t>
            </w:r>
            <w:r>
              <w:rPr>
                <w:rFonts w:ascii="Arial" w:cs="Arial" w:eastAsia="Arial" w:hAnsi="Arial"/>
                <w:sz w:val="28"/>
                <w:szCs w:val="28"/>
                <w:color w:val="auto"/>
                <w:vertAlign w:val="superscript"/>
              </w:rPr>
              <w:t>(a)</w:t>
            </w:r>
          </w:p>
        </w:tc>
        <w:tc>
          <w:tcPr>
            <w:tcW w:w="8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(77)</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8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expense</w:t>
            </w:r>
            <w:r>
              <w:rPr>
                <w:rFonts w:ascii="Arial" w:cs="Arial" w:eastAsia="Arial" w:hAnsi="Arial"/>
                <w:sz w:val="28"/>
                <w:szCs w:val="28"/>
                <w:color w:val="auto"/>
                <w:vertAlign w:val="superscript"/>
              </w:rPr>
              <w:t>(b)</w:t>
            </w:r>
          </w:p>
        </w:tc>
        <w:tc>
          <w:tcPr>
            <w:tcW w:w="8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gridSpan w:val="3"/>
            <w:vMerge w:val="restart"/>
            <w:shd w:val="clear" w:color="auto" w:fill="E5FFFF"/>
          </w:tcPr>
          <w:p>
            <w:pPr>
              <w:spacing w:after="0"/>
              <w:rPr>
                <w:sz w:val="20"/>
                <w:szCs w:val="20"/>
                <w:color w:val="auto"/>
              </w:rPr>
            </w:pPr>
            <w:r>
              <w:rPr>
                <w:rFonts w:ascii="Arial" w:cs="Arial" w:eastAsia="Arial" w:hAnsi="Arial"/>
                <w:sz w:val="18"/>
                <w:szCs w:val="18"/>
                <w:color w:val="auto"/>
              </w:rPr>
              <w:t>Income before taxes</w:t>
            </w:r>
          </w:p>
        </w:tc>
        <w:tc>
          <w:tcPr>
            <w:tcW w:w="840" w:type="dxa"/>
            <w:vAlign w:val="bottom"/>
            <w:shd w:val="clear" w:color="auto" w:fill="E5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3"/>
            <w:vMerge w:val="continue"/>
            <w:shd w:val="clear" w:color="auto" w:fill="E5FFFF"/>
          </w:tcPr>
          <w:p>
            <w:pPr>
              <w:spacing w:after="0"/>
              <w:rPr>
                <w:sz w:val="18"/>
                <w:szCs w:val="18"/>
                <w:color w:val="auto"/>
              </w:rPr>
            </w:pPr>
          </w:p>
        </w:tc>
        <w:tc>
          <w:tcPr>
            <w:tcW w:w="112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1,662</w:t>
            </w:r>
          </w:p>
        </w:tc>
        <w:tc>
          <w:tcPr>
            <w:tcW w:w="66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1,523</w:t>
            </w:r>
          </w:p>
        </w:tc>
        <w:tc>
          <w:tcPr>
            <w:tcW w:w="48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3,226</w:t>
            </w:r>
          </w:p>
        </w:tc>
        <w:tc>
          <w:tcPr>
            <w:tcW w:w="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90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80" w:type="dxa"/>
            <w:vAlign w:val="bottom"/>
            <w:gridSpan w:val="5"/>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 2015</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880" w:type="dxa"/>
            <w:vAlign w:val="bottom"/>
            <w:gridSpan w:val="2"/>
            <w:shd w:val="clear" w:color="auto" w:fill="E5FFFF"/>
          </w:tcPr>
          <w:p>
            <w:pPr>
              <w:jc w:val="right"/>
              <w:ind w:right="668"/>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57</w:t>
            </w:r>
          </w:p>
        </w:tc>
        <w:tc>
          <w:tcPr>
            <w:tcW w:w="1040" w:type="dxa"/>
            <w:vAlign w:val="bottom"/>
            <w:gridSpan w:val="2"/>
            <w:shd w:val="clear" w:color="auto" w:fill="E5FF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1020" w:type="dxa"/>
            <w:vAlign w:val="bottom"/>
            <w:gridSpan w:val="2"/>
            <w:shd w:val="clear" w:color="auto" w:fill="E5FF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114</w:t>
            </w:r>
          </w:p>
        </w:tc>
        <w:tc>
          <w:tcPr>
            <w:tcW w:w="440" w:type="dxa"/>
            <w:vAlign w:val="bottom"/>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120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356</w:t>
            </w: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(321)</w:t>
            </w: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(315)</w:t>
            </w: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(641)</w:t>
            </w: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E5FFFF"/>
          </w:tcPr>
          <w:p>
            <w:pPr>
              <w:spacing w:after="0" w:line="20" w:lineRule="exact"/>
              <w:rPr>
                <w:sz w:val="1"/>
                <w:szCs w:val="1"/>
                <w:color w:val="auto"/>
              </w:rPr>
            </w:pPr>
          </w:p>
        </w:tc>
        <w:tc>
          <w:tcPr>
            <w:tcW w:w="1040" w:type="dxa"/>
            <w:vAlign w:val="bottom"/>
            <w:shd w:val="clear" w:color="auto" w:fill="E5FF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E5FF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E5FF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5FFFF"/>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E5FF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E5FF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(80</w:t>
            </w:r>
          </w:p>
        </w:tc>
        <w:tc>
          <w:tcPr>
            <w:tcW w:w="280" w:type="dxa"/>
            <w:vAlign w:val="bottom"/>
            <w:vMerge w:val="continue"/>
            <w:shd w:val="clear" w:color="auto" w:fill="E5FFFF"/>
          </w:tcPr>
          <w:p>
            <w:pPr>
              <w:spacing w:after="0"/>
              <w:rPr>
                <w:sz w:val="18"/>
                <w:szCs w:val="18"/>
                <w:color w:val="auto"/>
              </w:rPr>
            </w:pPr>
          </w:p>
        </w:tc>
        <w:tc>
          <w:tcPr>
            <w:tcW w:w="1040" w:type="dxa"/>
            <w:vAlign w:val="bottom"/>
            <w:gridSpan w:val="2"/>
            <w:shd w:val="clear" w:color="auto" w:fill="E5FF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w:t>
            </w:r>
          </w:p>
        </w:tc>
        <w:tc>
          <w:tcPr>
            <w:tcW w:w="240" w:type="dxa"/>
            <w:vAlign w:val="bottom"/>
            <w:vMerge w:val="continue"/>
            <w:shd w:val="clear" w:color="auto" w:fill="E5FFFF"/>
          </w:tcPr>
          <w:p>
            <w:pPr>
              <w:spacing w:after="0"/>
              <w:rPr>
                <w:sz w:val="18"/>
                <w:szCs w:val="18"/>
                <w:color w:val="auto"/>
              </w:rPr>
            </w:pPr>
          </w:p>
        </w:tc>
        <w:tc>
          <w:tcPr>
            <w:tcW w:w="1020" w:type="dxa"/>
            <w:vAlign w:val="bottom"/>
            <w:gridSpan w:val="2"/>
            <w:shd w:val="clear" w:color="auto" w:fill="E5FFFF"/>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(159</w:t>
            </w:r>
          </w:p>
        </w:tc>
        <w:tc>
          <w:tcPr>
            <w:tcW w:w="440" w:type="dxa"/>
            <w:vAlign w:val="bottom"/>
            <w:vMerge w:val="continue"/>
            <w:shd w:val="clear" w:color="auto" w:fill="E5FFFF"/>
          </w:tcPr>
          <w:p>
            <w:pPr>
              <w:spacing w:after="0"/>
              <w:rPr>
                <w:sz w:val="18"/>
                <w:szCs w:val="18"/>
                <w:color w:val="auto"/>
              </w:rPr>
            </w:pPr>
          </w:p>
        </w:tc>
        <w:tc>
          <w:tcPr>
            <w:tcW w:w="4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gridSpan w:val="2"/>
            <w:vMerge w:val="continue"/>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Non-U.S. Plans</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80" w:type="dxa"/>
            <w:vAlign w:val="bottom"/>
            <w:gridSpan w:val="5"/>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rPr>
              <w:t>June 30, 2015</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 2015</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 cost</w:t>
            </w:r>
          </w:p>
        </w:tc>
        <w:tc>
          <w:tcPr>
            <w:tcW w:w="1880" w:type="dxa"/>
            <w:vAlign w:val="bottom"/>
            <w:gridSpan w:val="2"/>
            <w:shd w:val="clear" w:color="auto" w:fill="E5FFFF"/>
          </w:tcPr>
          <w:p>
            <w:pPr>
              <w:jc w:val="right"/>
              <w:ind w:right="668"/>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13</w:t>
            </w:r>
          </w:p>
        </w:tc>
        <w:tc>
          <w:tcPr>
            <w:tcW w:w="1040" w:type="dxa"/>
            <w:vAlign w:val="bottom"/>
            <w:gridSpan w:val="2"/>
            <w:shd w:val="clear" w:color="auto" w:fill="E5FF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020" w:type="dxa"/>
            <w:vAlign w:val="bottom"/>
            <w:gridSpan w:val="2"/>
            <w:shd w:val="clear" w:color="auto" w:fill="E5FF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26</w:t>
            </w:r>
          </w:p>
        </w:tc>
        <w:tc>
          <w:tcPr>
            <w:tcW w:w="440" w:type="dxa"/>
            <w:vAlign w:val="bottom"/>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89</w:t>
            </w: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70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(89)</w:t>
            </w:r>
          </w:p>
        </w:tc>
        <w:tc>
          <w:tcPr>
            <w:tcW w:w="2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(90)</w:t>
            </w: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(179)</w:t>
            </w: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Arial" w:cs="Arial" w:eastAsia="Arial" w:hAnsi="Arial"/>
                <w:sz w:val="18"/>
                <w:szCs w:val="18"/>
                <w:color w:val="auto"/>
              </w:rPr>
              <w:t>Amortization of prior service (credit)</w:t>
            </w:r>
          </w:p>
        </w:tc>
        <w:tc>
          <w:tcPr>
            <w:tcW w:w="104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300"/>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8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vMerge w:val="continue"/>
          </w:tcPr>
          <w:p>
            <w:pPr>
              <w:spacing w:after="0"/>
              <w:rPr>
                <w:sz w:val="18"/>
                <w:szCs w:val="18"/>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vMerge w:val="continue"/>
          </w:tcPr>
          <w:p>
            <w:pPr>
              <w:spacing w:after="0"/>
              <w:rPr>
                <w:sz w:val="18"/>
                <w:szCs w:val="18"/>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440" w:type="dxa"/>
            <w:vAlign w:val="bottom"/>
            <w:vMerge w:val="continue"/>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the six months ended June 30, 2015, the Company contributed $109 million of marketable securities and $17 million of cash to our non-U.S. pension plans.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Financial Statements in our 2014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544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2014</w:t>
            </w:r>
          </w:p>
        </w:tc>
        <w:tc>
          <w:tcPr>
            <w:tcW w:w="580" w:type="dxa"/>
            <w:vAlign w:val="bottom"/>
            <w:shd w:val="clear" w:color="auto" w:fill="E5FFFF"/>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591</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440" w:type="dxa"/>
            <w:vAlign w:val="bottom"/>
          </w:tcPr>
          <w:p>
            <w:pPr>
              <w:ind w:left="180"/>
              <w:spacing w:after="0" w:line="201" w:lineRule="exact"/>
              <w:rPr>
                <w:sz w:val="20"/>
                <w:szCs w:val="20"/>
                <w:color w:val="auto"/>
              </w:rPr>
            </w:pPr>
            <w:r>
              <w:rPr>
                <w:rFonts w:ascii="Arial" w:cs="Arial" w:eastAsia="Arial" w:hAnsi="Arial"/>
                <w:sz w:val="18"/>
                <w:szCs w:val="18"/>
                <w:color w:val="auto"/>
              </w:rPr>
              <w:t>Accruals for environmental matters deemed probable and</w:t>
            </w: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5440" w:type="dxa"/>
            <w:vAlign w:val="bottom"/>
          </w:tcPr>
          <w:p>
            <w:pPr>
              <w:ind w:left="360"/>
              <w:spacing w:after="0" w:line="203" w:lineRule="exact"/>
              <w:rPr>
                <w:sz w:val="20"/>
                <w:szCs w:val="20"/>
                <w:color w:val="auto"/>
              </w:rPr>
            </w:pPr>
            <w:r>
              <w:rPr>
                <w:rFonts w:ascii="Arial" w:cs="Arial" w:eastAsia="Arial" w:hAnsi="Arial"/>
                <w:sz w:val="18"/>
                <w:szCs w:val="18"/>
                <w:color w:val="auto"/>
              </w:rPr>
              <w:t>reasonably estimable</w:t>
            </w:r>
          </w:p>
        </w:tc>
        <w:tc>
          <w:tcPr>
            <w:tcW w:w="580" w:type="dxa"/>
            <w:vAlign w:val="bottom"/>
          </w:tcPr>
          <w:p>
            <w:pPr>
              <w:spacing w:after="0"/>
              <w:rPr>
                <w:sz w:val="17"/>
                <w:szCs w:val="17"/>
                <w:color w:val="auto"/>
              </w:rPr>
            </w:pPr>
          </w:p>
        </w:tc>
        <w:tc>
          <w:tcPr>
            <w:tcW w:w="8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95</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4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Environmental liability payments</w:t>
            </w:r>
          </w:p>
        </w:tc>
        <w:tc>
          <w:tcPr>
            <w:tcW w:w="58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(94)</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40" w:type="dxa"/>
            <w:vAlign w:val="bottom"/>
            <w:vMerge w:val="restart"/>
          </w:tcPr>
          <w:p>
            <w:pPr>
              <w:spacing w:after="0"/>
              <w:rPr>
                <w:sz w:val="20"/>
                <w:szCs w:val="20"/>
                <w:color w:val="auto"/>
              </w:rPr>
            </w:pPr>
            <w:r>
              <w:rPr>
                <w:rFonts w:ascii="Arial" w:cs="Arial" w:eastAsia="Arial" w:hAnsi="Arial"/>
                <w:sz w:val="18"/>
                <w:szCs w:val="18"/>
                <w:color w:val="auto"/>
              </w:rPr>
              <w:t>June 30, 2015</w:t>
            </w: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440" w:type="dxa"/>
            <w:vAlign w:val="bottom"/>
            <w:vMerge w:val="restart"/>
          </w:tcPr>
          <w:p>
            <w:pPr>
              <w:ind w:left="4320"/>
              <w:spacing w:after="0"/>
              <w:rPr>
                <w:sz w:val="20"/>
                <w:szCs w:val="20"/>
                <w:color w:val="auto"/>
              </w:rPr>
            </w:pPr>
            <w:r>
              <w:rPr>
                <w:rFonts w:ascii="Arial" w:cs="Arial" w:eastAsia="Arial" w:hAnsi="Arial"/>
                <w:sz w:val="18"/>
                <w:szCs w:val="18"/>
                <w:color w:val="auto"/>
              </w:rPr>
              <w:t>15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C0C0C0"/>
            </w:tcBorders>
          </w:tcPr>
          <w:p>
            <w:pPr>
              <w:spacing w:after="0"/>
              <w:rPr>
                <w:sz w:val="20"/>
                <w:szCs w:val="20"/>
                <w:color w:val="auto"/>
              </w:rPr>
            </w:pPr>
          </w:p>
        </w:tc>
        <w:tc>
          <w:tcPr>
            <w:tcW w:w="544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3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244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3"/>
              </w:rPr>
              <w:t>278</w:t>
            </w:r>
          </w:p>
        </w:tc>
        <w:tc>
          <w:tcPr>
            <w:tcW w:w="3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278</w:t>
            </w:r>
          </w:p>
        </w:tc>
        <w:tc>
          <w:tcPr>
            <w:tcW w:w="80" w:type="dxa"/>
            <w:vAlign w:val="bottom"/>
            <w:tcBorders>
              <w:top w:val="single" w:sz="8" w:color="E5FFFF"/>
            </w:tcBorders>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244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314</w:t>
            </w:r>
          </w:p>
        </w:tc>
        <w:tc>
          <w:tcPr>
            <w:tcW w:w="3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E5FF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E5FFFF"/>
          </w:tcPr>
          <w:p>
            <w:pPr>
              <w:spacing w:after="0"/>
              <w:rPr>
                <w:sz w:val="18"/>
                <w:szCs w:val="18"/>
                <w:color w:val="auto"/>
              </w:rPr>
            </w:pPr>
          </w:p>
        </w:tc>
        <w:tc>
          <w:tcPr>
            <w:tcW w:w="3340" w:type="dxa"/>
            <w:vAlign w:val="bottom"/>
            <w:gridSpan w:val="2"/>
            <w:shd w:val="clear" w:color="auto" w:fill="E5FFFF"/>
          </w:tcPr>
          <w:p>
            <w:pPr>
              <w:jc w:val="right"/>
              <w:ind w:right="719"/>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3"/>
              </w:rPr>
              <w:t>592</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E5FF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E5FFFF"/>
            </w:tcBorders>
          </w:tcPr>
          <w:p>
            <w:pPr>
              <w:spacing w:after="0" w:line="20" w:lineRule="exact"/>
              <w:rPr>
                <w:sz w:val="1"/>
                <w:szCs w:val="1"/>
                <w:color w:val="auto"/>
              </w:rPr>
            </w:pPr>
          </w:p>
        </w:tc>
        <w:tc>
          <w:tcPr>
            <w:tcW w:w="244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our accounting policy.</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8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summarize information concerning NARCO and Bendix asbestos related balances:</w:t>
      </w:r>
    </w:p>
    <w:p>
      <w:pPr>
        <w:sectPr>
          <w:pgSz w:w="11900" w:h="16838" w:orient="portrait"/>
          <w:cols w:equalWidth="0" w:num="1">
            <w:col w:w="11420"/>
          </w:cols>
          <w:pgMar w:left="240" w:top="400" w:right="239" w:bottom="1440" w:gutter="0" w:footer="0" w:header="0"/>
        </w:sectPr>
      </w:pPr>
    </w:p>
    <w:p>
      <w:pPr>
        <w:spacing w:after="0" w:line="186"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Asbestos Related Liabilities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2014</w:t>
      </w:r>
    </w:p>
    <w:p>
      <w:pPr>
        <w:ind w:left="840"/>
        <w:spacing w:after="0"/>
        <w:rPr>
          <w:sz w:val="20"/>
          <w:szCs w:val="20"/>
          <w:color w:val="auto"/>
        </w:rPr>
      </w:pPr>
      <w:r>
        <w:rPr>
          <w:rFonts w:ascii="Arial" w:cs="Arial" w:eastAsia="Arial" w:hAnsi="Arial"/>
          <w:sz w:val="17"/>
          <w:szCs w:val="17"/>
          <w:color w:val="auto"/>
        </w:rPr>
        <w:t>Accrual for update to estimated liability</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Asbestos related liability payments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NARCO</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95"/>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623</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Borders>
              <w:top w:val="single" w:sz="8" w:color="auto"/>
            </w:tcBorders>
          </w:tcPr>
          <w:p>
            <w:pPr>
              <w:jc w:val="right"/>
              <w:ind w:right="719"/>
              <w:spacing w:after="0" w:line="195"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929</w:t>
            </w:r>
          </w:p>
        </w:tc>
        <w:tc>
          <w:tcPr>
            <w:tcW w:w="62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1,552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99</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118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924</w:t>
            </w:r>
          </w:p>
        </w:tc>
        <w:tc>
          <w:tcPr>
            <w:tcW w:w="6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1,550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-574040</wp:posOffset>
            </wp:positionV>
            <wp:extent cx="65176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-307975</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900" w:space="720"/>
            <w:col w:w="5800"/>
          </w:cols>
          <w:pgMar w:left="240" w:top="400"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Bendix</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NARCO</w:t>
            </w:r>
          </w:p>
        </w:tc>
        <w:tc>
          <w:tcPr>
            <w:tcW w:w="28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50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tcBorders>
            <w:shd w:val="clear" w:color="auto" w:fill="E5FFFF"/>
          </w:tcPr>
          <w:p>
            <w:pPr>
              <w:jc w:val="right"/>
              <w:ind w:right="719"/>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135</w:t>
            </w:r>
          </w:p>
        </w:tc>
        <w:tc>
          <w:tcPr>
            <w:tcW w:w="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350</w:t>
            </w:r>
          </w:p>
        </w:tc>
        <w:tc>
          <w:tcPr>
            <w:tcW w:w="6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Probable insurance recoveries related to estimated</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liability</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E5FFFF"/>
          </w:tcPr>
          <w:p>
            <w:pPr>
              <w:ind w:left="160"/>
              <w:spacing w:after="0" w:line="202" w:lineRule="exact"/>
              <w:rPr>
                <w:sz w:val="20"/>
                <w:szCs w:val="20"/>
                <w:color w:val="auto"/>
              </w:rPr>
            </w:pPr>
            <w:r>
              <w:rPr>
                <w:rFonts w:ascii="Arial" w:cs="Arial" w:eastAsia="Arial" w:hAnsi="Arial"/>
                <w:sz w:val="18"/>
                <w:szCs w:val="18"/>
                <w:color w:val="auto"/>
              </w:rPr>
              <w:t>Insurance receivables settlements</w:t>
            </w:r>
          </w:p>
        </w:tc>
        <w:tc>
          <w:tcPr>
            <w:tcW w:w="5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Insurance receipts for asbestos related liabilities</w:t>
            </w: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June 30, 2015</w:t>
            </w:r>
          </w:p>
        </w:tc>
        <w:tc>
          <w:tcPr>
            <w:tcW w:w="1420" w:type="dxa"/>
            <w:vAlign w:val="bottom"/>
            <w:gridSpan w:val="2"/>
            <w:shd w:val="clear" w:color="auto" w:fill="E5FFFF"/>
          </w:tcPr>
          <w:p>
            <w:pPr>
              <w:jc w:val="right"/>
              <w:ind w:right="71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126</w:t>
            </w:r>
          </w:p>
        </w:tc>
        <w:tc>
          <w:tcPr>
            <w:tcW w:w="50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338</w:t>
            </w:r>
          </w:p>
        </w:tc>
        <w:tc>
          <w:tcPr>
            <w:tcW w:w="620" w:type="dxa"/>
            <w:vAlign w:val="bottom"/>
            <w:shd w:val="clear" w:color="auto" w:fill="E5FFFF"/>
          </w:tcPr>
          <w:p>
            <w:pPr>
              <w:spacing w:after="0"/>
              <w:rPr>
                <w:sz w:val="19"/>
                <w:szCs w:val="19"/>
                <w:color w:val="auto"/>
              </w:rPr>
            </w:pPr>
          </w:p>
        </w:tc>
        <w:tc>
          <w:tcPr>
            <w:tcW w:w="2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E5FFFF"/>
            </w:tcBorders>
          </w:tcPr>
          <w:p>
            <w:pPr>
              <w:spacing w:after="0" w:line="20" w:lineRule="exact"/>
              <w:rPr>
                <w:sz w:val="1"/>
                <w:szCs w:val="1"/>
                <w:color w:val="auto"/>
              </w:rPr>
            </w:pPr>
          </w:p>
        </w:tc>
        <w:tc>
          <w:tcPr>
            <w:tcW w:w="108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59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E5FFFF"/>
            </w:tcBorders>
          </w:tcPr>
          <w:p>
            <w:pPr>
              <w:spacing w:after="0"/>
              <w:rPr>
                <w:sz w:val="17"/>
                <w:szCs w:val="17"/>
                <w:color w:val="auto"/>
              </w:rPr>
            </w:pPr>
          </w:p>
        </w:tc>
        <w:tc>
          <w:tcPr>
            <w:tcW w:w="60" w:type="dxa"/>
            <w:vAlign w:val="bottom"/>
            <w:tcBorders>
              <w:bottom w:val="single" w:sz="8" w:color="E5FFFF"/>
            </w:tcBorders>
          </w:tcPr>
          <w:p>
            <w:pPr>
              <w:spacing w:after="0"/>
              <w:rPr>
                <w:sz w:val="17"/>
                <w:szCs w:val="17"/>
                <w:color w:val="auto"/>
              </w:rPr>
            </w:pPr>
          </w:p>
        </w:tc>
      </w:tr>
      <w:tr>
        <w:trPr>
          <w:trHeight w:val="196"/>
        </w:trPr>
        <w:tc>
          <w:tcPr>
            <w:tcW w:w="59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16"/>
        </w:trPr>
        <w:tc>
          <w:tcPr>
            <w:tcW w:w="59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E5FFFF"/>
            </w:tcBorders>
          </w:tcPr>
          <w:p>
            <w:pPr>
              <w:spacing w:after="0"/>
              <w:rPr>
                <w:sz w:val="18"/>
                <w:szCs w:val="18"/>
                <w:color w:val="auto"/>
              </w:rPr>
            </w:pPr>
          </w:p>
        </w:tc>
        <w:tc>
          <w:tcPr>
            <w:tcW w:w="60" w:type="dxa"/>
            <w:vAlign w:val="bottom"/>
            <w:tcBorders>
              <w:bottom w:val="single" w:sz="8" w:color="E5FFFF"/>
            </w:tcBorders>
          </w:tcPr>
          <w:p>
            <w:pPr>
              <w:spacing w:after="0"/>
              <w:rPr>
                <w:sz w:val="18"/>
                <w:szCs w:val="18"/>
                <w:color w:val="auto"/>
              </w:rPr>
            </w:pPr>
          </w:p>
        </w:tc>
      </w:tr>
      <w:tr>
        <w:trPr>
          <w:trHeight w:val="210"/>
        </w:trPr>
        <w:tc>
          <w:tcPr>
            <w:tcW w:w="5940" w:type="dxa"/>
            <w:vAlign w:val="bottom"/>
            <w:shd w:val="clear" w:color="auto" w:fill="E5FFFF"/>
          </w:tcPr>
          <w:p>
            <w:pPr>
              <w:spacing w:after="0"/>
              <w:rPr>
                <w:sz w:val="18"/>
                <w:szCs w:val="18"/>
                <w:color w:val="auto"/>
              </w:rPr>
            </w:pP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485</w:t>
            </w:r>
          </w:p>
        </w:tc>
        <w:tc>
          <w:tcPr>
            <w:tcW w:w="60" w:type="dxa"/>
            <w:vAlign w:val="bottom"/>
            <w:shd w:val="clear" w:color="auto" w:fill="E5FFFF"/>
          </w:tcPr>
          <w:p>
            <w:pPr>
              <w:spacing w:after="0"/>
              <w:rPr>
                <w:sz w:val="18"/>
                <w:szCs w:val="18"/>
                <w:color w:val="auto"/>
              </w:rPr>
            </w:pPr>
          </w:p>
        </w:tc>
      </w:tr>
      <w:tr>
        <w:trPr>
          <w:trHeight w:val="20"/>
        </w:trPr>
        <w:tc>
          <w:tcPr>
            <w:tcW w:w="594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r>
      <w:tr>
        <w:trPr>
          <w:trHeight w:val="386"/>
        </w:trPr>
        <w:tc>
          <w:tcPr>
            <w:tcW w:w="5940" w:type="dxa"/>
            <w:vAlign w:val="bottom"/>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24"/>
                <w:szCs w:val="24"/>
                <w:color w:val="auto"/>
              </w:rPr>
            </w:pPr>
          </w:p>
        </w:tc>
      </w:tr>
      <w:tr>
        <w:trPr>
          <w:trHeight w:val="216"/>
        </w:trPr>
        <w:tc>
          <w:tcPr>
            <w:tcW w:w="594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1,198</w:t>
            </w: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6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2015 through 2018 and $145 million for each year thereafter. However, the initial $ 100 million of claims processed through the NARCO Trust (the Initial Claims Amount) will not count against the annual cap and any unused portion of the Initial Claims Amount will roll over to subsequent years until fully utilized. As of June 30, 2015, Honeywell has not made any payments to the NARCO Trust for Annual Contribution Claims.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expected to be paid during the initial years of trust operations. Such payments are not subject to the annual cap described above.</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($147 million), unsettled claims pending as of the time NARCO filed for bankruptcy protection ($34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spacing w:after="0" w:line="19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Activity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rPr>
          <w:sz w:val="20"/>
          <w:szCs w:val="20"/>
          <w:color w:val="auto"/>
        </w:rPr>
      </w:pPr>
      <w:r>
        <w:rPr>
          <w:rFonts w:ascii="Arial" w:cs="Arial" w:eastAsia="Arial" w:hAnsi="Arial"/>
          <w:sz w:val="18"/>
          <w:szCs w:val="18"/>
          <w:color w:val="auto"/>
        </w:rPr>
        <w:t>Claims Filed</w:t>
      </w:r>
    </w:p>
    <w:p>
      <w:pPr>
        <w:spacing w:after="0" w:line="181" w:lineRule="auto"/>
        <w:rPr>
          <w:sz w:val="20"/>
          <w:szCs w:val="20"/>
          <w:color w:val="auto"/>
        </w:rPr>
      </w:pPr>
      <w:r>
        <w:rPr>
          <w:rFonts w:ascii="Arial" w:cs="Arial" w:eastAsia="Arial" w:hAnsi="Arial"/>
          <w:sz w:val="18"/>
          <w:szCs w:val="18"/>
          <w:color w:val="auto"/>
        </w:rPr>
        <w:t xml:space="preserve">Claims Resolved </w:t>
      </w:r>
      <w:r>
        <w:rPr>
          <w:rFonts w:ascii="Arial" w:cs="Arial" w:eastAsia="Arial" w:hAnsi="Arial"/>
          <w:sz w:val="29"/>
          <w:szCs w:val="29"/>
          <w:color w:val="auto"/>
          <w:vertAlign w:val="superscript"/>
        </w:rPr>
        <w: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Six Months Ended</w:t>
            </w:r>
          </w:p>
        </w:tc>
        <w:tc>
          <w:tcPr>
            <w:tcW w:w="2180" w:type="dxa"/>
            <w:vAlign w:val="bottom"/>
            <w:gridSpan w:val="3"/>
          </w:tcPr>
          <w:p>
            <w:pPr>
              <w:ind w:left="1120"/>
              <w:spacing w:after="0"/>
              <w:rPr>
                <w:sz w:val="20"/>
                <w:szCs w:val="20"/>
                <w:color w:val="auto"/>
              </w:rPr>
            </w:pPr>
            <w:r>
              <w:rPr>
                <w:rFonts w:ascii="Arial" w:cs="Arial" w:eastAsia="Arial" w:hAnsi="Arial"/>
                <w:sz w:val="14"/>
                <w:szCs w:val="14"/>
                <w:b w:val="1"/>
                <w:bCs w:val="1"/>
                <w:color w:val="auto"/>
              </w:rPr>
              <w:t>Years Ended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2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June 30,</w:t>
            </w:r>
          </w:p>
        </w:tc>
        <w:tc>
          <w:tcPr>
            <w:tcW w:w="21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1840" w:type="dxa"/>
            <w:vAlign w:val="bottom"/>
          </w:tcPr>
          <w:p>
            <w:pPr>
              <w:jc w:val="right"/>
              <w:spacing w:after="0" w:line="195" w:lineRule="exact"/>
              <w:rPr>
                <w:sz w:val="20"/>
                <w:szCs w:val="20"/>
                <w:color w:val="auto"/>
              </w:rPr>
            </w:pPr>
            <w:r>
              <w:rPr>
                <w:rFonts w:ascii="Arial" w:cs="Arial" w:eastAsia="Arial" w:hAnsi="Arial"/>
                <w:sz w:val="18"/>
                <w:szCs w:val="18"/>
                <w:color w:val="auto"/>
              </w:rPr>
              <w:t>9,267</w:t>
            </w:r>
          </w:p>
        </w:tc>
        <w:tc>
          <w:tcPr>
            <w:tcW w:w="48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12,302</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23,141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7"/>
        </w:trPr>
        <w:tc>
          <w:tcPr>
            <w:tcW w:w="2320" w:type="dxa"/>
            <w:vAlign w:val="bottom"/>
            <w:gridSpan w:val="2"/>
          </w:tcPr>
          <w:p>
            <w:pPr>
              <w:jc w:val="right"/>
              <w:ind w:right="480"/>
              <w:spacing w:after="0"/>
              <w:rPr>
                <w:sz w:val="20"/>
                <w:szCs w:val="20"/>
                <w:color w:val="auto"/>
              </w:rPr>
            </w:pPr>
            <w:r>
              <w:rPr>
                <w:rFonts w:ascii="Arial" w:cs="Arial" w:eastAsia="Arial" w:hAnsi="Arial"/>
                <w:sz w:val="18"/>
                <w:szCs w:val="18"/>
                <w:color w:val="auto"/>
              </w:rPr>
              <w:t>1,486</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3,694</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320" w:type="dxa"/>
            <w:vAlign w:val="bottom"/>
            <w:gridSpan w:val="2"/>
          </w:tcPr>
          <w:p>
            <w:pPr>
              <w:jc w:val="right"/>
              <w:ind w:right="420"/>
              <w:spacing w:after="0"/>
              <w:rPr>
                <w:sz w:val="20"/>
                <w:szCs w:val="20"/>
                <w:color w:val="auto"/>
              </w:rPr>
            </w:pPr>
            <w:r>
              <w:rPr>
                <w:rFonts w:ascii="Arial" w:cs="Arial" w:eastAsia="Arial" w:hAnsi="Arial"/>
                <w:sz w:val="18"/>
                <w:szCs w:val="18"/>
                <w:color w:val="auto"/>
              </w:rPr>
              <w:t>(1,410)</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(6,729)</w:t>
            </w:r>
          </w:p>
        </w:tc>
        <w:tc>
          <w:tcPr>
            <w:tcW w:w="38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(15,366)</w:t>
            </w:r>
          </w:p>
        </w:tc>
      </w:tr>
      <w:tr>
        <w:trPr>
          <w:trHeight w:val="210"/>
        </w:trPr>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9,343</w:t>
            </w:r>
          </w:p>
        </w:tc>
        <w:tc>
          <w:tcPr>
            <w:tcW w:w="4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4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12,302</w:t>
            </w:r>
          </w:p>
        </w:tc>
        <w:tc>
          <w:tcPr>
            <w:tcW w:w="40" w:type="dxa"/>
            <w:vAlign w:val="bottom"/>
          </w:tcPr>
          <w:p>
            <w:pPr>
              <w:spacing w:after="0"/>
              <w:rPr>
                <w:sz w:val="18"/>
                <w:szCs w:val="18"/>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-334010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-599440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400" w:right="239" w:bottom="1440" w:gutter="0" w:footer="0" w:header="0"/>
          <w:type w:val="continuous"/>
        </w:sectPr>
      </w:pPr>
    </w:p>
    <w:p>
      <w:pPr>
        <w:spacing w:after="0" w:line="42" w:lineRule="exact"/>
        <w:rPr>
          <w:sz w:val="20"/>
          <w:szCs w:val="20"/>
          <w:color w:val="auto"/>
        </w:rPr>
      </w:pPr>
    </w:p>
    <w:p>
      <w:pPr>
        <w:jc w:val="both"/>
        <w:ind w:left="40" w:firstLine="4"/>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resolved in 2014 include 2,110 cancer claims which were determined to have no value. Also, claims resolved in 2014 and 2013 included significantly aged (i.e., pending for more than six years) claims totaling 1,266 and 12,250, respectively, of which 82% and 92%, respectively, were non-malignant.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340" w:type="dxa"/>
            <w:vAlign w:val="bottom"/>
          </w:tcPr>
          <w:p>
            <w:pPr>
              <w:spacing w:after="0"/>
              <w:rPr>
                <w:sz w:val="19"/>
                <w:szCs w:val="19"/>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b w:val="1"/>
                <w:bCs w:val="1"/>
                <w:color w:val="auto"/>
                <w:w w:val="99"/>
              </w:rPr>
              <w:t>June 30,</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6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1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3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spacing w:after="0"/>
              <w:rPr>
                <w:sz w:val="17"/>
                <w:szCs w:val="17"/>
                <w:color w:val="auto"/>
              </w:rPr>
            </w:pPr>
          </w:p>
        </w:tc>
        <w:tc>
          <w:tcPr>
            <w:tcW w:w="5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3,839</w:t>
            </w:r>
          </w:p>
        </w:tc>
        <w:tc>
          <w:tcPr>
            <w:tcW w:w="48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3,933</w:t>
            </w:r>
          </w:p>
        </w:tc>
        <w:tc>
          <w:tcPr>
            <w:tcW w:w="44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5,810</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Nonmalignant Claims</w:t>
            </w:r>
          </w:p>
        </w:tc>
        <w:tc>
          <w:tcPr>
            <w:tcW w:w="34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w:t>
            </w:r>
          </w:p>
        </w:tc>
        <w:tc>
          <w:tcPr>
            <w:tcW w:w="48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4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Claims</w:t>
            </w:r>
          </w:p>
        </w:tc>
        <w:tc>
          <w:tcPr>
            <w:tcW w:w="34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9,343</w:t>
            </w:r>
          </w:p>
        </w:tc>
        <w:tc>
          <w:tcPr>
            <w:tcW w:w="86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9,267</w:t>
            </w:r>
          </w:p>
        </w:tc>
        <w:tc>
          <w:tcPr>
            <w:tcW w:w="38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0"/>
        </w:trPr>
        <w:tc>
          <w:tcPr>
            <w:tcW w:w="55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bottom w:val="single" w:sz="8" w:color="E5FFFF"/>
            </w:tcBorders>
            <w:vMerge w:val="restart"/>
          </w:tcPr>
          <w:p>
            <w:pPr>
              <w:jc w:val="right"/>
              <w:spacing w:after="0"/>
              <w:rPr>
                <w:sz w:val="20"/>
                <w:szCs w:val="20"/>
                <w:color w:val="auto"/>
              </w:rPr>
            </w:pPr>
            <w:r>
              <w:rPr>
                <w:rFonts w:ascii="Arial" w:cs="Arial" w:eastAsia="Arial" w:hAnsi="Arial"/>
                <w:sz w:val="18"/>
                <w:szCs w:val="18"/>
                <w:color w:val="auto"/>
              </w:rPr>
              <w:t>18</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30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48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96"/>
        </w:trPr>
        <w:tc>
          <w:tcPr>
            <w:tcW w:w="4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2010</w:t>
            </w:r>
          </w:p>
        </w:tc>
      </w:tr>
      <w:tr>
        <w:trPr>
          <w:trHeight w:val="182"/>
        </w:trPr>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(in whole dollars)</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53,500</w:t>
            </w:r>
          </w:p>
        </w:tc>
        <w:tc>
          <w:tcPr>
            <w:tcW w:w="4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9"/>
              <w:spacing w:after="0" w:line="202" w:lineRule="exact"/>
              <w:rPr>
                <w:sz w:val="20"/>
                <w:szCs w:val="20"/>
                <w:color w:val="auto"/>
              </w:rPr>
            </w:pPr>
            <w:r>
              <w:rPr>
                <w:rFonts w:ascii="Arial" w:cs="Arial" w:eastAsia="Arial" w:hAnsi="Arial"/>
                <w:sz w:val="18"/>
                <w:szCs w:val="18"/>
                <w:color w:val="auto"/>
              </w:rPr>
              <w:t>51,000</w:t>
            </w:r>
          </w:p>
        </w:tc>
        <w:tc>
          <w:tcPr>
            <w:tcW w:w="4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49,000</w:t>
            </w:r>
          </w:p>
        </w:tc>
        <w:tc>
          <w:tcPr>
            <w:tcW w:w="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48,000</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54,000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120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850</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Honeywell International Inc.</w:t>
      </w:r>
    </w:p>
    <w:p>
      <w:pPr>
        <w:jc w:val="center"/>
        <w:spacing w:after="0" w:line="236" w:lineRule="auto"/>
        <w:rPr>
          <w:sz w:val="20"/>
          <w:szCs w:val="20"/>
          <w:color w:val="auto"/>
        </w:rPr>
      </w:pPr>
      <w:r>
        <w:rPr>
          <w:rFonts w:ascii="Arial" w:cs="Arial" w:eastAsia="Arial" w:hAnsi="Arial"/>
          <w:sz w:val="20"/>
          <w:szCs w:val="20"/>
          <w:b w:val="1"/>
          <w:bCs w:val="1"/>
          <w:color w:val="auto"/>
        </w:rPr>
        <w:t>Notes to Financial Statements</w:t>
      </w:r>
    </w:p>
    <w:p>
      <w:pPr>
        <w:jc w:val="center"/>
        <w:spacing w:after="0" w:line="225" w:lineRule="auto"/>
        <w:rPr>
          <w:sz w:val="20"/>
          <w:szCs w:val="20"/>
          <w:color w:val="auto"/>
        </w:rPr>
      </w:pPr>
      <w:r>
        <w:rPr>
          <w:rFonts w:ascii="Arial" w:cs="Arial" w:eastAsia="Arial" w:hAnsi="Arial"/>
          <w:sz w:val="20"/>
          <w:szCs w:val="20"/>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 except per share amounts)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 Tackett</w:t>
      </w:r>
      <w:r>
        <w:rPr>
          <w:rFonts w:ascii="Arial" w:cs="Arial" w:eastAsia="Arial" w:hAnsi="Arial"/>
          <w:sz w:val="18"/>
          <w:szCs w:val="18"/>
          <w:color w:val="auto"/>
        </w:rPr>
        <w:t xml:space="preserve"> case. In a ruling on January 26, 2015, the Supreme Court held that retiree health insurance benefits provided in collective bargaining agreements do not carry an inference that they are vested or guaranteed to continue for life and that the “vesting” issue must be decided pursuant to ordinary principles of contract law. The stay of the proceedings has been lifted and the case is again proceeding in the normal course.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$180 million, reflecting the estimated value of these CAPS.</w:t>
      </w:r>
    </w:p>
    <w:p>
      <w:pPr>
        <w:spacing w:after="0" w:line="19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$120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Joint Strike Fighter Investigation</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9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760" w:type="dxa"/>
            <w:vAlign w:val="bottom"/>
          </w:tcPr>
          <w:p>
            <w:pPr>
              <w:spacing w:after="0"/>
              <w:rPr>
                <w:sz w:val="17"/>
                <w:szCs w:val="17"/>
                <w:color w:val="auto"/>
              </w:rPr>
            </w:pPr>
          </w:p>
        </w:tc>
        <w:tc>
          <w:tcPr>
            <w:tcW w:w="4900" w:type="dxa"/>
            <w:vAlign w:val="bottom"/>
            <w:gridSpan w:val="4"/>
          </w:tcPr>
          <w:p>
            <w:pPr>
              <w:jc w:val="center"/>
              <w:ind w:right="20"/>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w:t>
            </w:r>
          </w:p>
        </w:tc>
      </w:tr>
      <w:tr>
        <w:trPr>
          <w:trHeight w:val="183"/>
        </w:trPr>
        <w:tc>
          <w:tcPr>
            <w:tcW w:w="276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gridSpan w:val="2"/>
          </w:tcPr>
          <w:p>
            <w:pPr>
              <w:jc w:val="center"/>
              <w:ind w:right="2010"/>
              <w:spacing w:after="0" w:line="182" w:lineRule="exact"/>
              <w:rPr>
                <w:sz w:val="20"/>
                <w:szCs w:val="20"/>
                <w:color w:val="auto"/>
              </w:rPr>
            </w:pPr>
            <w:r>
              <w:rPr>
                <w:rFonts w:ascii="Arial" w:cs="Arial" w:eastAsia="Arial" w:hAnsi="Arial"/>
                <w:sz w:val="18"/>
                <w:szCs w:val="18"/>
                <w:b w:val="1"/>
                <w:bCs w:val="1"/>
                <w:color w:val="auto"/>
                <w:w w:val="99"/>
              </w:rPr>
              <w:t>(MD&amp;A)</w:t>
            </w:r>
          </w:p>
        </w:tc>
        <w:tc>
          <w:tcPr>
            <w:tcW w:w="20" w:type="dxa"/>
            <w:vAlign w:val="bottom"/>
          </w:tcPr>
          <w:p>
            <w:pPr>
              <w:spacing w:after="0"/>
              <w:rPr>
                <w:sz w:val="15"/>
                <w:szCs w:val="15"/>
                <w:color w:val="auto"/>
              </w:rPr>
            </w:pPr>
          </w:p>
        </w:tc>
      </w:tr>
      <w:tr>
        <w:trPr>
          <w:trHeight w:val="232"/>
        </w:trPr>
        <w:tc>
          <w:tcPr>
            <w:tcW w:w="2760" w:type="dxa"/>
            <w:vAlign w:val="bottom"/>
          </w:tcPr>
          <w:p>
            <w:pPr>
              <w:spacing w:after="0"/>
              <w:rPr>
                <w:sz w:val="20"/>
                <w:szCs w:val="20"/>
                <w:color w:val="auto"/>
              </w:rPr>
            </w:pPr>
          </w:p>
        </w:tc>
        <w:tc>
          <w:tcPr>
            <w:tcW w:w="2120" w:type="dxa"/>
            <w:vAlign w:val="bottom"/>
          </w:tcPr>
          <w:p>
            <w:pPr>
              <w:ind w:left="440"/>
              <w:spacing w:after="0"/>
              <w:rPr>
                <w:sz w:val="20"/>
                <w:szCs w:val="20"/>
                <w:color w:val="auto"/>
              </w:rPr>
            </w:pPr>
            <w:r>
              <w:rPr>
                <w:rFonts w:ascii="Arial" w:cs="Arial" w:eastAsia="Arial" w:hAnsi="Arial"/>
                <w:sz w:val="18"/>
                <w:szCs w:val="18"/>
                <w:b w:val="1"/>
                <w:bCs w:val="1"/>
                <w:color w:val="auto"/>
                <w:w w:val="99"/>
              </w:rPr>
              <w:t>(Dollars in millions,</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except</w:t>
            </w: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r>
    </w:tbl>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and six months ended June 30, 2015. The financial information as of June 30, 2015 should be read in conjunction with the financial statements for the year ended December 31, 2014 contained in our 2014 Annual Report on Form 10-K.</w:t>
      </w:r>
    </w:p>
    <w:p>
      <w:pPr>
        <w:spacing w:after="0" w:line="166" w:lineRule="exact"/>
        <w:rPr>
          <w:sz w:val="20"/>
          <w:szCs w:val="20"/>
          <w:color w:val="auto"/>
        </w:rPr>
      </w:pPr>
    </w:p>
    <w:p>
      <w:pPr>
        <w:ind w:right="100" w:firstLine="8"/>
        <w:spacing w:after="0" w:line="483"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and six months ended June 30, 2015 compared with the three and six months ended June 30, 2014 </w:t>
      </w:r>
      <w:r>
        <w:rPr>
          <w:rFonts w:ascii="Arial" w:cs="Arial" w:eastAsia="Arial" w:hAnsi="Arial"/>
          <w:sz w:val="18"/>
          <w:szCs w:val="18"/>
          <w:b w:val="1"/>
          <w:bCs w:val="1"/>
          <w:color w:val="auto"/>
        </w:rPr>
        <w:t>Net Sales</w:t>
      </w: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9,775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10,253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18,988</w:t>
            </w:r>
          </w:p>
        </w:tc>
        <w:tc>
          <w:tcPr>
            <w:tcW w:w="56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860" w:type="dxa"/>
            <w:vAlign w:val="bottom"/>
            <w:gridSpan w:val="12"/>
          </w:tcPr>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300" w:type="dxa"/>
            <w:vAlign w:val="bottom"/>
          </w:tcPr>
          <w:p>
            <w:pPr>
              <w:spacing w:after="0"/>
              <w:rPr>
                <w:sz w:val="24"/>
                <w:szCs w:val="24"/>
                <w:color w:val="auto"/>
              </w:rPr>
            </w:pPr>
          </w:p>
        </w:tc>
        <w:tc>
          <w:tcPr>
            <w:tcW w:w="2220" w:type="dxa"/>
            <w:vAlign w:val="bottom"/>
            <w:tcBorders>
              <w:bottom w:val="single" w:sz="8" w:color="E5FFFF"/>
            </w:tcBorders>
          </w:tcPr>
          <w:p>
            <w:pPr>
              <w:spacing w:after="0"/>
              <w:rPr>
                <w:sz w:val="24"/>
                <w:szCs w:val="24"/>
                <w:color w:val="auto"/>
              </w:rPr>
            </w:pPr>
          </w:p>
        </w:tc>
        <w:tc>
          <w:tcPr>
            <w:tcW w:w="260" w:type="dxa"/>
            <w:vAlign w:val="bottom"/>
            <w:tcBorders>
              <w:bottom w:val="single" w:sz="8" w:color="E5FFFF"/>
            </w:tcBorders>
          </w:tcPr>
          <w:p>
            <w:pPr>
              <w:spacing w:after="0"/>
              <w:rPr>
                <w:sz w:val="24"/>
                <w:szCs w:val="24"/>
                <w:color w:val="auto"/>
              </w:rPr>
            </w:pPr>
          </w:p>
        </w:tc>
        <w:tc>
          <w:tcPr>
            <w:tcW w:w="780" w:type="dxa"/>
            <w:vAlign w:val="bottom"/>
            <w:tcBorders>
              <w:bottom w:val="single" w:sz="8" w:color="E5FFFF"/>
            </w:tcBorders>
          </w:tcPr>
          <w:p>
            <w:pPr>
              <w:spacing w:after="0"/>
              <w:rPr>
                <w:sz w:val="24"/>
                <w:szCs w:val="24"/>
                <w:color w:val="auto"/>
              </w:rPr>
            </w:pPr>
          </w:p>
        </w:tc>
        <w:tc>
          <w:tcPr>
            <w:tcW w:w="460" w:type="dxa"/>
            <w:vAlign w:val="bottom"/>
            <w:tcBorders>
              <w:bottom w:val="single" w:sz="8" w:color="E5FFFF"/>
            </w:tcBorders>
          </w:tcPr>
          <w:p>
            <w:pPr>
              <w:spacing w:after="0"/>
              <w:rPr>
                <w:sz w:val="24"/>
                <w:szCs w:val="24"/>
                <w:color w:val="auto"/>
              </w:rPr>
            </w:pPr>
          </w:p>
        </w:tc>
        <w:tc>
          <w:tcPr>
            <w:tcW w:w="180" w:type="dxa"/>
            <w:vAlign w:val="bottom"/>
            <w:tcBorders>
              <w:bottom w:val="single" w:sz="8" w:color="E5FF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Three Months</w:t>
            </w:r>
          </w:p>
        </w:tc>
        <w:tc>
          <w:tcPr>
            <w:tcW w:w="500" w:type="dxa"/>
            <w:vAlign w:val="bottom"/>
            <w:tcBorders>
              <w:bottom w:val="single" w:sz="8" w:color="E5FFFF"/>
            </w:tcBorders>
            <w:gridSpan w:val="2"/>
          </w:tcPr>
          <w:p>
            <w:pPr>
              <w:spacing w:after="0"/>
              <w:rPr>
                <w:sz w:val="24"/>
                <w:szCs w:val="24"/>
                <w:color w:val="auto"/>
              </w:rPr>
            </w:pPr>
          </w:p>
        </w:tc>
        <w:tc>
          <w:tcPr>
            <w:tcW w:w="10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Year to Date</w:t>
            </w:r>
          </w:p>
        </w:tc>
        <w:tc>
          <w:tcPr>
            <w:tcW w:w="240" w:type="dxa"/>
            <w:vAlign w:val="bottom"/>
            <w:tcBorders>
              <w:bottom w:val="single" w:sz="8" w:color="E5FFFF"/>
            </w:tcBorders>
            <w:gridSpan w:val="2"/>
          </w:tcPr>
          <w:p>
            <w:pPr>
              <w:spacing w:after="0"/>
              <w:rPr>
                <w:sz w:val="24"/>
                <w:szCs w:val="24"/>
                <w:color w:val="auto"/>
              </w:rPr>
            </w:pPr>
          </w:p>
        </w:tc>
        <w:tc>
          <w:tcPr>
            <w:tcW w:w="9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2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00" w:type="dxa"/>
            <w:vAlign w:val="bottom"/>
            <w:gridSpan w:val="2"/>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rPr>
              <w:t>2%</w:t>
            </w:r>
          </w:p>
        </w:tc>
        <w:tc>
          <w:tcPr>
            <w:tcW w:w="4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00" w:type="dxa"/>
            <w:vAlign w:val="bottom"/>
            <w:gridSpan w:val="3"/>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220" w:type="dxa"/>
            <w:vAlign w:val="bottom"/>
          </w:tcPr>
          <w:p>
            <w:pPr>
              <w:spacing w:after="0" w:line="202" w:lineRule="exact"/>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20" w:type="dxa"/>
            <w:vAlign w:val="bottom"/>
            <w:shd w:val="clear" w:color="auto" w:fill="E5FFFF"/>
          </w:tcPr>
          <w:p>
            <w:pPr>
              <w:spacing w:after="0"/>
              <w:rPr>
                <w:sz w:val="20"/>
                <w:szCs w:val="20"/>
                <w:color w:val="auto"/>
              </w:rPr>
            </w:pPr>
            <w:r>
              <w:rPr>
                <w:rFonts w:ascii="Arial" w:cs="Arial" w:eastAsia="Arial" w:hAnsi="Arial"/>
                <w:sz w:val="18"/>
                <w:szCs w:val="18"/>
                <w:color w:val="auto"/>
              </w:rPr>
              <w:t>Acquisitions/Divestitures</w:t>
            </w:r>
          </w:p>
        </w:tc>
        <w:tc>
          <w:tcPr>
            <w:tcW w:w="26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150"/>
              <w:spacing w:after="0"/>
              <w:rPr>
                <w:sz w:val="20"/>
                <w:szCs w:val="20"/>
                <w:color w:val="auto"/>
              </w:rPr>
            </w:pPr>
            <w:r>
              <w:rPr>
                <w:rFonts w:ascii="Arial" w:cs="Arial" w:eastAsia="Arial" w:hAnsi="Arial"/>
                <w:sz w:val="18"/>
                <w:szCs w:val="18"/>
                <w:color w:val="auto"/>
              </w:rPr>
              <w:t>(2)%</w:t>
            </w:r>
          </w:p>
        </w:tc>
        <w:tc>
          <w:tcPr>
            <w:tcW w:w="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0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6,814</w:t>
            </w:r>
          </w:p>
        </w:tc>
        <w:tc>
          <w:tcPr>
            <w:tcW w:w="56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7,296</w:t>
            </w:r>
          </w:p>
        </w:tc>
        <w:tc>
          <w:tcPr>
            <w:tcW w:w="50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13,176</w:t>
            </w:r>
          </w:p>
        </w:tc>
        <w:tc>
          <w:tcPr>
            <w:tcW w:w="56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14,263</w:t>
            </w:r>
          </w:p>
        </w:tc>
        <w:tc>
          <w:tcPr>
            <w:tcW w:w="1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30.3%</w:t>
            </w:r>
          </w:p>
        </w:tc>
        <w:tc>
          <w:tcPr>
            <w:tcW w:w="42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28.8%</w:t>
            </w:r>
          </w:p>
        </w:tc>
        <w:tc>
          <w:tcPr>
            <w:tcW w:w="260" w:type="dxa"/>
            <w:vAlign w:val="bottom"/>
            <w:shd w:val="clear" w:color="auto" w:fill="E5FFFF"/>
          </w:tcPr>
          <w:p>
            <w:pPr>
              <w:spacing w:after="0"/>
              <w:rPr>
                <w:sz w:val="17"/>
                <w:szCs w:val="17"/>
                <w:color w:val="auto"/>
              </w:rPr>
            </w:pPr>
          </w:p>
        </w:tc>
        <w:tc>
          <w:tcPr>
            <w:tcW w:w="152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30.6%</w:t>
            </w:r>
          </w:p>
        </w:tc>
        <w:tc>
          <w:tcPr>
            <w:tcW w:w="4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products and services sold decreased in the quarter ended June 30, 2015 principally due to a decrease in direct and indirect material costs of approximately $320 million (driven primarily by the favorable impact of foreign exchange and productivity, partially offset by higher sales volume) and a decrease in labor costs of approximately $140 million.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Cost of products and services sold decreased in the six months ended June 30, 2015 principally due to a decrease in direct and indirect material costs of approximately $680 million (driven primarily by the favorable impact of foreign exchange and productivity, partially offset by higher sales volume), a decrease in labor costs of approximately $260 million and lower repositioning and other charges of approximately $70 million.</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Gross margin percentage increased in the quarter ended June 30, 2015 primarily due to higher segment gross margin in all business segments (approximately 1.2 percentage point impact) and increased pension income (approximately 0.2 percentage point impact).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 w:name="page22"/>
    <w:bookmarkEnd w:id="21"/>
    <w:p>
      <w:pPr>
        <w:jc w:val="both"/>
        <w:ind w:firstLine="648"/>
        <w:spacing w:after="0"/>
        <w:rPr>
          <w:sz w:val="20"/>
          <w:szCs w:val="20"/>
          <w:color w:val="auto"/>
        </w:rPr>
      </w:pPr>
      <w:r>
        <w:rPr>
          <w:rFonts w:ascii="Arial" w:cs="Arial" w:eastAsia="Arial" w:hAnsi="Arial"/>
          <w:sz w:val="18"/>
          <w:szCs w:val="18"/>
          <w:color w:val="auto"/>
        </w:rPr>
        <w:t>Gross margin percentage increased in the six months ended June 30, 2015 primarily due to higher gross margin in all business segments (approximately 1.5 percentage point impact), lower repositioning and other charges (approximately 0.3 percentage point impact) and increased pension income (approximately 0.2 percentage point impact).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8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7"/>
                <w:szCs w:val="17"/>
                <w:color w:val="auto"/>
              </w:rPr>
            </w:pPr>
          </w:p>
        </w:tc>
        <w:tc>
          <w:tcPr>
            <w:tcW w:w="940" w:type="dxa"/>
            <w:vAlign w:val="bottom"/>
          </w:tcPr>
          <w:p>
            <w:pPr>
              <w:jc w:val="right"/>
              <w:ind w:right="361"/>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ind w:right="376"/>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1,242</w:t>
            </w:r>
          </w:p>
        </w:tc>
        <w:tc>
          <w:tcPr>
            <w:tcW w:w="500" w:type="dxa"/>
            <w:vAlign w:val="bottom"/>
          </w:tcPr>
          <w:p>
            <w:pPr>
              <w:spacing w:after="0"/>
              <w:rPr>
                <w:sz w:val="16"/>
                <w:szCs w:val="16"/>
                <w:color w:val="auto"/>
              </w:rPr>
            </w:pPr>
          </w:p>
        </w:tc>
        <w:tc>
          <w:tcPr>
            <w:tcW w:w="46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1,375</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2,472</w:t>
            </w:r>
          </w:p>
        </w:tc>
        <w:tc>
          <w:tcPr>
            <w:tcW w:w="500" w:type="dxa"/>
            <w:vAlign w:val="bottom"/>
          </w:tcPr>
          <w:p>
            <w:pPr>
              <w:spacing w:after="0"/>
              <w:rPr>
                <w:sz w:val="16"/>
                <w:szCs w:val="16"/>
                <w:color w:val="auto"/>
              </w:rPr>
            </w:pPr>
          </w:p>
        </w:tc>
        <w:tc>
          <w:tcPr>
            <w:tcW w:w="4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Percent of sales</w:t>
            </w:r>
          </w:p>
        </w:tc>
        <w:tc>
          <w:tcPr>
            <w:tcW w:w="2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Selling, general and administrative expenses (SG&amp;A) decreased in the quarter and six months ended June 30, 2015 primarily driven by the favorable impact from foreign exchange, decreased indirect costs and increased pension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gridSpan w:val="5"/>
          </w:tcPr>
          <w:p>
            <w:pPr>
              <w:jc w:val="center"/>
              <w:ind w:left="30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3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348"/>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3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8"/>
                <w:szCs w:val="18"/>
                <w:color w:val="auto"/>
              </w:rPr>
            </w:pPr>
          </w:p>
        </w:tc>
      </w:tr>
      <w:tr>
        <w:trPr>
          <w:trHeight w:val="411"/>
        </w:trPr>
        <w:tc>
          <w:tcPr>
            <w:tcW w:w="3060" w:type="dxa"/>
            <w:vAlign w:val="bottom"/>
          </w:tcPr>
          <w:p>
            <w:pPr>
              <w:spacing w:after="0"/>
              <w:rPr>
                <w:sz w:val="20"/>
                <w:szCs w:val="20"/>
                <w:color w:val="auto"/>
              </w:rPr>
            </w:pPr>
            <w:r>
              <w:rPr>
                <w:rFonts w:ascii="Arial" w:cs="Arial" w:eastAsia="Arial" w:hAnsi="Arial"/>
                <w:sz w:val="18"/>
                <w:szCs w:val="18"/>
                <w:color w:val="auto"/>
              </w:rPr>
              <w:t>Tax expense</w:t>
            </w:r>
          </w:p>
        </w:tc>
        <w:tc>
          <w:tcPr>
            <w:tcW w:w="25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440</w:t>
            </w:r>
          </w:p>
        </w:tc>
        <w:tc>
          <w:tcPr>
            <w:tcW w:w="10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397</w:t>
            </w:r>
          </w:p>
        </w:tc>
        <w:tc>
          <w:tcPr>
            <w:tcW w:w="500" w:type="dxa"/>
            <w:vAlign w:val="bottom"/>
          </w:tcPr>
          <w:p>
            <w:pPr>
              <w:spacing w:after="0"/>
              <w:rPr>
                <w:sz w:val="24"/>
                <w:szCs w:val="24"/>
                <w:color w:val="auto"/>
              </w:rPr>
            </w:pP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858</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Effective tax rate</w:t>
            </w:r>
          </w:p>
        </w:tc>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26.1%</w:t>
            </w:r>
          </w:p>
        </w:tc>
        <w:tc>
          <w:tcPr>
            <w:tcW w:w="8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26.3%</w:t>
            </w:r>
          </w:p>
        </w:tc>
      </w:tr>
    </w:tbl>
    <w:p>
      <w:pPr>
        <w:spacing w:after="0" w:line="18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effective tax rate increased by 0.4 percentage points in the quarter ended June 30, 2015 primarily due to decreased tax benefits from the resolution of tax audits.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 increased by 0.3 percentage points in the six months ended June 30, 2015 primarily due to decreased tax benefits from the resolution of tax audits, partially offset by decreased tax expense for reserves in 2015.</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rates for the three and six month periods ended in 2015 and 2014 were lower than the U.S. federal statutory rate of 35% due, in part, to non-U.S. earnings taxed at lower rates and benefits from manufacturing incentives.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 attributable to Honeywell</w:t>
            </w:r>
          </w:p>
        </w:tc>
        <w:tc>
          <w:tcPr>
            <w:tcW w:w="12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1,194</w:t>
            </w:r>
          </w:p>
        </w:tc>
        <w:tc>
          <w:tcPr>
            <w:tcW w:w="70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1,099</w:t>
            </w:r>
          </w:p>
        </w:tc>
        <w:tc>
          <w:tcPr>
            <w:tcW w:w="5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2,310</w:t>
            </w:r>
          </w:p>
        </w:tc>
        <w:tc>
          <w:tcPr>
            <w:tcW w:w="660" w:type="dxa"/>
            <w:vAlign w:val="bottom"/>
            <w:gridSpan w:val="2"/>
            <w:shd w:val="clear" w:color="auto" w:fill="E5FF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Earnings per share of common stock –</w:t>
            </w:r>
          </w:p>
        </w:tc>
        <w:tc>
          <w:tcPr>
            <w:tcW w:w="9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assuming dilution</w:t>
            </w:r>
          </w:p>
        </w:tc>
        <w:tc>
          <w:tcPr>
            <w:tcW w:w="1200" w:type="dxa"/>
            <w:vAlign w:val="bottom"/>
            <w:gridSpan w:val="2"/>
            <w:shd w:val="clear" w:color="auto" w:fill="E5FF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FFFF"/>
          </w:tcPr>
          <w:p>
            <w:pPr>
              <w:jc w:val="right"/>
              <w:ind w:right="240"/>
              <w:spacing w:after="0" w:line="203" w:lineRule="exact"/>
              <w:rPr>
                <w:sz w:val="20"/>
                <w:szCs w:val="20"/>
                <w:color w:val="auto"/>
              </w:rPr>
            </w:pPr>
            <w:r>
              <w:rPr>
                <w:rFonts w:ascii="Arial" w:cs="Arial" w:eastAsia="Arial" w:hAnsi="Arial"/>
                <w:sz w:val="18"/>
                <w:szCs w:val="18"/>
                <w:color w:val="auto"/>
              </w:rPr>
              <w:t>1.51</w:t>
            </w:r>
          </w:p>
        </w:tc>
        <w:tc>
          <w:tcPr>
            <w:tcW w:w="700" w:type="dxa"/>
            <w:vAlign w:val="bottom"/>
            <w:gridSpan w:val="2"/>
            <w:shd w:val="clear" w:color="auto" w:fill="E5FFFF"/>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1.38</w:t>
            </w:r>
          </w:p>
        </w:tc>
        <w:tc>
          <w:tcPr>
            <w:tcW w:w="220" w:type="dxa"/>
            <w:vAlign w:val="bottom"/>
            <w:shd w:val="clear" w:color="auto" w:fill="E5FFFF"/>
          </w:tcPr>
          <w:p>
            <w:pPr>
              <w:spacing w:after="0"/>
              <w:rPr>
                <w:sz w:val="17"/>
                <w:szCs w:val="17"/>
                <w:color w:val="auto"/>
              </w:rPr>
            </w:pPr>
          </w:p>
        </w:tc>
        <w:tc>
          <w:tcPr>
            <w:tcW w:w="500" w:type="dxa"/>
            <w:vAlign w:val="bottom"/>
            <w:gridSpan w:val="2"/>
            <w:shd w:val="clear" w:color="auto" w:fill="E5FF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FFFF"/>
          </w:tcPr>
          <w:p>
            <w:pPr>
              <w:jc w:val="right"/>
              <w:ind w:right="220"/>
              <w:spacing w:after="0" w:line="203" w:lineRule="exact"/>
              <w:rPr>
                <w:sz w:val="20"/>
                <w:szCs w:val="20"/>
                <w:color w:val="auto"/>
              </w:rPr>
            </w:pPr>
            <w:r>
              <w:rPr>
                <w:rFonts w:ascii="Arial" w:cs="Arial" w:eastAsia="Arial" w:hAnsi="Arial"/>
                <w:sz w:val="18"/>
                <w:szCs w:val="18"/>
                <w:color w:val="auto"/>
              </w:rPr>
              <w:t>2.91</w:t>
            </w:r>
          </w:p>
        </w:tc>
        <w:tc>
          <w:tcPr>
            <w:tcW w:w="660" w:type="dxa"/>
            <w:vAlign w:val="bottom"/>
            <w:gridSpan w:val="2"/>
            <w:shd w:val="clear" w:color="auto" w:fill="E5FF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line="203"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523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18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Earnings per share of common stock – assuming dilution increased in the quarter ended June 30, 2015 primarily driven by increased segment profit in each business segment and increased pension income, partially offset by increased tax expense.</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Earnings per share of common stock – assuming dilution increased in the six months ended June 30, 2015 primarily due to increased segment profit in each business segment, increased pension income and lower repositioning and other charges, partially offset by lower other income (principally due to the absence of a realized gain related to the prior year sale of marketable equity securities) and increased tax expense.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center"/>
              <w:ind w:left="493"/>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Aerospace Sales</w:t>
            </w:r>
          </w:p>
        </w:tc>
        <w:tc>
          <w:tcPr>
            <w:tcW w:w="180" w:type="dxa"/>
            <w:vAlign w:val="bottom"/>
            <w:shd w:val="clear" w:color="auto" w:fill="E5FFFF"/>
          </w:tcPr>
          <w:p>
            <w:pPr>
              <w:spacing w:after="0"/>
              <w:rPr>
                <w:sz w:val="16"/>
                <w:szCs w:val="16"/>
                <w:color w:val="auto"/>
              </w:rPr>
            </w:pPr>
          </w:p>
        </w:tc>
        <w:tc>
          <w:tcPr>
            <w:tcW w:w="6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62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20" w:type="dxa"/>
            <w:vAlign w:val="bottom"/>
            <w:shd w:val="clear" w:color="auto" w:fill="E5FFFF"/>
          </w:tcPr>
          <w:p>
            <w:pPr>
              <w:spacing w:after="0"/>
              <w:rPr>
                <w:sz w:val="2"/>
                <w:szCs w:val="2"/>
                <w:color w:val="auto"/>
              </w:rPr>
            </w:pPr>
          </w:p>
        </w:tc>
        <w:tc>
          <w:tcPr>
            <w:tcW w:w="80" w:type="dxa"/>
            <w:vAlign w:val="bottom"/>
            <w:shd w:val="clear" w:color="auto" w:fill="E5FFFF"/>
          </w:tcPr>
          <w:p>
            <w:pPr>
              <w:spacing w:after="0"/>
              <w:rPr>
                <w:sz w:val="2"/>
                <w:szCs w:val="2"/>
                <w:color w:val="auto"/>
              </w:rPr>
            </w:pPr>
          </w:p>
        </w:tc>
        <w:tc>
          <w:tcPr>
            <w:tcW w:w="148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4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68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78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12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4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68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80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Commercial Original Equipment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696</w:t>
            </w:r>
          </w:p>
        </w:tc>
        <w:tc>
          <w:tcPr>
            <w:tcW w:w="1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1,380</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4"/>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Aftermarket</w:t>
            </w: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1,143</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1,118</w:t>
            </w:r>
          </w:p>
        </w:tc>
        <w:tc>
          <w:tcPr>
            <w:tcW w:w="112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2,225</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2,200</w:t>
            </w:r>
          </w:p>
        </w:tc>
        <w:tc>
          <w:tcPr>
            <w:tcW w:w="102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Defense and Space</w:t>
            </w:r>
          </w:p>
        </w:tc>
        <w:tc>
          <w:tcPr>
            <w:tcW w:w="18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1,178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1,177</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2,253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2,269</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Transportation Systems</w:t>
            </w:r>
          </w:p>
        </w:tc>
        <w:tc>
          <w:tcPr>
            <w:tcW w:w="18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1,019</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2,012</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4"/>
          </w:tcPr>
          <w:p>
            <w:pPr>
              <w:ind w:left="340"/>
              <w:spacing w:after="0"/>
              <w:rPr>
                <w:sz w:val="20"/>
                <w:szCs w:val="20"/>
                <w:color w:val="auto"/>
              </w:rPr>
            </w:pPr>
            <w:r>
              <w:rPr>
                <w:rFonts w:ascii="Arial" w:cs="Arial" w:eastAsia="Arial" w:hAnsi="Arial"/>
                <w:sz w:val="18"/>
                <w:szCs w:val="18"/>
                <w:color w:val="auto"/>
              </w:rPr>
              <w:t>Total Aerospace Sales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Automation and Control Solutions Sales</w:t>
            </w:r>
          </w:p>
        </w:tc>
        <w:tc>
          <w:tcPr>
            <w:tcW w:w="1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top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Energy Safety &amp; Security</w:t>
            </w:r>
          </w:p>
        </w:tc>
        <w:tc>
          <w:tcPr>
            <w:tcW w:w="1560" w:type="dxa"/>
            <w:vAlign w:val="bottom"/>
            <w:tcBorders>
              <w:top w:val="single" w:sz="8" w:color="E5FFFF"/>
            </w:tcBorders>
            <w:gridSpan w:val="2"/>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2,389</w:t>
            </w:r>
          </w:p>
        </w:tc>
        <w:tc>
          <w:tcPr>
            <w:tcW w:w="28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1000" w:type="dxa"/>
            <w:vAlign w:val="bottom"/>
            <w:tcBorders>
              <w:top w:val="single" w:sz="8" w:color="E5FFFF"/>
            </w:tcBorders>
            <w:gridSpan w:val="2"/>
          </w:tcPr>
          <w:p>
            <w:pPr>
              <w:jc w:val="right"/>
              <w:ind w:right="320"/>
              <w:spacing w:after="0" w:line="202" w:lineRule="exact"/>
              <w:rPr>
                <w:sz w:val="20"/>
                <w:szCs w:val="20"/>
                <w:color w:val="auto"/>
              </w:rPr>
            </w:pPr>
            <w:r>
              <w:rPr>
                <w:rFonts w:ascii="Arial" w:cs="Arial" w:eastAsia="Arial" w:hAnsi="Arial"/>
                <w:sz w:val="18"/>
                <w:szCs w:val="18"/>
                <w:color w:val="auto"/>
              </w:rPr>
              <w:t>2,394</w:t>
            </w:r>
          </w:p>
        </w:tc>
        <w:tc>
          <w:tcPr>
            <w:tcW w:w="1120" w:type="dxa"/>
            <w:vAlign w:val="bottom"/>
            <w:tcBorders>
              <w:top w:val="single" w:sz="8" w:color="E5FFFF"/>
            </w:tcBorders>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4,623</w:t>
            </w:r>
          </w:p>
        </w:tc>
        <w:tc>
          <w:tcPr>
            <w:tcW w:w="28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1000" w:type="dxa"/>
            <w:vAlign w:val="bottom"/>
            <w:tcBorders>
              <w:top w:val="single" w:sz="8" w:color="E5FFFF"/>
            </w:tcBorders>
            <w:gridSpan w:val="2"/>
          </w:tcPr>
          <w:p>
            <w:pPr>
              <w:jc w:val="right"/>
              <w:ind w:right="320"/>
              <w:spacing w:after="0" w:line="202" w:lineRule="exact"/>
              <w:rPr>
                <w:sz w:val="20"/>
                <w:szCs w:val="20"/>
                <w:color w:val="auto"/>
              </w:rPr>
            </w:pPr>
            <w:r>
              <w:rPr>
                <w:rFonts w:ascii="Arial" w:cs="Arial" w:eastAsia="Arial" w:hAnsi="Arial"/>
                <w:sz w:val="18"/>
                <w:szCs w:val="18"/>
                <w:color w:val="auto"/>
              </w:rPr>
              <w:t>4,695</w:t>
            </w:r>
          </w:p>
        </w:tc>
        <w:tc>
          <w:tcPr>
            <w:tcW w:w="1020" w:type="dxa"/>
            <w:vAlign w:val="bottom"/>
            <w:tcBorders>
              <w:top w:val="single" w:sz="8" w:color="E5FFFF"/>
            </w:tcBorders>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Building Solutions &amp; Distribution</w:t>
            </w:r>
          </w:p>
        </w:tc>
        <w:tc>
          <w:tcPr>
            <w:tcW w:w="18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1,164</w:t>
            </w: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1,213</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2,194</w:t>
            </w: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2,274</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4"/>
          </w:tcPr>
          <w:p>
            <w:pPr>
              <w:ind w:left="340"/>
              <w:spacing w:after="0"/>
              <w:rPr>
                <w:sz w:val="20"/>
                <w:szCs w:val="20"/>
                <w:color w:val="auto"/>
              </w:rPr>
            </w:pPr>
            <w:r>
              <w:rPr>
                <w:rFonts w:ascii="Arial" w:cs="Arial" w:eastAsia="Arial" w:hAnsi="Arial"/>
                <w:sz w:val="18"/>
                <w:szCs w:val="18"/>
                <w:color w:val="auto"/>
              </w:rPr>
              <w:t>Total Automation and Control Solutions Sales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6,969</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Performance Materials and Technologies</w:t>
            </w:r>
          </w:p>
        </w:tc>
        <w:tc>
          <w:tcPr>
            <w:tcW w:w="1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UOP</w:t>
            </w:r>
          </w:p>
        </w:tc>
        <w:tc>
          <w:tcPr>
            <w:tcW w:w="1480" w:type="dxa"/>
            <w:vAlign w:val="bottom"/>
            <w:tcBorders>
              <w:top w:val="single" w:sz="8" w:color="E5FFFF"/>
            </w:tcBorders>
          </w:tcPr>
          <w:p>
            <w:pPr>
              <w:spacing w:after="0"/>
              <w:rPr>
                <w:sz w:val="17"/>
                <w:szCs w:val="17"/>
                <w:color w:val="auto"/>
              </w:rPr>
            </w:pPr>
          </w:p>
        </w:tc>
        <w:tc>
          <w:tcPr>
            <w:tcW w:w="18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745</w:t>
            </w:r>
          </w:p>
        </w:tc>
        <w:tc>
          <w:tcPr>
            <w:tcW w:w="28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1000" w:type="dxa"/>
            <w:vAlign w:val="bottom"/>
            <w:tcBorders>
              <w:top w:val="single" w:sz="8" w:color="E5FFFF"/>
            </w:tcBorders>
            <w:gridSpan w:val="2"/>
          </w:tcPr>
          <w:p>
            <w:pPr>
              <w:jc w:val="right"/>
              <w:ind w:right="320"/>
              <w:spacing w:after="0" w:line="202" w:lineRule="exact"/>
              <w:rPr>
                <w:sz w:val="20"/>
                <w:szCs w:val="20"/>
                <w:color w:val="auto"/>
              </w:rPr>
            </w:pPr>
            <w:r>
              <w:rPr>
                <w:rFonts w:ascii="Arial" w:cs="Arial" w:eastAsia="Arial" w:hAnsi="Arial"/>
                <w:sz w:val="18"/>
                <w:szCs w:val="18"/>
                <w:color w:val="auto"/>
              </w:rPr>
              <w:t>828</w:t>
            </w:r>
          </w:p>
        </w:tc>
        <w:tc>
          <w:tcPr>
            <w:tcW w:w="1120" w:type="dxa"/>
            <w:vAlign w:val="bottom"/>
            <w:tcBorders>
              <w:top w:val="single" w:sz="8" w:color="E5FFFF"/>
            </w:tcBorders>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20" w:type="dxa"/>
            <w:vAlign w:val="bottom"/>
            <w:tcBorders>
              <w:top w:val="single" w:sz="8" w:color="E5FFFF"/>
            </w:tcBorders>
          </w:tcPr>
          <w:p>
            <w:pPr>
              <w:spacing w:after="0"/>
              <w:rPr>
                <w:sz w:val="17"/>
                <w:szCs w:val="17"/>
                <w:color w:val="auto"/>
              </w:rPr>
            </w:pPr>
          </w:p>
        </w:tc>
        <w:tc>
          <w:tcPr>
            <w:tcW w:w="160" w:type="dxa"/>
            <w:vAlign w:val="bottom"/>
            <w:tcBorders>
              <w:top w:val="single" w:sz="8" w:color="E5FFFF"/>
            </w:tcBorders>
          </w:tcPr>
          <w:p>
            <w:pPr>
              <w:spacing w:after="0"/>
              <w:rPr>
                <w:sz w:val="17"/>
                <w:szCs w:val="17"/>
                <w:color w:val="auto"/>
              </w:rPr>
            </w:pPr>
          </w:p>
        </w:tc>
        <w:tc>
          <w:tcPr>
            <w:tcW w:w="660" w:type="dxa"/>
            <w:vAlign w:val="bottom"/>
            <w:tcBorders>
              <w:top w:val="single" w:sz="8" w:color="E5FFFF"/>
            </w:tcBorders>
            <w:gridSpan w:val="2"/>
          </w:tcPr>
          <w:p>
            <w:pPr>
              <w:jc w:val="right"/>
              <w:ind w:right="40"/>
              <w:spacing w:after="0" w:line="202" w:lineRule="exact"/>
              <w:rPr>
                <w:sz w:val="20"/>
                <w:szCs w:val="20"/>
                <w:color w:val="auto"/>
              </w:rPr>
            </w:pPr>
            <w:r>
              <w:rPr>
                <w:rFonts w:ascii="Arial" w:cs="Arial" w:eastAsia="Arial" w:hAnsi="Arial"/>
                <w:sz w:val="18"/>
                <w:szCs w:val="18"/>
                <w:color w:val="auto"/>
              </w:rPr>
              <w:t>1,659</w:t>
            </w:r>
          </w:p>
        </w:tc>
        <w:tc>
          <w:tcPr>
            <w:tcW w:w="280" w:type="dxa"/>
            <w:vAlign w:val="bottom"/>
            <w:tcBorders>
              <w:top w:val="single" w:sz="8" w:color="E5FFFF"/>
            </w:tcBorders>
          </w:tcPr>
          <w:p>
            <w:pPr>
              <w:spacing w:after="0"/>
              <w:rPr>
                <w:sz w:val="17"/>
                <w:szCs w:val="17"/>
                <w:color w:val="auto"/>
              </w:rPr>
            </w:pPr>
          </w:p>
        </w:tc>
        <w:tc>
          <w:tcPr>
            <w:tcW w:w="100" w:type="dxa"/>
            <w:vAlign w:val="bottom"/>
            <w:tcBorders>
              <w:top w:val="single" w:sz="8" w:color="E5FFFF"/>
            </w:tcBorders>
          </w:tcPr>
          <w:p>
            <w:pPr>
              <w:spacing w:after="0"/>
              <w:rPr>
                <w:sz w:val="17"/>
                <w:szCs w:val="17"/>
                <w:color w:val="auto"/>
              </w:rPr>
            </w:pPr>
          </w:p>
        </w:tc>
        <w:tc>
          <w:tcPr>
            <w:tcW w:w="1000" w:type="dxa"/>
            <w:vAlign w:val="bottom"/>
            <w:tcBorders>
              <w:top w:val="single" w:sz="8" w:color="E5FFFF"/>
            </w:tcBorders>
            <w:gridSpan w:val="2"/>
          </w:tcPr>
          <w:p>
            <w:pPr>
              <w:jc w:val="right"/>
              <w:ind w:right="320"/>
              <w:spacing w:after="0" w:line="202" w:lineRule="exact"/>
              <w:rPr>
                <w:sz w:val="20"/>
                <w:szCs w:val="20"/>
                <w:color w:val="auto"/>
              </w:rPr>
            </w:pPr>
            <w:r>
              <w:rPr>
                <w:rFonts w:ascii="Arial" w:cs="Arial" w:eastAsia="Arial" w:hAnsi="Arial"/>
                <w:sz w:val="18"/>
                <w:szCs w:val="18"/>
                <w:color w:val="auto"/>
              </w:rPr>
              <w:t>1,674</w:t>
            </w:r>
          </w:p>
        </w:tc>
        <w:tc>
          <w:tcPr>
            <w:tcW w:w="1020" w:type="dxa"/>
            <w:vAlign w:val="bottom"/>
            <w:tcBorders>
              <w:top w:val="single" w:sz="8" w:color="E5FFFF"/>
            </w:tcBorders>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4"/>
            <w:shd w:val="clear" w:color="auto" w:fill="E5FFFF"/>
          </w:tcPr>
          <w:p>
            <w:pPr>
              <w:ind w:left="160"/>
              <w:spacing w:after="0" w:line="202" w:lineRule="exact"/>
              <w:rPr>
                <w:sz w:val="20"/>
                <w:szCs w:val="20"/>
                <w:color w:val="auto"/>
              </w:rPr>
            </w:pPr>
            <w:r>
              <w:rPr>
                <w:rFonts w:ascii="Arial" w:cs="Arial" w:eastAsia="Arial" w:hAnsi="Arial"/>
                <w:sz w:val="18"/>
                <w:szCs w:val="18"/>
                <w:color w:val="auto"/>
              </w:rPr>
              <w:t>Process Solutions</w:t>
            </w: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687</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786</w:t>
            </w:r>
          </w:p>
        </w:tc>
        <w:tc>
          <w:tcPr>
            <w:tcW w:w="11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1,319</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1,498</w:t>
            </w:r>
          </w:p>
        </w:tc>
        <w:tc>
          <w:tcPr>
            <w:tcW w:w="10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160"/>
              <w:spacing w:after="0"/>
              <w:rPr>
                <w:sz w:val="20"/>
                <w:szCs w:val="20"/>
                <w:color w:val="auto"/>
              </w:rPr>
            </w:pPr>
            <w:r>
              <w:rPr>
                <w:rFonts w:ascii="Arial" w:cs="Arial" w:eastAsia="Arial" w:hAnsi="Arial"/>
                <w:sz w:val="18"/>
                <w:szCs w:val="18"/>
                <w:color w:val="auto"/>
              </w:rPr>
              <w:t>Advanced Materials</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tcBorders>
              <w:top w:val="single" w:sz="8" w:color="E5FFFF"/>
            </w:tcBorders>
            <w:gridSpan w:val="4"/>
            <w:shd w:val="clear" w:color="auto" w:fill="E5FFFF"/>
          </w:tcPr>
          <w:p>
            <w:pPr>
              <w:ind w:left="340"/>
              <w:spacing w:after="0" w:line="182" w:lineRule="exact"/>
              <w:rPr>
                <w:sz w:val="20"/>
                <w:szCs w:val="20"/>
                <w:color w:val="auto"/>
              </w:rPr>
            </w:pPr>
            <w:r>
              <w:rPr>
                <w:rFonts w:ascii="Arial" w:cs="Arial" w:eastAsia="Arial" w:hAnsi="Arial"/>
                <w:sz w:val="18"/>
                <w:szCs w:val="18"/>
                <w:color w:val="auto"/>
              </w:rPr>
              <w:t>Total Performance Materials and Technologies</w:t>
            </w:r>
          </w:p>
        </w:tc>
        <w:tc>
          <w:tcPr>
            <w:tcW w:w="180" w:type="dxa"/>
            <w:vAlign w:val="bottom"/>
            <w:tcBorders>
              <w:top w:val="single" w:sz="8" w:color="auto"/>
            </w:tcBorders>
            <w:shd w:val="clear" w:color="auto" w:fill="E5FFFF"/>
          </w:tcPr>
          <w:p>
            <w:pPr>
              <w:spacing w:after="0"/>
              <w:rPr>
                <w:sz w:val="15"/>
                <w:szCs w:val="15"/>
                <w:color w:val="auto"/>
              </w:rPr>
            </w:pPr>
          </w:p>
        </w:tc>
        <w:tc>
          <w:tcPr>
            <w:tcW w:w="62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780" w:type="dxa"/>
            <w:vAlign w:val="bottom"/>
            <w:tcBorders>
              <w:top w:val="single" w:sz="8" w:color="E5FFFF"/>
            </w:tcBorders>
            <w:shd w:val="clear" w:color="auto" w:fill="E5FFFF"/>
          </w:tcPr>
          <w:p>
            <w:pPr>
              <w:spacing w:after="0"/>
              <w:rPr>
                <w:sz w:val="15"/>
                <w:szCs w:val="15"/>
                <w:color w:val="auto"/>
              </w:rPr>
            </w:pPr>
          </w:p>
        </w:tc>
        <w:tc>
          <w:tcPr>
            <w:tcW w:w="340" w:type="dxa"/>
            <w:vAlign w:val="bottom"/>
            <w:tcBorders>
              <w:top w:val="single" w:sz="8" w:color="E5FFFF"/>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160" w:type="dxa"/>
            <w:vAlign w:val="bottom"/>
            <w:tcBorders>
              <w:top w:val="single" w:sz="8" w:color="auto"/>
            </w:tcBorders>
            <w:shd w:val="clear" w:color="auto" w:fill="E5FFFF"/>
          </w:tcPr>
          <w:p>
            <w:pPr>
              <w:spacing w:after="0"/>
              <w:rPr>
                <w:sz w:val="15"/>
                <w:szCs w:val="15"/>
                <w:color w:val="auto"/>
              </w:rPr>
            </w:pPr>
          </w:p>
        </w:tc>
        <w:tc>
          <w:tcPr>
            <w:tcW w:w="620" w:type="dxa"/>
            <w:vAlign w:val="bottom"/>
            <w:tcBorders>
              <w:top w:val="single" w:sz="8" w:color="auto"/>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00" w:type="dxa"/>
            <w:vAlign w:val="bottom"/>
            <w:tcBorders>
              <w:top w:val="single" w:sz="8" w:color="auto"/>
            </w:tcBorders>
            <w:shd w:val="clear" w:color="auto" w:fill="E5FFFF"/>
          </w:tcPr>
          <w:p>
            <w:pPr>
              <w:spacing w:after="0"/>
              <w:rPr>
                <w:sz w:val="15"/>
                <w:szCs w:val="15"/>
                <w:color w:val="auto"/>
              </w:rPr>
            </w:pPr>
          </w:p>
        </w:tc>
        <w:tc>
          <w:tcPr>
            <w:tcW w:w="68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E5FFFF"/>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4"/>
            <w:shd w:val="clear" w:color="auto" w:fill="E5FFFF"/>
          </w:tcPr>
          <w:p>
            <w:pPr>
              <w:ind w:left="520"/>
              <w:spacing w:after="0" w:line="203" w:lineRule="exact"/>
              <w:rPr>
                <w:sz w:val="20"/>
                <w:szCs w:val="20"/>
                <w:color w:val="auto"/>
              </w:rPr>
            </w:pPr>
            <w:r>
              <w:rPr>
                <w:rFonts w:ascii="Arial" w:cs="Arial" w:eastAsia="Arial" w:hAnsi="Arial"/>
                <w:sz w:val="18"/>
                <w:szCs w:val="18"/>
                <w:color w:val="auto"/>
              </w:rPr>
              <w:t>Sales</w:t>
            </w:r>
          </w:p>
        </w:tc>
        <w:tc>
          <w:tcPr>
            <w:tcW w:w="18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2,395</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320"/>
              <w:spacing w:after="0" w:line="203" w:lineRule="exact"/>
              <w:rPr>
                <w:sz w:val="20"/>
                <w:szCs w:val="20"/>
                <w:color w:val="auto"/>
              </w:rPr>
            </w:pPr>
            <w:r>
              <w:rPr>
                <w:rFonts w:ascii="Arial" w:cs="Arial" w:eastAsia="Arial" w:hAnsi="Arial"/>
                <w:sz w:val="18"/>
                <w:szCs w:val="18"/>
                <w:color w:val="auto"/>
              </w:rPr>
              <w:t>2,636</w:t>
            </w: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gridSpan w:val="2"/>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4,737</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320"/>
              <w:spacing w:after="0" w:line="203" w:lineRule="exact"/>
              <w:rPr>
                <w:sz w:val="20"/>
                <w:szCs w:val="20"/>
                <w:color w:val="auto"/>
              </w:rPr>
            </w:pPr>
            <w:r>
              <w:rPr>
                <w:rFonts w:ascii="Arial" w:cs="Arial" w:eastAsia="Arial" w:hAnsi="Arial"/>
                <w:sz w:val="18"/>
                <w:szCs w:val="18"/>
                <w:color w:val="auto"/>
              </w:rPr>
              <w:t>5,102</w:t>
            </w: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9,775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10,253</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18,988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19,932</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Aerospace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4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6"/>
          </w:tcPr>
          <w:p>
            <w:pPr>
              <w:jc w:val="center"/>
              <w:ind w:left="493"/>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3,827</w:t>
            </w:r>
          </w:p>
        </w:tc>
        <w:tc>
          <w:tcPr>
            <w:tcW w:w="3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4,010</w:t>
            </w:r>
          </w:p>
        </w:tc>
        <w:tc>
          <w:tcPr>
            <w:tcW w:w="112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7,434</w:t>
            </w:r>
          </w:p>
        </w:tc>
        <w:tc>
          <w:tcPr>
            <w:tcW w:w="3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7,861</w:t>
            </w:r>
          </w:p>
        </w:tc>
        <w:tc>
          <w:tcPr>
            <w:tcW w:w="10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tcPr>
          <w:p>
            <w:pPr>
              <w:ind w:left="160"/>
              <w:spacing w:after="0"/>
              <w:rPr>
                <w:sz w:val="20"/>
                <w:szCs w:val="20"/>
                <w:color w:val="auto"/>
              </w:rPr>
            </w:pPr>
            <w:r>
              <w:rPr>
                <w:rFonts w:ascii="Arial" w:cs="Arial" w:eastAsia="Arial" w:hAnsi="Arial"/>
                <w:sz w:val="18"/>
                <w:szCs w:val="18"/>
                <w:color w:val="auto"/>
              </w:rPr>
              <w:t>Cost of products and services sold</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3,008</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5,911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179</w:t>
            </w:r>
          </w:p>
        </w:tc>
        <w:tc>
          <w:tcPr>
            <w:tcW w:w="7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355</w:t>
            </w:r>
          </w:p>
        </w:tc>
        <w:tc>
          <w:tcPr>
            <w:tcW w:w="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4"/>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E5FFFF"/>
            </w:tcBorders>
            <w:gridSpan w:val="4"/>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777</w:t>
            </w: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759</w:t>
            </w:r>
          </w:p>
        </w:tc>
        <w:tc>
          <w:tcPr>
            <w:tcW w:w="3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E5FFFF"/>
            </w:tcBorders>
            <w:gridSpan w:val="2"/>
            <w:shd w:val="clear" w:color="auto" w:fill="E5FFFF"/>
          </w:tcPr>
          <w:p>
            <w:pPr>
              <w:jc w:val="right"/>
              <w:ind w:right="180"/>
              <w:spacing w:after="0" w:line="196" w:lineRule="exact"/>
              <w:rPr>
                <w:sz w:val="20"/>
                <w:szCs w:val="20"/>
                <w:color w:val="auto"/>
              </w:rPr>
            </w:pPr>
            <w:r>
              <w:rPr>
                <w:rFonts w:ascii="Arial" w:cs="Arial" w:eastAsia="Arial" w:hAnsi="Arial"/>
                <w:sz w:val="18"/>
                <w:szCs w:val="18"/>
                <w:color w:val="auto"/>
              </w:rPr>
              <w:t>2%</w:t>
            </w:r>
          </w:p>
        </w:tc>
        <w:tc>
          <w:tcPr>
            <w:tcW w:w="1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1,529</w:t>
            </w: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1,462</w:t>
            </w:r>
          </w:p>
        </w:tc>
        <w:tc>
          <w:tcPr>
            <w:tcW w:w="3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E5FFFF"/>
            </w:tcBorders>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18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4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0"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2015 vs. 2014</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60" w:type="dxa"/>
            <w:vAlign w:val="bottom"/>
            <w:gridSpan w:val="6"/>
          </w:tcPr>
          <w:p>
            <w:pPr>
              <w:ind w:left="780"/>
              <w:spacing w:after="0" w:line="143" w:lineRule="exact"/>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tcPr>
          <w:p>
            <w:pPr>
              <w:jc w:val="center"/>
              <w:ind w:left="418"/>
              <w:spacing w:after="0" w:line="143" w:lineRule="exact"/>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5"/>
        </w:trPr>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178"/>
              <w:spacing w:after="0" w:line="143" w:lineRule="exact"/>
              <w:rPr>
                <w:sz w:val="20"/>
                <w:szCs w:val="20"/>
                <w:color w:val="auto"/>
              </w:rPr>
            </w:pPr>
            <w:r>
              <w:rPr>
                <w:rFonts w:ascii="Arial" w:cs="Arial" w:eastAsia="Arial" w:hAnsi="Arial"/>
                <w:sz w:val="14"/>
                <w:szCs w:val="14"/>
                <w:b w:val="1"/>
                <w:bCs w:val="1"/>
                <w:color w:val="auto"/>
              </w:rPr>
              <w:t>Segment</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gridSpan w:val="2"/>
          </w:tcPr>
          <w:p>
            <w:pPr>
              <w:spacing w:after="0"/>
              <w:rPr>
                <w:sz w:val="12"/>
                <w:szCs w:val="12"/>
                <w:color w:val="auto"/>
              </w:rPr>
            </w:pPr>
          </w:p>
        </w:tc>
      </w:tr>
      <w:tr>
        <w:trPr>
          <w:trHeight w:val="175"/>
        </w:trPr>
        <w:tc>
          <w:tcPr>
            <w:tcW w:w="43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Factors Contributing to Year-Over-Year Change</w:t>
            </w:r>
          </w:p>
        </w:tc>
        <w:tc>
          <w:tcPr>
            <w:tcW w:w="320" w:type="dxa"/>
            <w:vAlign w:val="bottom"/>
            <w:tcBorders>
              <w:bottom w:val="single" w:sz="8" w:color="E5FFFF"/>
            </w:tcBorders>
          </w:tcPr>
          <w:p>
            <w:pPr>
              <w:spacing w:after="0"/>
              <w:rPr>
                <w:sz w:val="15"/>
                <w:szCs w:val="15"/>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Sales</w:t>
            </w:r>
          </w:p>
        </w:tc>
        <w:tc>
          <w:tcPr>
            <w:tcW w:w="56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Profit</w:t>
            </w:r>
          </w:p>
        </w:tc>
        <w:tc>
          <w:tcPr>
            <w:tcW w:w="54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Sales</w:t>
            </w:r>
          </w:p>
        </w:tc>
        <w:tc>
          <w:tcPr>
            <w:tcW w:w="560" w:type="dxa"/>
            <w:vAlign w:val="bottom"/>
            <w:tcBorders>
              <w:bottom w:val="single" w:sz="8" w:color="E5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Profit</w:t>
            </w:r>
          </w:p>
        </w:tc>
        <w:tc>
          <w:tcPr>
            <w:tcW w:w="220" w:type="dxa"/>
            <w:vAlign w:val="bottom"/>
            <w:tcBorders>
              <w:bottom w:val="single" w:sz="8" w:color="E5FFFF"/>
            </w:tcBorders>
            <w:gridSpan w:val="2"/>
          </w:tcPr>
          <w:p>
            <w:pPr>
              <w:spacing w:after="0"/>
              <w:rPr>
                <w:sz w:val="15"/>
                <w:szCs w:val="15"/>
                <w:color w:val="auto"/>
              </w:rPr>
            </w:pPr>
          </w:p>
        </w:tc>
      </w:tr>
      <w:tr>
        <w:trPr>
          <w:trHeight w:val="196"/>
        </w:trPr>
        <w:tc>
          <w:tcPr>
            <w:tcW w:w="43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32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rPr>
              <w:t>3%</w:t>
            </w: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90"/>
              <w:spacing w:after="0" w:line="196" w:lineRule="exact"/>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1100" w:type="dxa"/>
            <w:vAlign w:val="bottom"/>
            <w:gridSpan w:val="3"/>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9%</w:t>
            </w:r>
          </w:p>
        </w:tc>
      </w:tr>
      <w:tr>
        <w:trPr>
          <w:trHeight w:val="203"/>
        </w:trPr>
        <w:tc>
          <w:tcPr>
            <w:tcW w:w="468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w:t>
            </w:r>
          </w:p>
        </w:tc>
        <w:tc>
          <w:tcPr>
            <w:tcW w:w="17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5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(5)%</w:t>
            </w:r>
          </w:p>
        </w:tc>
        <w:tc>
          <w:tcPr>
            <w:tcW w:w="340" w:type="dxa"/>
            <w:vAlign w:val="bottom"/>
          </w:tcPr>
          <w:p>
            <w:pPr>
              <w:spacing w:after="0"/>
              <w:rPr>
                <w:sz w:val="17"/>
                <w:szCs w:val="17"/>
                <w:color w:val="auto"/>
              </w:rPr>
            </w:pPr>
          </w:p>
        </w:tc>
        <w:tc>
          <w:tcPr>
            <w:tcW w:w="144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r>
      <w:tr>
        <w:trPr>
          <w:trHeight w:val="216"/>
        </w:trPr>
        <w:tc>
          <w:tcPr>
            <w:tcW w:w="46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Acquisitions, divestitures and other, net</w:t>
            </w:r>
          </w:p>
        </w:tc>
        <w:tc>
          <w:tcPr>
            <w:tcW w:w="176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(4)%</w:t>
            </w:r>
          </w:p>
        </w:tc>
        <w:tc>
          <w:tcPr>
            <w:tcW w:w="18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90"/>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8"/>
                <w:szCs w:val="18"/>
                <w:color w:val="auto"/>
              </w:rPr>
            </w:pPr>
          </w:p>
        </w:tc>
        <w:tc>
          <w:tcPr>
            <w:tcW w:w="1100" w:type="dxa"/>
            <w:vAlign w:val="bottom"/>
            <w:gridSpan w:val="3"/>
            <w:shd w:val="clear" w:color="auto" w:fill="E5FFFF"/>
          </w:tcPr>
          <w:p>
            <w:pPr>
              <w:jc w:val="right"/>
              <w:ind w:right="60"/>
              <w:spacing w:after="0"/>
              <w:rPr>
                <w:sz w:val="20"/>
                <w:szCs w:val="20"/>
                <w:color w:val="auto"/>
              </w:rPr>
            </w:pPr>
            <w:r>
              <w:rPr>
                <w:rFonts w:ascii="Arial" w:cs="Arial" w:eastAsia="Arial" w:hAnsi="Arial"/>
                <w:sz w:val="18"/>
                <w:szCs w:val="18"/>
                <w:color w:val="auto"/>
              </w:rPr>
              <w:t>1%</w:t>
            </w:r>
          </w:p>
        </w:tc>
      </w:tr>
      <w:tr>
        <w:trPr>
          <w:trHeight w:val="210"/>
        </w:trPr>
        <w:tc>
          <w:tcPr>
            <w:tcW w:w="4680" w:type="dxa"/>
            <w:vAlign w:val="bottom"/>
            <w:gridSpan w:val="2"/>
          </w:tcPr>
          <w:p>
            <w:pPr>
              <w:spacing w:after="0" w:line="197" w:lineRule="exact"/>
              <w:rPr>
                <w:sz w:val="20"/>
                <w:szCs w:val="20"/>
                <w:color w:val="auto"/>
              </w:rPr>
            </w:pPr>
            <w:r>
              <w:rPr>
                <w:rFonts w:ascii="Arial" w:cs="Arial" w:eastAsia="Arial" w:hAnsi="Arial"/>
                <w:sz w:val="18"/>
                <w:szCs w:val="18"/>
                <w:color w:val="auto"/>
              </w:rPr>
              <w:t>Total % Change</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jc w:val="right"/>
              <w:ind w:right="290"/>
              <w:spacing w:after="0" w:line="197" w:lineRule="exact"/>
              <w:rPr>
                <w:sz w:val="20"/>
                <w:szCs w:val="20"/>
                <w:color w:val="auto"/>
              </w:rPr>
            </w:pPr>
            <w:r>
              <w:rPr>
                <w:rFonts w:ascii="Arial" w:cs="Arial" w:eastAsia="Arial" w:hAnsi="Arial"/>
                <w:sz w:val="18"/>
                <w:szCs w:val="18"/>
                <w:color w:val="auto"/>
                <w:w w:val="87"/>
              </w:rPr>
              <w:t>%</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jc w:val="right"/>
              <w:ind w:right="250"/>
              <w:spacing w:after="0" w:line="197" w:lineRule="exact"/>
              <w:rPr>
                <w:sz w:val="20"/>
                <w:szCs w:val="20"/>
                <w:color w:val="auto"/>
              </w:rPr>
            </w:pPr>
            <w:r>
              <w:rPr>
                <w:rFonts w:ascii="Arial" w:cs="Arial" w:eastAsia="Arial" w:hAnsi="Arial"/>
                <w:sz w:val="18"/>
                <w:szCs w:val="18"/>
                <w:color w:val="auto"/>
                <w:w w:val="90"/>
              </w:rPr>
              <w:t>)%</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w w:val="87"/>
              </w:rPr>
              <w:t>%</w:t>
            </w:r>
          </w:p>
        </w:tc>
      </w:tr>
      <w:tr>
        <w:trPr>
          <w:trHeight w:val="20"/>
        </w:trPr>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Aerospace sales decreased in the quarter and six months ended June 30, 2015 primarily due to the Friction Materials divestiture and unfavorable impact from foreign exchange, partially offset by an increase in organic sales.</w:t>
      </w:r>
    </w:p>
    <w:p>
      <w:pPr>
        <w:spacing w:after="0" w:line="183" w:lineRule="exact"/>
        <w:rPr>
          <w:sz w:val="20"/>
          <w:szCs w:val="20"/>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Original Equipment sales increased 6% (increased 6% organic) in the quarter ended June 30, 2015 and increased 3% (increased 4% organic) in the six months ended June 30, 2015 primarily driven by higher business and general aviation engine shipments.</w:t>
      </w:r>
    </w:p>
    <w:p>
      <w:pPr>
        <w:spacing w:after="0" w:line="229" w:lineRule="exact"/>
        <w:rPr>
          <w:rFonts w:ascii="Arial" w:cs="Arial" w:eastAsia="Arial" w:hAnsi="Arial"/>
          <w:sz w:val="18"/>
          <w:szCs w:val="18"/>
          <w:color w:val="auto"/>
        </w:rPr>
      </w:pPr>
    </w:p>
    <w:p>
      <w:pPr>
        <w:jc w:val="both"/>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Aftermarket sales increased 2% (increased 3% organic) in the quarter ended June 30, 2015 and increased 1% (increased 2% organic) in the six months ended June 30, 2015 primarily driven by higher repair and overhaul activities, partially offset by lower retrofits, modifications and upgrades for business and general aviation customers.</w:t>
      </w:r>
    </w:p>
    <w:p>
      <w:pPr>
        <w:spacing w:after="0" w:line="229"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were flat (increased 1% organic) in the quarter ended June 30, 2015 primarily driven by growth in international programs, offset by lower U.S. government sales.</w:t>
      </w:r>
    </w:p>
    <w:p>
      <w:pPr>
        <w:spacing w:after="0" w:line="223" w:lineRule="exact"/>
        <w:rPr>
          <w:rFonts w:ascii="Arial" w:cs="Arial" w:eastAsia="Arial" w:hAnsi="Arial"/>
          <w:sz w:val="18"/>
          <w:szCs w:val="18"/>
          <w:color w:val="auto"/>
        </w:rPr>
      </w:pPr>
    </w:p>
    <w:p>
      <w:pPr>
        <w:ind w:left="980" w:right="20"/>
        <w:spacing w:after="0" w:line="246" w:lineRule="auto"/>
        <w:rPr>
          <w:rFonts w:ascii="Arial" w:cs="Arial" w:eastAsia="Arial" w:hAnsi="Arial"/>
          <w:sz w:val="18"/>
          <w:szCs w:val="18"/>
          <w:color w:val="auto"/>
        </w:rPr>
      </w:pPr>
      <w:r>
        <w:rPr>
          <w:rFonts w:ascii="Arial" w:cs="Arial" w:eastAsia="Arial" w:hAnsi="Arial"/>
          <w:sz w:val="18"/>
          <w:szCs w:val="18"/>
          <w:color w:val="auto"/>
        </w:rPr>
        <w:t>Defense and Space sales decreased 1% (flat organic) in the six months ended June 30, 2015 primarily due to lower U.S. government sales, partially offset by growth in international programs.</w:t>
      </w:r>
    </w:p>
    <w:p>
      <w:pPr>
        <w:spacing w:after="0" w:line="183"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decreased 25% (increased 5% organic) in the quarter ended June 30, 2015 and decreased 24% (increased 5% organic) in the six months ended June 30, 2015 primarily due to the Friction Materials divestiture, the unfavorable impact from foreign exchange and lower commercial vehicle production, partially offset by continued growth from new platform launches and higher global gas turbo penetration.</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Aerospace segment profit increased in the quarter and six months ended June 30, 2015 primarily driven by an increase in operational segment profit, partially offset by the unfavorable impact of foreign exchange. The increase in operational segment profit is primarily driven by productivity, net of inflation, and favorable pricing, partially offset by continued investments for growth. Cost of products and services sold decreased $190 million in the quarter ended June 30, 2015 and $474 million in the six months ended June 30, 2015 primarily driven by the favorable impact of foreign exchange and productivity, net of inflation, partially offset by continued investments for growth.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0" w:type="dxa"/>
            <w:vAlign w:val="bottom"/>
            <w:gridSpan w:val="12"/>
          </w:tcPr>
          <w:p>
            <w:pPr>
              <w:jc w:val="center"/>
              <w:ind w:right="10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69"/>
        </w:trPr>
        <w:tc>
          <w:tcPr>
            <w:tcW w:w="660" w:type="dxa"/>
            <w:vAlign w:val="bottom"/>
            <w:tcBorders>
              <w:bottom w:val="single" w:sz="8" w:color="E5FFFF"/>
            </w:tcBorders>
          </w:tcPr>
          <w:p>
            <w:pPr>
              <w:spacing w:after="0"/>
              <w:rPr>
                <w:sz w:val="14"/>
                <w:szCs w:val="14"/>
                <w:color w:val="auto"/>
              </w:rPr>
            </w:pPr>
          </w:p>
        </w:tc>
        <w:tc>
          <w:tcPr>
            <w:tcW w:w="4080" w:type="dxa"/>
            <w:vAlign w:val="bottom"/>
            <w:tcBorders>
              <w:bottom w:val="single" w:sz="8" w:color="E5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E5FF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E5FFFF"/>
            </w:tcBorders>
          </w:tcPr>
          <w:p>
            <w:pPr>
              <w:spacing w:after="0"/>
              <w:rPr>
                <w:sz w:val="14"/>
                <w:szCs w:val="14"/>
                <w:color w:val="auto"/>
              </w:rPr>
            </w:pPr>
          </w:p>
        </w:tc>
        <w:tc>
          <w:tcPr>
            <w:tcW w:w="160" w:type="dxa"/>
            <w:vAlign w:val="bottom"/>
            <w:tcBorders>
              <w:bottom w:val="single" w:sz="8" w:color="E5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E5FFFF"/>
            </w:tcBorders>
          </w:tcPr>
          <w:p>
            <w:pPr>
              <w:spacing w:after="0"/>
              <w:rPr>
                <w:sz w:val="14"/>
                <w:szCs w:val="14"/>
                <w:color w:val="auto"/>
              </w:rPr>
            </w:pPr>
          </w:p>
        </w:tc>
        <w:tc>
          <w:tcPr>
            <w:tcW w:w="280" w:type="dxa"/>
            <w:vAlign w:val="bottom"/>
            <w:tcBorders>
              <w:bottom w:val="single" w:sz="8" w:color="E5FF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E5FFFF"/>
            </w:tcBorders>
          </w:tcPr>
          <w:p>
            <w:pPr>
              <w:spacing w:after="0"/>
              <w:rPr>
                <w:sz w:val="14"/>
                <w:szCs w:val="14"/>
                <w:color w:val="auto"/>
              </w:rPr>
            </w:pPr>
          </w:p>
        </w:tc>
        <w:tc>
          <w:tcPr>
            <w:tcW w:w="280" w:type="dxa"/>
            <w:vAlign w:val="bottom"/>
            <w:tcBorders>
              <w:bottom w:val="single" w:sz="8" w:color="E5FFFF"/>
            </w:tcBorders>
          </w:tcPr>
          <w:p>
            <w:pPr>
              <w:spacing w:after="0"/>
              <w:rPr>
                <w:sz w:val="14"/>
                <w:szCs w:val="14"/>
                <w:color w:val="auto"/>
              </w:rPr>
            </w:pPr>
          </w:p>
        </w:tc>
        <w:tc>
          <w:tcPr>
            <w:tcW w:w="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E5FFFF"/>
            </w:tcBorders>
          </w:tcPr>
          <w:p>
            <w:pPr>
              <w:spacing w:after="0"/>
              <w:rPr>
                <w:sz w:val="14"/>
                <w:szCs w:val="14"/>
                <w:color w:val="auto"/>
              </w:rPr>
            </w:pPr>
          </w:p>
        </w:tc>
      </w:tr>
      <w:tr>
        <w:trPr>
          <w:trHeight w:val="196"/>
        </w:trPr>
        <w:tc>
          <w:tcPr>
            <w:tcW w:w="474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3,553</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3,607</w:t>
            </w:r>
          </w:p>
        </w:tc>
        <w:tc>
          <w:tcPr>
            <w:tcW w:w="320" w:type="dxa"/>
            <w:vAlign w:val="bottom"/>
            <w:shd w:val="clear" w:color="auto" w:fill="E5FFFF"/>
          </w:tcPr>
          <w:p>
            <w:pPr>
              <w:spacing w:after="0"/>
              <w:rPr>
                <w:sz w:val="17"/>
                <w:szCs w:val="17"/>
                <w:color w:val="auto"/>
              </w:rPr>
            </w:pPr>
          </w:p>
        </w:tc>
        <w:tc>
          <w:tcPr>
            <w:tcW w:w="1080" w:type="dxa"/>
            <w:vAlign w:val="bottom"/>
            <w:gridSpan w:val="3"/>
            <w:shd w:val="clear" w:color="auto" w:fill="E5FFFF"/>
          </w:tcPr>
          <w:p>
            <w:pPr>
              <w:jc w:val="right"/>
              <w:ind w:right="8"/>
              <w:spacing w:after="0" w:line="196" w:lineRule="exact"/>
              <w:rPr>
                <w:sz w:val="20"/>
                <w:szCs w:val="20"/>
                <w:color w:val="auto"/>
              </w:rPr>
            </w:pPr>
            <w:r>
              <w:rPr>
                <w:rFonts w:ascii="Arial" w:cs="Arial" w:eastAsia="Arial" w:hAnsi="Arial"/>
                <w:sz w:val="18"/>
                <w:szCs w:val="18"/>
                <w:color w:val="auto"/>
              </w:rPr>
              <w:t>(1)%</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6,817</w:t>
            </w: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6,969</w:t>
            </w:r>
          </w:p>
        </w:tc>
        <w:tc>
          <w:tcPr>
            <w:tcW w:w="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20" w:type="dxa"/>
            <w:vAlign w:val="bottom"/>
            <w:gridSpan w:val="5"/>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3"/>
        </w:trPr>
        <w:tc>
          <w:tcPr>
            <w:tcW w:w="47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1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2,362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4,403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4,550</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740" w:type="dxa"/>
            <w:vAlign w:val="bottom"/>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E5FFFF"/>
          </w:tcPr>
          <w:p>
            <w:pPr>
              <w:spacing w:after="0"/>
              <w:rPr>
                <w:sz w:val="17"/>
                <w:szCs w:val="17"/>
                <w:color w:val="auto"/>
              </w:rPr>
            </w:pPr>
          </w:p>
        </w:tc>
        <w:tc>
          <w:tcPr>
            <w:tcW w:w="6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599</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3"/>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649</w:t>
            </w:r>
          </w:p>
        </w:tc>
        <w:tc>
          <w:tcPr>
            <w:tcW w:w="16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1,186</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20" w:type="dxa"/>
            <w:vAlign w:val="bottom"/>
            <w:gridSpan w:val="4"/>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1,286</w:t>
            </w:r>
          </w:p>
        </w:tc>
        <w:tc>
          <w:tcPr>
            <w:tcW w:w="28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r>
      <w:tr>
        <w:trPr>
          <w:trHeight w:val="21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474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567</w:t>
            </w:r>
          </w:p>
        </w:tc>
        <w:tc>
          <w:tcPr>
            <w:tcW w:w="1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533</w:t>
            </w:r>
          </w:p>
        </w:tc>
        <w:tc>
          <w:tcPr>
            <w:tcW w:w="32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E5FFFF"/>
            </w:tcBorders>
            <w:gridSpan w:val="3"/>
            <w:shd w:val="clear" w:color="auto" w:fill="E5FFFF"/>
          </w:tcPr>
          <w:p>
            <w:pPr>
              <w:jc w:val="right"/>
              <w:ind w:right="68"/>
              <w:spacing w:after="0" w:line="196"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1,083</w:t>
            </w:r>
          </w:p>
        </w:tc>
        <w:tc>
          <w:tcPr>
            <w:tcW w:w="4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shd w:val="clear" w:color="auto" w:fill="E5FFFF"/>
          </w:tcPr>
          <w:p>
            <w:pPr>
              <w:jc w:val="right"/>
              <w:spacing w:after="0" w:line="196" w:lineRule="exact"/>
              <w:rPr>
                <w:sz w:val="20"/>
                <w:szCs w:val="20"/>
                <w:color w:val="auto"/>
              </w:rPr>
            </w:pPr>
            <w:r>
              <w:rPr>
                <w:rFonts w:ascii="Arial" w:cs="Arial" w:eastAsia="Arial" w:hAnsi="Arial"/>
                <w:sz w:val="18"/>
                <w:szCs w:val="18"/>
                <w:color w:val="auto"/>
              </w:rPr>
              <w:t>1,004</w:t>
            </w:r>
          </w:p>
        </w:tc>
        <w:tc>
          <w:tcPr>
            <w:tcW w:w="4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E5FFFF"/>
            </w:tcBorders>
            <w:gridSpan w:val="6"/>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8%</w:t>
            </w:r>
          </w:p>
        </w:tc>
      </w:tr>
      <w:tr>
        <w:trPr>
          <w:trHeight w:val="399"/>
        </w:trPr>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2015 vs. 2014</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388"/>
              <w:spacing w:after="0" w:line="143"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8"/>
          </w:tcPr>
          <w:p>
            <w:pPr>
              <w:jc w:val="right"/>
              <w:ind w:right="476"/>
              <w:spacing w:after="0" w:line="143" w:lineRule="exact"/>
              <w:rPr>
                <w:sz w:val="20"/>
                <w:szCs w:val="20"/>
                <w:color w:val="auto"/>
              </w:rPr>
            </w:pPr>
            <w:r>
              <w:rPr>
                <w:rFonts w:ascii="Arial" w:cs="Arial" w:eastAsia="Arial" w:hAnsi="Arial"/>
                <w:sz w:val="14"/>
                <w:szCs w:val="14"/>
                <w:b w:val="1"/>
                <w:bCs w:val="1"/>
                <w:color w:val="auto"/>
              </w:rPr>
              <w:t>Six Months Ended</w:t>
            </w:r>
          </w:p>
        </w:tc>
        <w:tc>
          <w:tcPr>
            <w:tcW w:w="500" w:type="dxa"/>
            <w:vAlign w:val="bottom"/>
            <w:gridSpan w:val="4"/>
          </w:tcPr>
          <w:p>
            <w:pPr>
              <w:spacing w:after="0"/>
              <w:rPr>
                <w:sz w:val="12"/>
                <w:szCs w:val="12"/>
                <w:color w:val="auto"/>
              </w:rPr>
            </w:pPr>
          </w:p>
        </w:tc>
      </w:tr>
      <w:tr>
        <w:trPr>
          <w:trHeight w:val="175"/>
        </w:trPr>
        <w:tc>
          <w:tcPr>
            <w:tcW w:w="6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6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8"/>
              <w:spacing w:after="0" w:line="143" w:lineRule="exact"/>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ind w:right="76"/>
              <w:spacing w:after="0" w:line="143" w:lineRule="exact"/>
              <w:rPr>
                <w:sz w:val="20"/>
                <w:szCs w:val="20"/>
                <w:color w:val="auto"/>
              </w:rPr>
            </w:pPr>
            <w:r>
              <w:rPr>
                <w:rFonts w:ascii="Arial" w:cs="Arial" w:eastAsia="Arial" w:hAnsi="Arial"/>
                <w:sz w:val="14"/>
                <w:szCs w:val="14"/>
                <w:b w:val="1"/>
                <w:bCs w:val="1"/>
                <w:color w:val="auto"/>
              </w:rPr>
              <w:t>Segment</w:t>
            </w:r>
          </w:p>
        </w:tc>
        <w:tc>
          <w:tcPr>
            <w:tcW w:w="500" w:type="dxa"/>
            <w:vAlign w:val="bottom"/>
            <w:gridSpan w:val="4"/>
          </w:tcPr>
          <w:p>
            <w:pPr>
              <w:spacing w:after="0"/>
              <w:rPr>
                <w:sz w:val="12"/>
                <w:szCs w:val="12"/>
                <w:color w:val="auto"/>
              </w:rPr>
            </w:pPr>
          </w:p>
        </w:tc>
      </w:tr>
      <w:tr>
        <w:trPr>
          <w:trHeight w:val="175"/>
        </w:trPr>
        <w:tc>
          <w:tcPr>
            <w:tcW w:w="660" w:type="dxa"/>
            <w:vAlign w:val="bottom"/>
          </w:tcPr>
          <w:p>
            <w:pPr>
              <w:spacing w:after="0"/>
              <w:rPr>
                <w:sz w:val="15"/>
                <w:szCs w:val="15"/>
                <w:color w:val="auto"/>
              </w:rPr>
            </w:pPr>
          </w:p>
        </w:tc>
        <w:tc>
          <w:tcPr>
            <w:tcW w:w="40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Factors Contributing to Year-Over-Year Change</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16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Sales</w:t>
            </w:r>
          </w:p>
        </w:tc>
        <w:tc>
          <w:tcPr>
            <w:tcW w:w="360" w:type="dxa"/>
            <w:vAlign w:val="bottom"/>
            <w:tcBorders>
              <w:bottom w:val="single" w:sz="8" w:color="E5FFFF"/>
            </w:tcBorders>
            <w:gridSpan w:val="2"/>
          </w:tcPr>
          <w:p>
            <w:pPr>
              <w:spacing w:after="0"/>
              <w:rPr>
                <w:sz w:val="15"/>
                <w:szCs w:val="15"/>
                <w:color w:val="auto"/>
              </w:rPr>
            </w:pPr>
          </w:p>
        </w:tc>
        <w:tc>
          <w:tcPr>
            <w:tcW w:w="160" w:type="dxa"/>
            <w:vAlign w:val="bottom"/>
            <w:tcBorders>
              <w:bottom w:val="single" w:sz="8" w:color="E5FFFF"/>
            </w:tcBorders>
          </w:tcPr>
          <w:p>
            <w:pPr>
              <w:spacing w:after="0"/>
              <w:rPr>
                <w:sz w:val="15"/>
                <w:szCs w:val="15"/>
                <w:color w:val="auto"/>
              </w:rPr>
            </w:pPr>
          </w:p>
        </w:tc>
        <w:tc>
          <w:tcPr>
            <w:tcW w:w="9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Profit</w:t>
            </w:r>
          </w:p>
        </w:tc>
        <w:tc>
          <w:tcPr>
            <w:tcW w:w="160" w:type="dxa"/>
            <w:vAlign w:val="bottom"/>
            <w:tcBorders>
              <w:bottom w:val="single" w:sz="8" w:color="E5FFFF"/>
            </w:tcBorders>
          </w:tcPr>
          <w:p>
            <w:pPr>
              <w:spacing w:after="0"/>
              <w:rPr>
                <w:sz w:val="15"/>
                <w:szCs w:val="15"/>
                <w:color w:val="auto"/>
              </w:rPr>
            </w:pPr>
          </w:p>
        </w:tc>
        <w:tc>
          <w:tcPr>
            <w:tcW w:w="160" w:type="dxa"/>
            <w:vAlign w:val="bottom"/>
            <w:tcBorders>
              <w:bottom w:val="single" w:sz="8" w:color="E5FFFF"/>
            </w:tcBorders>
          </w:tcPr>
          <w:p>
            <w:pPr>
              <w:spacing w:after="0"/>
              <w:rPr>
                <w:sz w:val="15"/>
                <w:szCs w:val="15"/>
                <w:color w:val="auto"/>
              </w:rPr>
            </w:pPr>
          </w:p>
        </w:tc>
        <w:tc>
          <w:tcPr>
            <w:tcW w:w="220" w:type="dxa"/>
            <w:vAlign w:val="bottom"/>
            <w:tcBorders>
              <w:bottom w:val="single" w:sz="8" w:color="E5FFFF"/>
            </w:tcBorders>
          </w:tcPr>
          <w:p>
            <w:pPr>
              <w:spacing w:after="0"/>
              <w:rPr>
                <w:sz w:val="15"/>
                <w:szCs w:val="15"/>
                <w:color w:val="auto"/>
              </w:rPr>
            </w:pPr>
          </w:p>
        </w:tc>
        <w:tc>
          <w:tcPr>
            <w:tcW w:w="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Sales</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E5FF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Profit</w:t>
            </w:r>
          </w:p>
        </w:tc>
        <w:tc>
          <w:tcPr>
            <w:tcW w:w="220" w:type="dxa"/>
            <w:vAlign w:val="bottom"/>
            <w:tcBorders>
              <w:bottom w:val="single" w:sz="8" w:color="E5FFFF"/>
            </w:tcBorders>
            <w:gridSpan w:val="2"/>
          </w:tcPr>
          <w:p>
            <w:pPr>
              <w:spacing w:after="0"/>
              <w:rPr>
                <w:sz w:val="15"/>
                <w:szCs w:val="15"/>
                <w:color w:val="auto"/>
              </w:rPr>
            </w:pPr>
          </w:p>
        </w:tc>
        <w:tc>
          <w:tcPr>
            <w:tcW w:w="280" w:type="dxa"/>
            <w:vAlign w:val="bottom"/>
            <w:gridSpan w:val="2"/>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4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18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gridSpan w:val="3"/>
            <w:shd w:val="clear" w:color="auto" w:fill="E5FFFF"/>
          </w:tcPr>
          <w:p>
            <w:pPr>
              <w:jc w:val="right"/>
              <w:ind w:right="200"/>
              <w:spacing w:after="0" w:line="196" w:lineRule="exact"/>
              <w:rPr>
                <w:sz w:val="20"/>
                <w:szCs w:val="20"/>
                <w:color w:val="auto"/>
              </w:rPr>
            </w:pPr>
            <w:r>
              <w:rPr>
                <w:rFonts w:ascii="Arial" w:cs="Arial" w:eastAsia="Arial" w:hAnsi="Arial"/>
                <w:sz w:val="18"/>
                <w:szCs w:val="18"/>
                <w:color w:val="auto"/>
              </w:rPr>
              <w:t>4%</w:t>
            </w:r>
          </w:p>
        </w:tc>
        <w:tc>
          <w:tcPr>
            <w:tcW w:w="160" w:type="dxa"/>
            <w:vAlign w:val="bottom"/>
            <w:shd w:val="clear" w:color="auto" w:fill="E5FFFF"/>
          </w:tcPr>
          <w:p>
            <w:pPr>
              <w:spacing w:after="0"/>
              <w:rPr>
                <w:sz w:val="17"/>
                <w:szCs w:val="17"/>
                <w:color w:val="auto"/>
              </w:rPr>
            </w:pPr>
          </w:p>
        </w:tc>
        <w:tc>
          <w:tcPr>
            <w:tcW w:w="1240" w:type="dxa"/>
            <w:vAlign w:val="bottom"/>
            <w:gridSpan w:val="4"/>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rPr>
              <w:t>10%</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80" w:type="dxa"/>
            <w:vAlign w:val="bottom"/>
            <w:gridSpan w:val="4"/>
            <w:shd w:val="clear" w:color="auto" w:fill="E5FFFF"/>
          </w:tcPr>
          <w:p>
            <w:pPr>
              <w:jc w:val="right"/>
              <w:ind w:right="270"/>
              <w:spacing w:after="0" w:line="196" w:lineRule="exact"/>
              <w:rPr>
                <w:sz w:val="20"/>
                <w:szCs w:val="20"/>
                <w:color w:val="auto"/>
              </w:rPr>
            </w:pPr>
            <w:r>
              <w:rPr>
                <w:rFonts w:ascii="Arial" w:cs="Arial" w:eastAsia="Arial" w:hAnsi="Arial"/>
                <w:sz w:val="18"/>
                <w:szCs w:val="18"/>
                <w:color w:val="auto"/>
              </w:rPr>
              <w:t>4%</w:t>
            </w:r>
          </w:p>
        </w:tc>
        <w:tc>
          <w:tcPr>
            <w:tcW w:w="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020" w:type="dxa"/>
            <w:vAlign w:val="bottom"/>
            <w:gridSpan w:val="4"/>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Foreign exchange</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1400" w:type="dxa"/>
            <w:vAlign w:val="bottom"/>
            <w:gridSpan w:val="5"/>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080" w:type="dxa"/>
            <w:vAlign w:val="bottom"/>
            <w:shd w:val="clear" w:color="auto" w:fill="E5FFFF"/>
          </w:tcPr>
          <w:p>
            <w:pPr>
              <w:spacing w:after="0"/>
              <w:rPr>
                <w:sz w:val="20"/>
                <w:szCs w:val="20"/>
                <w:color w:val="auto"/>
              </w:rPr>
            </w:pPr>
            <w:r>
              <w:rPr>
                <w:rFonts w:ascii="Arial" w:cs="Arial" w:eastAsia="Arial" w:hAnsi="Arial"/>
                <w:sz w:val="18"/>
                <w:szCs w:val="18"/>
                <w:color w:val="auto"/>
              </w:rPr>
              <w:t>Acquisitions and divestitures, net</w:t>
            </w:r>
          </w:p>
        </w:tc>
        <w:tc>
          <w:tcPr>
            <w:tcW w:w="18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ind w:right="200"/>
              <w:spacing w:after="0"/>
              <w:rPr>
                <w:sz w:val="20"/>
                <w:szCs w:val="20"/>
                <w:color w:val="auto"/>
              </w:rPr>
            </w:pPr>
            <w:r>
              <w:rPr>
                <w:rFonts w:ascii="Arial" w:cs="Arial" w:eastAsia="Arial" w:hAnsi="Arial"/>
                <w:sz w:val="18"/>
                <w:szCs w:val="18"/>
                <w:color w:val="auto"/>
              </w:rPr>
              <w:t>1%</w:t>
            </w:r>
          </w:p>
        </w:tc>
        <w:tc>
          <w:tcPr>
            <w:tcW w:w="1400" w:type="dxa"/>
            <w:vAlign w:val="bottom"/>
            <w:gridSpan w:val="5"/>
            <w:shd w:val="clear" w:color="auto" w:fill="E5FF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100" w:type="dxa"/>
            <w:vAlign w:val="bottom"/>
            <w:gridSpan w:val="6"/>
            <w:shd w:val="clear" w:color="auto" w:fill="E5FFFF"/>
          </w:tcPr>
          <w:p>
            <w:pPr>
              <w:jc w:val="right"/>
              <w:ind w:righ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8"/>
                <w:szCs w:val="18"/>
                <w:color w:val="auto"/>
              </w:rPr>
            </w:pPr>
          </w:p>
        </w:tc>
        <w:tc>
          <w:tcPr>
            <w:tcW w:w="74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080" w:type="dxa"/>
            <w:vAlign w:val="bottom"/>
          </w:tcPr>
          <w:p>
            <w:pPr>
              <w:spacing w:after="0" w:line="197" w:lineRule="exact"/>
              <w:rPr>
                <w:sz w:val="20"/>
                <w:szCs w:val="20"/>
                <w:color w:val="auto"/>
              </w:rPr>
            </w:pPr>
            <w:r>
              <w:rPr>
                <w:rFonts w:ascii="Arial" w:cs="Arial" w:eastAsia="Arial" w:hAnsi="Arial"/>
                <w:sz w:val="18"/>
                <w:szCs w:val="18"/>
                <w:color w:val="auto"/>
              </w:rPr>
              <w:t>Total % Change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140"/>
              <w:spacing w:after="0" w:line="197" w:lineRule="exact"/>
              <w:rPr>
                <w:sz w:val="20"/>
                <w:szCs w:val="20"/>
                <w:color w:val="auto"/>
              </w:rPr>
            </w:pPr>
            <w:r>
              <w:rPr>
                <w:rFonts w:ascii="Arial" w:cs="Arial" w:eastAsia="Arial" w:hAnsi="Arial"/>
                <w:sz w:val="18"/>
                <w:szCs w:val="18"/>
                <w:color w:val="auto"/>
                <w:w w:val="90"/>
              </w:rPr>
              <w:t>%)</w:t>
            </w:r>
          </w:p>
        </w:tc>
        <w:tc>
          <w:tcPr>
            <w:tcW w:w="160" w:type="dxa"/>
            <w:vAlign w:val="bottom"/>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gridSpan w:val="2"/>
          </w:tcPr>
          <w:p>
            <w:pPr>
              <w:jc w:val="right"/>
              <w:ind w:right="70"/>
              <w:spacing w:after="0" w:line="197" w:lineRule="exact"/>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jc w:val="right"/>
              <w:ind w:right="210"/>
              <w:spacing w:after="0" w:line="197" w:lineRule="exact"/>
              <w:rPr>
                <w:sz w:val="20"/>
                <w:szCs w:val="20"/>
                <w:color w:val="auto"/>
              </w:rPr>
            </w:pPr>
            <w:r>
              <w:rPr>
                <w:rFonts w:ascii="Arial" w:cs="Arial" w:eastAsia="Arial" w:hAnsi="Arial"/>
                <w:sz w:val="18"/>
                <w:szCs w:val="18"/>
                <w:color w:val="auto"/>
                <w:w w:val="90"/>
              </w:rPr>
              <w:t>%)</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ind w:right="60"/>
              <w:spacing w:after="0" w:line="197"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Automation and Control Solutions (ACS) sales decreased in the quarter and six months ended June 30, 2015 primarily due to the unfavorable impact of foreign exchange partially offset by organic sales growth and growth from acquisitions, net of divestitures in the second quarter.</w:t>
      </w:r>
    </w:p>
    <w:p>
      <w:pPr>
        <w:spacing w:after="0" w:line="189" w:lineRule="exact"/>
        <w:rPr>
          <w:sz w:val="20"/>
          <w:szCs w:val="20"/>
          <w:color w:val="auto"/>
        </w:rPr>
      </w:pPr>
    </w:p>
    <w:p>
      <w:pPr>
        <w:jc w:val="both"/>
        <w:ind w:left="980" w:hanging="324"/>
        <w:spacing w:after="0" w:line="23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Energy, Safety &amp; Security were flat (increased 5% organic) in the quarter ended June 30, 2015 principally due to the unfavorable impact of foreign exchange partially offset by organic sales growth and acquisitions, net of divestitures. Organic sales growth was primarily due to increases in sales volumes, most significantly in Scanning and Mobility, driven by contract wins, as well as in Fire Safety.</w:t>
      </w:r>
    </w:p>
    <w:p>
      <w:pPr>
        <w:spacing w:after="0" w:line="188" w:lineRule="exact"/>
        <w:rPr>
          <w:rFonts w:ascii="Arial" w:cs="Arial" w:eastAsia="Arial" w:hAnsi="Arial"/>
          <w:sz w:val="18"/>
          <w:szCs w:val="18"/>
          <w:color w:val="auto"/>
        </w:rPr>
      </w:pPr>
    </w:p>
    <w:p>
      <w:pPr>
        <w:jc w:val="both"/>
        <w:ind w:left="980"/>
        <w:spacing w:after="0"/>
        <w:rPr>
          <w:rFonts w:ascii="Arial" w:cs="Arial" w:eastAsia="Arial" w:hAnsi="Arial"/>
          <w:sz w:val="18"/>
          <w:szCs w:val="18"/>
          <w:color w:val="auto"/>
        </w:rPr>
      </w:pPr>
      <w:r>
        <w:rPr>
          <w:rFonts w:ascii="Arial" w:cs="Arial" w:eastAsia="Arial" w:hAnsi="Arial"/>
          <w:sz w:val="18"/>
          <w:szCs w:val="18"/>
          <w:color w:val="auto"/>
        </w:rPr>
        <w:t>Sales in Energy, Safety &amp; Security decreased 2% (increased 4% organic) in the six months ended June 30, 2015 principally due to the unfavorable impact of foreign exchange partially offset by organic sales growth. Organic sales growth was primarily due to increases in sales volumes, most significantly in Scanning and Mobility driven by contract wins.</w:t>
      </w:r>
    </w:p>
    <w:p>
      <w:pPr>
        <w:spacing w:after="0" w:line="189" w:lineRule="exact"/>
        <w:rPr>
          <w:rFonts w:ascii="Arial" w:cs="Arial" w:eastAsia="Arial" w:hAnsi="Arial"/>
          <w:sz w:val="18"/>
          <w:szCs w:val="18"/>
          <w:color w:val="auto"/>
        </w:rPr>
      </w:pPr>
    </w:p>
    <w:p>
      <w:pPr>
        <w:jc w:val="both"/>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Building Solutions &amp; Distribution decreased 4% (increased 3% organic) in the quarter ended June 30, 2015 and decreased 4% (increased 3% organic) in the six months ended June 30, 2015 principally due to the unfavorable impact of foreign exchange partially offset by increased sales volume in Americas Distribution.</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ACS segment profit increased in the quarter and six months ended June 30, 2015 due to an increase in operational segment profit and acquisitions, net of divestitures in the second quarter partially offset by the unfavorable impact of foreign exchange. The increase in operational segment profit is primarily due to the positive impact of productivity net of inflation and higher organic sales volumes partially offset by continued investments for growth. Cost of products and services sold decreased $48 million and $147 million in the quarter and six months ended June 30, 2015 which is primarily due to the favorable impact of foreign exchange and productivity partially offset by higher organic sales volume and inflation.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4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39"/>
              <w:spacing w:after="0" w:line="143"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ind w:right="25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75"/>
        </w:trPr>
        <w:tc>
          <w:tcPr>
            <w:tcW w:w="414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E5FFFF"/>
            </w:tcBorders>
          </w:tcPr>
          <w:p>
            <w:pPr>
              <w:spacing w:after="0"/>
              <w:rPr>
                <w:sz w:val="15"/>
                <w:szCs w:val="15"/>
                <w:color w:val="auto"/>
              </w:rPr>
            </w:pPr>
          </w:p>
        </w:tc>
        <w:tc>
          <w:tcPr>
            <w:tcW w:w="38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E5FF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E5FFFF"/>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E5FF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E5FFFF"/>
            </w:tcBorders>
          </w:tcPr>
          <w:p>
            <w:pPr>
              <w:spacing w:after="0"/>
              <w:rPr>
                <w:sz w:val="15"/>
                <w:szCs w:val="15"/>
                <w:color w:val="auto"/>
              </w:rPr>
            </w:pPr>
          </w:p>
        </w:tc>
      </w:tr>
      <w:tr>
        <w:trPr>
          <w:trHeight w:val="196"/>
        </w:trPr>
        <w:tc>
          <w:tcPr>
            <w:tcW w:w="41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2,395</w:t>
            </w:r>
          </w:p>
        </w:tc>
        <w:tc>
          <w:tcPr>
            <w:tcW w:w="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2,636</w:t>
            </w:r>
          </w:p>
        </w:tc>
        <w:tc>
          <w:tcPr>
            <w:tcW w:w="44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340"/>
              <w:spacing w:after="0" w:line="196" w:lineRule="exact"/>
              <w:rPr>
                <w:sz w:val="20"/>
                <w:szCs w:val="20"/>
                <w:color w:val="auto"/>
              </w:rPr>
            </w:pPr>
            <w:r>
              <w:rPr>
                <w:rFonts w:ascii="Arial" w:cs="Arial" w:eastAsia="Arial" w:hAnsi="Arial"/>
                <w:sz w:val="18"/>
                <w:szCs w:val="18"/>
                <w:color w:val="auto"/>
              </w:rPr>
              <w:t>(9)%</w:t>
            </w: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4,737</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5,102</w:t>
            </w:r>
          </w:p>
        </w:tc>
        <w:tc>
          <w:tcPr>
            <w:tcW w:w="44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3"/>
        </w:trPr>
        <w:tc>
          <w:tcPr>
            <w:tcW w:w="414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1,857</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3,218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3,563</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1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E5FFFF"/>
          </w:tcPr>
          <w:p>
            <w:pPr>
              <w:spacing w:after="0"/>
              <w:rPr>
                <w:sz w:val="17"/>
                <w:szCs w:val="17"/>
                <w:color w:val="auto"/>
              </w:rPr>
            </w:pPr>
          </w:p>
        </w:tc>
        <w:tc>
          <w:tcPr>
            <w:tcW w:w="6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218</w:t>
            </w:r>
          </w:p>
        </w:tc>
        <w:tc>
          <w:tcPr>
            <w:tcW w:w="3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269</w:t>
            </w:r>
          </w:p>
        </w:tc>
        <w:tc>
          <w:tcPr>
            <w:tcW w:w="78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440</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gridSpan w:val="2"/>
            <w:shd w:val="clear" w:color="auto" w:fill="E5FFFF"/>
          </w:tcPr>
          <w:p>
            <w:pPr>
              <w:jc w:val="right"/>
              <w:ind w:right="440"/>
              <w:spacing w:after="0" w:line="202" w:lineRule="exact"/>
              <w:rPr>
                <w:sz w:val="20"/>
                <w:szCs w:val="20"/>
                <w:color w:val="auto"/>
              </w:rPr>
            </w:pPr>
            <w:r>
              <w:rPr>
                <w:rFonts w:ascii="Arial" w:cs="Arial" w:eastAsia="Arial" w:hAnsi="Arial"/>
                <w:sz w:val="18"/>
                <w:szCs w:val="18"/>
                <w:color w:val="auto"/>
              </w:rPr>
              <w:t>523</w:t>
            </w:r>
          </w:p>
        </w:tc>
        <w:tc>
          <w:tcPr>
            <w:tcW w:w="8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6"/>
        </w:trPr>
        <w:tc>
          <w:tcPr>
            <w:tcW w:w="41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1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509</w:t>
            </w:r>
          </w:p>
        </w:tc>
        <w:tc>
          <w:tcPr>
            <w:tcW w:w="6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475</w:t>
            </w:r>
          </w:p>
        </w:tc>
        <w:tc>
          <w:tcPr>
            <w:tcW w:w="4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E5FFFF"/>
            </w:tcBorders>
            <w:gridSpan w:val="2"/>
            <w:shd w:val="clear" w:color="auto" w:fill="E5FFFF"/>
          </w:tcPr>
          <w:p>
            <w:pPr>
              <w:jc w:val="right"/>
              <w:ind w:right="400"/>
              <w:spacing w:after="0" w:line="196" w:lineRule="exact"/>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1,012</w:t>
            </w: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948</w:t>
            </w:r>
          </w:p>
        </w:tc>
        <w:tc>
          <w:tcPr>
            <w:tcW w:w="44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E5FFFF"/>
            </w:tcBorders>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7%</w:t>
            </w:r>
          </w:p>
        </w:tc>
      </w:tr>
    </w:tbl>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2015 vs. 2014</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gridSpan w:val="5"/>
          </w:tcPr>
          <w:p>
            <w:pPr>
              <w:jc w:val="center"/>
              <w:ind w:right="760"/>
              <w:spacing w:after="0" w:line="143" w:lineRule="exact"/>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3"/>
          </w:tcPr>
          <w:p>
            <w:pPr>
              <w:jc w:val="right"/>
              <w:ind w:right="517"/>
              <w:spacing w:after="0" w:line="143"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2"/>
                <w:szCs w:val="12"/>
                <w:color w:val="auto"/>
              </w:rPr>
            </w:pPr>
          </w:p>
        </w:tc>
      </w:tr>
      <w:tr>
        <w:trPr>
          <w:trHeight w:val="175"/>
        </w:trPr>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June 30, 2015</w:t>
            </w:r>
          </w:p>
        </w:tc>
        <w:tc>
          <w:tcPr>
            <w:tcW w:w="2440" w:type="dxa"/>
            <w:vAlign w:val="bottom"/>
            <w:gridSpan w:val="4"/>
          </w:tcPr>
          <w:p>
            <w:pPr>
              <w:jc w:val="right"/>
              <w:ind w:right="890"/>
              <w:spacing w:after="0"/>
              <w:rPr>
                <w:sz w:val="20"/>
                <w:szCs w:val="20"/>
                <w:color w:val="auto"/>
              </w:rPr>
            </w:pPr>
            <w:r>
              <w:rPr>
                <w:rFonts w:ascii="Arial" w:cs="Arial" w:eastAsia="Arial" w:hAnsi="Arial"/>
                <w:sz w:val="14"/>
                <w:szCs w:val="14"/>
                <w:b w:val="1"/>
                <w:bCs w:val="1"/>
                <w:color w:val="auto"/>
              </w:rPr>
              <w:t>June 30, 2015</w:t>
            </w:r>
          </w:p>
        </w:tc>
      </w:tr>
      <w:tr>
        <w:trPr>
          <w:trHeight w:val="142"/>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97"/>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r>
      <w:tr>
        <w:trPr>
          <w:trHeight w:val="175"/>
        </w:trPr>
        <w:tc>
          <w:tcPr>
            <w:tcW w:w="5280" w:type="dxa"/>
            <w:vAlign w:val="bottom"/>
            <w:gridSpan w:val="2"/>
          </w:tcPr>
          <w:p>
            <w:pPr>
              <w:ind w:left="8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500" w:type="dxa"/>
            <w:vAlign w:val="bottom"/>
            <w:gridSpan w:val="2"/>
          </w:tcPr>
          <w:p>
            <w:pPr>
              <w:jc w:val="right"/>
              <w:ind w:right="750"/>
              <w:spacing w:after="0"/>
              <w:rPr>
                <w:sz w:val="20"/>
                <w:szCs w:val="20"/>
                <w:color w:val="auto"/>
              </w:rPr>
            </w:pPr>
            <w:r>
              <w:rPr>
                <w:rFonts w:ascii="Arial" w:cs="Arial" w:eastAsia="Arial" w:hAnsi="Arial"/>
                <w:sz w:val="14"/>
                <w:szCs w:val="14"/>
                <w:b w:val="1"/>
                <w:bCs w:val="1"/>
                <w:color w:val="auto"/>
              </w:rPr>
              <w:t>Sales</w:t>
            </w:r>
          </w:p>
        </w:tc>
        <w:tc>
          <w:tcPr>
            <w:tcW w:w="17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Profit</w:t>
            </w:r>
          </w:p>
        </w:tc>
        <w:tc>
          <w:tcPr>
            <w:tcW w:w="126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Sales</w:t>
            </w:r>
          </w:p>
        </w:tc>
        <w:tc>
          <w:tcPr>
            <w:tcW w:w="11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Profit</w:t>
            </w:r>
          </w:p>
        </w:tc>
      </w:tr>
      <w:tr>
        <w:trPr>
          <w:trHeight w:val="196"/>
        </w:trPr>
        <w:tc>
          <w:tcPr>
            <w:tcW w:w="49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2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Organic growth/ Operational segment profit</w:t>
            </w:r>
          </w:p>
        </w:tc>
        <w:tc>
          <w:tcPr>
            <w:tcW w:w="1500" w:type="dxa"/>
            <w:vAlign w:val="bottom"/>
            <w:gridSpan w:val="2"/>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(5)%</w:t>
            </w:r>
          </w:p>
        </w:tc>
        <w:tc>
          <w:tcPr>
            <w:tcW w:w="1500" w:type="dxa"/>
            <w:vAlign w:val="bottom"/>
            <w:gridSpan w:val="2"/>
            <w:shd w:val="clear" w:color="auto" w:fill="E5FFFF"/>
          </w:tcPr>
          <w:p>
            <w:pPr>
              <w:jc w:val="right"/>
              <w:ind w:right="29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30"/>
              <w:spacing w:after="0" w:line="202" w:lineRule="exact"/>
              <w:rPr>
                <w:sz w:val="20"/>
                <w:szCs w:val="20"/>
                <w:color w:val="auto"/>
              </w:rPr>
            </w:pPr>
            <w:r>
              <w:rPr>
                <w:rFonts w:ascii="Arial" w:cs="Arial" w:eastAsia="Arial" w:hAnsi="Arial"/>
                <w:sz w:val="18"/>
                <w:szCs w:val="18"/>
                <w:color w:val="auto"/>
              </w:rPr>
              <w:t>(3)%</w:t>
            </w:r>
          </w:p>
        </w:tc>
        <w:tc>
          <w:tcPr>
            <w:tcW w:w="11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60" w:type="dxa"/>
            <w:vAlign w:val="bottom"/>
            <w:gridSpan w:val="2"/>
          </w:tcPr>
          <w:p>
            <w:pPr>
              <w:jc w:val="right"/>
              <w:ind w:right="23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5280" w:type="dxa"/>
            <w:vAlign w:val="bottom"/>
            <w:tcBorders>
              <w:top w:val="single" w:sz="8" w:color="E5FFFF"/>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top w:val="single" w:sz="8" w:color="E5FFFF"/>
              <w:bottom w:val="single" w:sz="8" w:color="E5FFFF"/>
            </w:tcBorders>
            <w:shd w:val="clear" w:color="auto" w:fill="E5FFFF"/>
          </w:tcPr>
          <w:p>
            <w:pPr>
              <w:jc w:val="right"/>
              <w:ind w:right="230"/>
              <w:spacing w:after="0" w:line="197" w:lineRule="exact"/>
              <w:rPr>
                <w:sz w:val="20"/>
                <w:szCs w:val="20"/>
                <w:color w:val="auto"/>
              </w:rPr>
            </w:pPr>
            <w:r>
              <w:rPr>
                <w:rFonts w:ascii="Arial" w:cs="Arial" w:eastAsia="Arial" w:hAnsi="Arial"/>
                <w:sz w:val="18"/>
                <w:szCs w:val="18"/>
                <w:color w:val="auto"/>
                <w:w w:val="90"/>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E5FFFF"/>
              <w:bottom w:val="single" w:sz="8" w:color="E5FFFF"/>
            </w:tcBorders>
            <w:shd w:val="clear" w:color="auto" w:fill="E5FFFF"/>
          </w:tcPr>
          <w:p>
            <w:pPr>
              <w:jc w:val="right"/>
              <w:ind w:right="290"/>
              <w:spacing w:after="0" w:line="197"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E5FFFF"/>
              <w:bottom w:val="single" w:sz="8" w:color="E5FFFF"/>
            </w:tcBorders>
            <w:shd w:val="clear" w:color="auto" w:fill="E5FFFF"/>
          </w:tcPr>
          <w:p>
            <w:pPr>
              <w:jc w:val="right"/>
              <w:ind w:right="230"/>
              <w:spacing w:after="0" w:line="197" w:lineRule="exact"/>
              <w:rPr>
                <w:sz w:val="20"/>
                <w:szCs w:val="20"/>
                <w:color w:val="auto"/>
              </w:rPr>
            </w:pPr>
            <w:r>
              <w:rPr>
                <w:rFonts w:ascii="Arial" w:cs="Arial" w:eastAsia="Arial" w:hAnsi="Arial"/>
                <w:sz w:val="18"/>
                <w:szCs w:val="18"/>
                <w:color w:val="auto"/>
                <w:w w:val="90"/>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E5FFFF"/>
              <w:bottom w:val="single" w:sz="8" w:color="E5FFFF"/>
            </w:tcBorders>
            <w:shd w:val="clear" w:color="auto" w:fill="E5FFFF"/>
          </w:tcPr>
          <w:p>
            <w:pPr>
              <w:jc w:val="right"/>
              <w:spacing w:after="0" w:line="197" w:lineRule="exact"/>
              <w:rPr>
                <w:sz w:val="20"/>
                <w:szCs w:val="20"/>
                <w:color w:val="auto"/>
              </w:rPr>
            </w:pPr>
            <w:r>
              <w:rPr>
                <w:rFonts w:ascii="Arial" w:cs="Arial" w:eastAsia="Arial" w:hAnsi="Arial"/>
                <w:sz w:val="18"/>
                <w:szCs w:val="18"/>
                <w:color w:val="auto"/>
                <w:w w:val="87"/>
              </w:rPr>
              <w:t>%</w:t>
            </w: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Performance Materials and Technologies (PMT) sales decreased in the quarter and six months ended June 30, 2015 due to decreased organic sales volumes and the unfavorable impact of foreign exchange.</w:t>
      </w:r>
    </w:p>
    <w:p>
      <w:pPr>
        <w:spacing w:after="0" w:line="183" w:lineRule="exact"/>
        <w:rPr>
          <w:sz w:val="20"/>
          <w:szCs w:val="20"/>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decreased 10% (decreased 8% organic) in the quarter ended June 30, 2015 driven primarily by lower engineering and gas processing revenues due to delays in customer projects, which are expected to continue, and decreased catalyst revenues.</w:t>
      </w:r>
    </w:p>
    <w:p>
      <w:pPr>
        <w:spacing w:after="0" w:line="183"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18"/>
          <w:szCs w:val="18"/>
          <w:color w:val="auto"/>
        </w:rPr>
        <w:t>UOP sales decreased 1% (increased 1% organic) in the six months ended June 30, 2015 driven primarily by lower engineering revenues due to delays in customer projects, which are expected to continue, partially offset by higher gas processing revenues.</w:t>
      </w:r>
    </w:p>
    <w:p>
      <w:pPr>
        <w:spacing w:after="0" w:line="183"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decreased 13% (decreased 4% organic) in the quarter ended June 30, 2015 and decreased 12% (decreased 3% organic) in the six months ended June 30, 2015 principally due to the unfavorable impact of foreign exchange and lower volumes due to delays in customer projects, which are expected to continue, partially offset by volume growth in advanced solutions software and services.</w:t>
      </w:r>
    </w:p>
    <w:p>
      <w:pPr>
        <w:spacing w:after="0" w:line="188"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decreased 6% (decreased 2% organic) in the quarter ended June 30, 2015 and decreased 9% (decreased 5% organic) in the six months ended June 30, 2015 primarily driven by unfavorable pricing and unplanned plant outages in Resins and Chemicals in the first quarter partially offset by increased volumes in Fluorine Products and Specialty Products. We anticipate unfavorable pricing to continue in 2015 primarily in Resins and Chemicals where sales fluctuate with the market price of certain raw materials, which are correlated to the price of oil.</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PMT segment profit increased in the quarter and six months ended June 30, 2015 due to an increase in operational segment profit partially offset by the unfavorable impact of foreign exchange. The increase in operational segment profit is primarily due to price and productivity net of inflation. Cost of products and services sold decreased $221 million and $345 million in the quarter and six months ended June 30, 2015 primarily due to the favorable impacts of inflation and foreign exchange, partially offset by continued investments for growth.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$100 million to $125 million in 2015 compared with 2014 principally from planned workforce reductions. Cash spending related to our repositioning actions was $50 million in the six months ended June 30, 2015 and was funded through operating cash flows. We expect cash spending for repositioning actions to be approximately $125 million in 2015 and to be funded through operating cash flows.</w:t>
      </w:r>
    </w:p>
    <w:p>
      <w:pPr>
        <w:spacing w:after="0" w:line="166" w:lineRule="exact"/>
        <w:rPr>
          <w:sz w:val="20"/>
          <w:szCs w:val="20"/>
          <w:color w:val="auto"/>
        </w:rPr>
      </w:pPr>
    </w:p>
    <w:p>
      <w:pPr>
        <w:ind w:right="8340" w:firstLine="8"/>
        <w:spacing w:after="0" w:line="475" w:lineRule="auto"/>
        <w:tabs>
          <w:tab w:leader="none" w:pos="3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Liquidity and Capital Resources </w:t>
      </w:r>
      <w:r>
        <w:rPr>
          <w:rFonts w:ascii="Arial" w:cs="Arial" w:eastAsia="Arial" w:hAnsi="Arial"/>
          <w:sz w:val="18"/>
          <w:szCs w:val="18"/>
          <w:b w:val="1"/>
          <w:bCs w:val="1"/>
          <w:color w:val="auto"/>
        </w:rPr>
        <w:t>Cash Flow Summary</w:t>
      </w:r>
    </w:p>
    <w:p>
      <w:pPr>
        <w:spacing w:after="0" w:line="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-1905</wp:posOffset>
            </wp:positionV>
            <wp:extent cx="12865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40" w:type="dxa"/>
            <w:vAlign w:val="bottom"/>
            <w:tcBorders>
              <w:bottom w:val="single" w:sz="8" w:color="E5FFFF"/>
            </w:tcBorders>
          </w:tcPr>
          <w:p>
            <w:pPr>
              <w:spacing w:after="0"/>
              <w:rPr>
                <w:sz w:val="15"/>
                <w:szCs w:val="15"/>
                <w:color w:val="auto"/>
              </w:rPr>
            </w:pPr>
          </w:p>
        </w:tc>
        <w:tc>
          <w:tcPr>
            <w:tcW w:w="138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3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1,829</w:t>
            </w:r>
          </w:p>
        </w:tc>
        <w:tc>
          <w:tcPr>
            <w:tcW w:w="3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13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(2,545)</w:t>
            </w:r>
          </w:p>
        </w:tc>
        <w:tc>
          <w:tcPr>
            <w:tcW w:w="1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3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60"/>
              <w:spacing w:after="0"/>
              <w:rPr>
                <w:sz w:val="20"/>
                <w:szCs w:val="20"/>
                <w:color w:val="auto"/>
              </w:rPr>
            </w:pPr>
            <w:r>
              <w:rPr>
                <w:rFonts w:ascii="Arial" w:cs="Arial" w:eastAsia="Arial" w:hAnsi="Arial"/>
                <w:sz w:val="8"/>
                <w:szCs w:val="8"/>
                <w:color w:val="auto"/>
                <w:w w:val="73"/>
              </w:rPr>
              <w: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(1,005</w:t>
            </w:r>
          </w:p>
        </w:tc>
        <w:tc>
          <w:tcPr>
            <w:tcW w:w="34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Cash provided by operating activities decreased by $200 million primarily due to (i) a $ 416 million decrease in accrued liabilities (primarily a $199 million decrease in customer advances and deferred income and $151 million in incentive payments to Aerospace Original Equipment manufacturers (ii) increased net payments for repositioning and other charges of $81 million (primarily due to the collection of a $130 million asbestos receivable due from one of our insurance carriers in the prior year) and (iii) increased cash tax payments of $60 million, partially offset by a $248 million favorable impact from working capital and increased net income of $206 million.</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used for investing activities increased by $1,340 million primarily due to a net $1,026 million increase in investments (primarily short-term marketable securities), an increase in cash paid for acquisitions of $183 million and an increase of $137 million in settlement payments of foreign currency exchange contracts used as economic hedges on certain non-functional currency denominated monetary assets and liabilities.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used for financing activities decreased by $624 million primarily due to an increase in the net proceeds from debt issuances of $703 million partially offset by an increase in cash dividends paid of $115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2015, we are not required to make contributions to our U.S. pension plans. We plan to make contributions of cash and/or marketable securities of approximately $140 million to our non-U.S. plans to satisfy regulatory funding standards, of which $126 million were made in the six months ended June 30, 2015.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p>
      <w:pPr>
        <w:jc w:val="both"/>
        <w:spacing w:after="0" w:line="246" w:lineRule="auto"/>
        <w:rPr>
          <w:sz w:val="20"/>
          <w:szCs w:val="20"/>
          <w:color w:val="auto"/>
        </w:rPr>
      </w:pPr>
      <w:r>
        <w:rPr>
          <w:rFonts w:ascii="Arial" w:cs="Arial" w:eastAsia="Arial" w:hAnsi="Arial"/>
          <w:sz w:val="18"/>
          <w:szCs w:val="18"/>
          <w:color w:val="auto"/>
        </w:rPr>
        <w:t>timing and amount of contributions to both our U.S. and non-U.S. plans may be impacted by a number of factors, including the funded status of the plans.</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During the second quarter of 2015, the Company repurchased $123 million of outstanding shares. Under the Company’s previously reported $5 billion share repurchase program, $3.6 billion remained available as of June 30, 2015 for additional share repurchases. Honeywell presently expects to repurchase outstanding shares from time to time to offset the dilutive impact of employee stock based compensation plans, including future option exercises, restricted unit vesting and matching contributions under our savings plans. In addition, the Company may repurchase additional shares if and when its net cash (cash and cash equivalents plus short-term available for sale investments less commercial paper, current maturities of long-term debt and long-term debt) exceeds $ 1 to $2 billion. The amount and timing of future repurchases may vary depending on market conditions and the level of operating, financing and other investing activities.</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5380" w:type="dxa"/>
            <w:vAlign w:val="bottom"/>
            <w:tcBorders>
              <w:bottom w:val="single" w:sz="8" w:color="E5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E5FFFF"/>
            </w:tcBorders>
          </w:tcPr>
          <w:p>
            <w:pPr>
              <w:spacing w:after="0"/>
              <w:rPr>
                <w:sz w:val="19"/>
                <w:szCs w:val="19"/>
                <w:color w:val="auto"/>
              </w:rPr>
            </w:pPr>
          </w:p>
        </w:tc>
        <w:tc>
          <w:tcPr>
            <w:tcW w:w="20" w:type="dxa"/>
            <w:vAlign w:val="bottom"/>
            <w:tcBorders>
              <w:bottom w:val="single" w:sz="8" w:color="E5FF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E5FFFF"/>
            </w:tcBorders>
          </w:tcPr>
          <w:p>
            <w:pPr>
              <w:spacing w:after="0"/>
              <w:rPr>
                <w:sz w:val="19"/>
                <w:szCs w:val="19"/>
                <w:color w:val="auto"/>
              </w:rPr>
            </w:pPr>
          </w:p>
        </w:tc>
        <w:tc>
          <w:tcPr>
            <w:tcW w:w="6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5,954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6,959</w:t>
            </w: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Short-term available for sale investments</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9,116</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8,422</w:t>
            </w:r>
          </w:p>
        </w:tc>
        <w:tc>
          <w:tcPr>
            <w:tcW w:w="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38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4"/>
                <w:szCs w:val="2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2,795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1,337</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939</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5,562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Debt</w:t>
            </w:r>
          </w:p>
        </w:tc>
        <w:tc>
          <w:tcPr>
            <w:tcW w:w="220" w:type="dxa"/>
            <w:vAlign w:val="bottom"/>
            <w:tcBorders>
              <w:top w:val="single" w:sz="8" w:color="auto"/>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9,694</w:t>
            </w:r>
          </w:p>
        </w:tc>
        <w:tc>
          <w:tcPr>
            <w:tcW w:w="3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8,632</w:t>
            </w:r>
          </w:p>
        </w:tc>
        <w:tc>
          <w:tcPr>
            <w:tcW w:w="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vMerge w:val="restart"/>
          </w:tcPr>
          <w:p>
            <w:pPr>
              <w:spacing w:after="0"/>
              <w:rPr>
                <w:sz w:val="20"/>
                <w:szCs w:val="20"/>
                <w:color w:val="auto"/>
              </w:rPr>
            </w:pPr>
            <w:r>
              <w:rPr>
                <w:rFonts w:ascii="Arial" w:cs="Arial" w:eastAsia="Arial" w:hAnsi="Arial"/>
                <w:sz w:val="18"/>
                <w:szCs w:val="18"/>
                <w:color w:val="auto"/>
              </w:rPr>
              <w:t>Net cash</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(578</w:t>
            </w:r>
          </w:p>
        </w:tc>
        <w:tc>
          <w:tcPr>
            <w:tcW w:w="32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July 10, 2015, the Company entered into a $4 billion Amended and Restated Five Year Credit Agreement with a syndicate of banks which amends and restates the previous $4 billion five year credit agreement. See Note 7, Long-term Debt, of Notes to Financial Statements for further discussion.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June 30, 2015 should be read in conjunction with the financial statements for the year ended December 31, 2014 contained in our 2014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8" w:name="page29"/>
    <w:bookmarkEnd w:id="28"/>
    <w:p>
      <w:pPr>
        <w:ind w:right="440" w:firstLine="648"/>
        <w:spacing w:after="0" w:line="482" w:lineRule="auto"/>
        <w:rPr>
          <w:sz w:val="20"/>
          <w:szCs w:val="20"/>
          <w:color w:val="auto"/>
        </w:rPr>
      </w:pPr>
      <w:r>
        <w:rPr>
          <w:rFonts w:ascii="Arial" w:cs="Arial" w:eastAsia="Arial" w:hAnsi="Arial"/>
          <w:sz w:val="18"/>
          <w:szCs w:val="18"/>
          <w:color w:val="auto"/>
        </w:rPr>
        <w:t>See our 2014 Annual Report on Form 10-K (Item 7A). As of June 30, 2015, there has been no material change in this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Item 4. </w:t>
      </w:r>
      <w:r>
        <w:rPr>
          <w:rFonts w:ascii="Arial" w:cs="Arial" w:eastAsia="Arial" w:hAnsi="Arial"/>
          <w:sz w:val="18"/>
          <w:szCs w:val="18"/>
          <w:u w:val="single" w:color="auto"/>
          <w:color w:val="auto"/>
        </w:rPr>
        <w:t>Controls and Procedures</w:t>
      </w:r>
    </w:p>
    <w:p>
      <w:pPr>
        <w:spacing w:after="0" w:line="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CEO, our CFO,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u w:val="single" w:color="auto"/>
          <w:color w:val="auto"/>
        </w:rPr>
        <w:t>Legal Proceedings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12, Commitments and Contingencies, of Notes to Financial Statements.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Virginia Department of Environmental Quality (DEQ) has alleged that Honeywell’s facility in Hopewell, Virginia failed to comply with certain conditions of its wastewater discharge permit at various times between August 2013 and March 2015. Honeywell has met with the DEQ about this matter and negotiations to resolve it are ongoing. We do not believe that it will have a material adverse effect on our consolidated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Honeywell purchased 1,200,000 shares of its common stock, par value $ 1 per share, in the quarter ended June 30, 2015. The following table summarizes Honeywell’s purchase of its common stock for the quarter ended June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0" w:type="dxa"/>
            <w:vAlign w:val="bottom"/>
            <w:gridSpan w:val="4"/>
          </w:tcPr>
          <w:p>
            <w:pPr>
              <w:ind w:left="280"/>
              <w:spacing w:after="0"/>
              <w:rPr>
                <w:sz w:val="20"/>
                <w:szCs w:val="20"/>
                <w:color w:val="auto"/>
              </w:rPr>
            </w:pPr>
            <w:r>
              <w:rPr>
                <w:rFonts w:ascii="Arial" w:cs="Arial" w:eastAsia="Arial" w:hAnsi="Arial"/>
                <w:sz w:val="14"/>
                <w:szCs w:val="14"/>
                <w:b w:val="1"/>
                <w:bCs w:val="1"/>
                <w:color w:val="auto"/>
              </w:rPr>
              <w:t>Issuer Purchases of Equity Securities</w:t>
            </w:r>
          </w:p>
        </w:tc>
        <w:tc>
          <w:tcPr>
            <w:tcW w:w="3080" w:type="dxa"/>
            <w:vAlign w:val="bottom"/>
          </w:tcPr>
          <w:p>
            <w:pPr>
              <w:spacing w:after="0"/>
              <w:rPr>
                <w:sz w:val="14"/>
                <w:szCs w:val="14"/>
                <w:color w:val="auto"/>
              </w:rPr>
            </w:pP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 )</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Number</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Shares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Purchased as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Part of Publicly</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 Paid</w:t>
            </w: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Announced Plans</w:t>
            </w: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6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22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412"/>
        </w:trPr>
        <w:tc>
          <w:tcPr>
            <w:tcW w:w="2300" w:type="dxa"/>
            <w:vAlign w:val="bottom"/>
            <w:gridSpan w:val="4"/>
          </w:tcPr>
          <w:p>
            <w:pPr>
              <w:spacing w:after="0"/>
              <w:rPr>
                <w:sz w:val="20"/>
                <w:szCs w:val="20"/>
                <w:color w:val="auto"/>
              </w:rPr>
            </w:pPr>
            <w:r>
              <w:rPr>
                <w:rFonts w:ascii="Arial" w:cs="Arial" w:eastAsia="Arial" w:hAnsi="Arial"/>
                <w:sz w:val="18"/>
                <w:szCs w:val="18"/>
                <w:color w:val="auto"/>
              </w:rPr>
              <w:t>May 2015</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1,200,000</w:t>
            </w:r>
          </w:p>
        </w:tc>
        <w:tc>
          <w:tcPr>
            <w:tcW w:w="2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$102.48</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1,200,000</w:t>
            </w:r>
          </w:p>
        </w:tc>
        <w:tc>
          <w:tcPr>
            <w:tcW w:w="22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rPr>
              <w:t>$3,590</w:t>
            </w:r>
          </w:p>
        </w:tc>
      </w:tr>
      <w:tr>
        <w:trPr>
          <w:trHeight w:val="365"/>
        </w:trPr>
        <w:tc>
          <w:tcPr>
            <w:tcW w:w="230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20" w:right="3680" w:hanging="4964"/>
        <w:spacing w:after="0" w:line="465" w:lineRule="auto"/>
        <w:tabs>
          <w:tab w:leader="none" w:pos="1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 See the Exhibit Index on page 31 of this Quarterly Report on Form 10-Q.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Honeywell International Inc.</w:t>
      </w:r>
    </w:p>
    <w:p>
      <w:pPr>
        <w:spacing w:after="0" w:line="198"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July 17, 2015</w:t>
      </w:r>
      <w:r>
        <w:rPr>
          <w:sz w:val="20"/>
          <w:szCs w:val="20"/>
          <w:color w:val="auto"/>
        </w:rPr>
        <w:tab/>
      </w:r>
      <w:r>
        <w:rPr>
          <w:rFonts w:ascii="Arial" w:cs="Arial" w:eastAsia="Arial" w:hAnsi="Arial"/>
          <w:sz w:val="18"/>
          <w:szCs w:val="18"/>
          <w:color w:val="auto"/>
        </w:rPr>
        <w:t>By: /s/ Adam M. Matteo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-1905</wp:posOffset>
            </wp:positionV>
            <wp:extent cx="23755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Adam M. Matteo</w:t>
      </w:r>
    </w:p>
    <w:p>
      <w:pPr>
        <w:ind w:left="5980"/>
        <w:spacing w:after="0" w:line="234" w:lineRule="auto"/>
        <w:rPr>
          <w:sz w:val="20"/>
          <w:szCs w:val="20"/>
          <w:color w:val="auto"/>
        </w:rPr>
      </w:pPr>
      <w:r>
        <w:rPr>
          <w:rFonts w:ascii="Arial" w:cs="Arial" w:eastAsia="Arial" w:hAnsi="Arial"/>
          <w:sz w:val="18"/>
          <w:szCs w:val="18"/>
          <w:color w:val="auto"/>
        </w:rPr>
        <w:t>Vice President and Controller</w:t>
      </w:r>
    </w:p>
    <w:p>
      <w:pPr>
        <w:ind w:left="5980"/>
        <w:spacing w:after="0" w:line="235" w:lineRule="auto"/>
        <w:rPr>
          <w:sz w:val="20"/>
          <w:szCs w:val="20"/>
          <w:color w:val="auto"/>
        </w:rPr>
      </w:pPr>
      <w:r>
        <w:rPr>
          <w:rFonts w:ascii="Arial" w:cs="Arial" w:eastAsia="Arial" w:hAnsi="Arial"/>
          <w:sz w:val="18"/>
          <w:szCs w:val="18"/>
          <w:color w:val="auto"/>
        </w:rPr>
        <w:t>(on behalf of the Registrant</w:t>
      </w:r>
    </w:p>
    <w:p>
      <w:pPr>
        <w:ind w:left="5980"/>
        <w:spacing w:after="0" w:line="235" w:lineRule="auto"/>
        <w:rPr>
          <w:sz w:val="20"/>
          <w:szCs w:val="20"/>
          <w:color w:val="auto"/>
        </w:rPr>
      </w:pPr>
      <w:r>
        <w:rPr>
          <w:rFonts w:ascii="Arial" w:cs="Arial" w:eastAsia="Arial" w:hAnsi="Arial"/>
          <w:sz w:val="18"/>
          <w:szCs w:val="18"/>
          <w:color w:val="auto"/>
        </w:rPr>
        <w:t>and as the Registrant’s</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Exhibit</w:t>
            </w:r>
          </w:p>
        </w:tc>
        <w:tc>
          <w:tcPr>
            <w:tcW w:w="36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No.</w:t>
            </w:r>
          </w:p>
        </w:tc>
        <w:tc>
          <w:tcPr>
            <w:tcW w:w="3680" w:type="dxa"/>
            <w:vAlign w:val="bottom"/>
          </w:tcPr>
          <w:p>
            <w:pPr>
              <w:spacing w:after="0"/>
              <w:rPr>
                <w:sz w:val="19"/>
                <w:szCs w:val="19"/>
                <w:color w:val="auto"/>
              </w:rPr>
            </w:pPr>
          </w:p>
        </w:tc>
        <w:tc>
          <w:tcPr>
            <w:tcW w:w="6360" w:type="dxa"/>
            <w:vAlign w:val="bottom"/>
            <w:gridSpan w:val="2"/>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ind w:right="530"/>
              <w:spacing w:after="0" w:line="195" w:lineRule="exact"/>
              <w:rPr>
                <w:sz w:val="20"/>
                <w:szCs w:val="20"/>
                <w:color w:val="auto"/>
              </w:rPr>
            </w:pPr>
            <w:r>
              <w:rPr>
                <w:rFonts w:ascii="Arial" w:cs="Arial" w:eastAsia="Arial" w:hAnsi="Arial"/>
                <w:sz w:val="18"/>
                <w:szCs w:val="18"/>
                <w:color w:val="auto"/>
                <w:w w:val="90"/>
              </w:rPr>
              <w:t>10.1*</w:t>
            </w:r>
          </w:p>
        </w:tc>
        <w:tc>
          <w:tcPr>
            <w:tcW w:w="340" w:type="dxa"/>
            <w:vAlign w:val="bottom"/>
          </w:tcPr>
          <w:p>
            <w:pPr>
              <w:spacing w:after="0"/>
              <w:rPr>
                <w:sz w:val="16"/>
                <w:szCs w:val="16"/>
                <w:color w:val="auto"/>
              </w:rPr>
            </w:pPr>
          </w:p>
        </w:tc>
        <w:tc>
          <w:tcPr>
            <w:tcW w:w="100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Amendment to the Supplemental Non-Qualified Savings Plan for Highly Compensated Employees of Honeywell International</w:t>
            </w: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Inc. and its Subsidiaries (filed herewith)</w:t>
            </w:r>
          </w:p>
        </w:tc>
      </w:tr>
    </w:tbl>
    <w:p>
      <w:pPr>
        <w:spacing w:after="0" w:line="158" w:lineRule="exact"/>
        <w:rPr>
          <w:sz w:val="20"/>
          <w:szCs w:val="20"/>
          <w:color w:val="auto"/>
        </w:rPr>
      </w:pPr>
    </w:p>
    <w:p>
      <w:pPr>
        <w:ind w:left="1380" w:hanging="1372"/>
        <w:spacing w:after="0"/>
        <w:tabs>
          <w:tab w:leader="none" w:pos="138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 xml:space="preserve">Computation of Per Share Earnings </w:t>
      </w:r>
      <w:r>
        <w:rPr>
          <w:rFonts w:ascii="Arial" w:cs="Arial" w:eastAsia="Arial" w:hAnsi="Arial"/>
          <w:sz w:val="30"/>
          <w:szCs w:val="30"/>
          <w:color w:val="auto"/>
          <w:vertAlign w:val="superscript"/>
        </w:rPr>
        <w:t>(1)</w:t>
      </w:r>
    </w:p>
    <w:p>
      <w:pPr>
        <w:spacing w:after="0" w:line="62" w:lineRule="exact"/>
        <w:rPr>
          <w:rFonts w:ascii="Arial" w:cs="Arial" w:eastAsia="Arial" w:hAnsi="Arial"/>
          <w:sz w:val="36"/>
          <w:szCs w:val="36"/>
          <w:color w:val="auto"/>
          <w:vertAlign w:val="superscript"/>
        </w:rPr>
      </w:pPr>
    </w:p>
    <w:p>
      <w:pPr>
        <w:ind w:left="1380" w:hanging="1372"/>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10000" w:type="dxa"/>
            <w:vAlign w:val="bottom"/>
          </w:tcPr>
          <w:p>
            <w:pPr>
              <w:ind w:left="3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1000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10000" w:type="dxa"/>
            <w:vAlign w:val="bottom"/>
          </w:tcPr>
          <w:p>
            <w:pPr>
              <w:ind w:left="32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106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10000" w:type="dxa"/>
            <w:vAlign w:val="bottom"/>
          </w:tcPr>
          <w:p>
            <w:pPr>
              <w:ind w:left="32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1060" w:type="dxa"/>
            <w:vAlign w:val="bottom"/>
          </w:tcPr>
          <w:p>
            <w:pPr>
              <w:spacing w:after="0"/>
              <w:rPr>
                <w:sz w:val="18"/>
                <w:szCs w:val="18"/>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000" w:type="dxa"/>
            <w:vAlign w:val="bottom"/>
          </w:tcPr>
          <w:p>
            <w:pPr>
              <w:ind w:left="32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tcPr>
          <w:p>
            <w:pPr>
              <w:ind w:left="32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00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00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00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required is provided in Note 4, Earnings Per Share, of Notes to Financial Statements.</w:t>
      </w:r>
    </w:p>
    <w:p>
      <w:pPr>
        <w:spacing w:after="0" w:line="198" w:lineRule="exact"/>
        <w:rPr>
          <w:sz w:val="20"/>
          <w:szCs w:val="20"/>
          <w:color w:val="auto"/>
        </w:rPr>
      </w:pPr>
    </w:p>
    <w:p>
      <w:pPr>
        <w:ind w:left="5620" w:right="2100" w:hanging="5605"/>
        <w:spacing w:after="0" w:line="465" w:lineRule="auto"/>
        <w:rPr>
          <w:sz w:val="20"/>
          <w:szCs w:val="20"/>
          <w:color w:val="auto"/>
        </w:rPr>
      </w:pPr>
      <w:r>
        <w:rPr>
          <w:rFonts w:ascii="Arial" w:cs="Arial" w:eastAsia="Arial" w:hAnsi="Arial"/>
          <w:sz w:val="18"/>
          <w:szCs w:val="18"/>
          <w:color w:val="auto"/>
        </w:rPr>
        <w:t>The Exhibits identified above with an asterisk (*) are management contracts or compensatory plans or arrangements.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TO THE</w:t>
      </w:r>
    </w:p>
    <w:p>
      <w:pPr>
        <w:jc w:val="center"/>
        <w:spacing w:after="0" w:line="238" w:lineRule="auto"/>
        <w:rPr>
          <w:sz w:val="20"/>
          <w:szCs w:val="20"/>
          <w:color w:val="auto"/>
        </w:rPr>
      </w:pPr>
      <w:r>
        <w:rPr>
          <w:rFonts w:ascii="Arial" w:cs="Arial" w:eastAsia="Arial" w:hAnsi="Arial"/>
          <w:sz w:val="22"/>
          <w:szCs w:val="22"/>
          <w:color w:val="auto"/>
        </w:rPr>
        <w:t>SUPPLEMENTAL NON-QUALIFIED SAVINGS PLAN FOR</w:t>
      </w:r>
    </w:p>
    <w:p>
      <w:pPr>
        <w:jc w:val="center"/>
        <w:spacing w:after="0" w:line="230" w:lineRule="auto"/>
        <w:rPr>
          <w:sz w:val="20"/>
          <w:szCs w:val="20"/>
          <w:color w:val="auto"/>
        </w:rPr>
      </w:pPr>
      <w:r>
        <w:rPr>
          <w:rFonts w:ascii="Arial" w:cs="Arial" w:eastAsia="Arial" w:hAnsi="Arial"/>
          <w:sz w:val="22"/>
          <w:szCs w:val="22"/>
          <w:color w:val="auto"/>
        </w:rPr>
        <w:t>HIGHLY COMPENSATED EMPLOYEES OF</w:t>
      </w:r>
    </w:p>
    <w:p>
      <w:pPr>
        <w:jc w:val="center"/>
        <w:spacing w:after="0" w:line="231" w:lineRule="auto"/>
        <w:rPr>
          <w:sz w:val="20"/>
          <w:szCs w:val="20"/>
          <w:color w:val="auto"/>
        </w:rPr>
      </w:pPr>
      <w:r>
        <w:rPr>
          <w:rFonts w:ascii="Arial" w:cs="Arial" w:eastAsia="Arial" w:hAnsi="Arial"/>
          <w:sz w:val="22"/>
          <w:szCs w:val="22"/>
          <w:color w:val="auto"/>
        </w:rPr>
        <w:t>HONEYWELL INTERNATIONAL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ITS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January 1, 2009)</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Effective July 1,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the Supplemental Non-Qualified Savings Plan for Highly Compensated Employees of Honeywell International Inc. and its Subsidiaries (the “</w:t>
      </w:r>
      <w:r>
        <w:rPr>
          <w:rFonts w:ascii="Arial" w:cs="Arial" w:eastAsia="Arial" w:hAnsi="Arial"/>
          <w:sz w:val="22"/>
          <w:szCs w:val="22"/>
          <w:u w:val="single" w:color="auto"/>
          <w:color w:val="auto"/>
        </w:rPr>
        <w:t>Plan</w:t>
      </w:r>
      <w:r>
        <w:rPr>
          <w:rFonts w:ascii="Arial" w:cs="Arial" w:eastAsia="Arial" w:hAnsi="Arial"/>
          <w:sz w:val="22"/>
          <w:szCs w:val="22"/>
          <w:color w:val="auto"/>
        </w:rPr>
        <w:t>”) is hereby amended to separate the Plan into two plans for all legal purposes, as follows:</w:t>
      </w:r>
    </w:p>
    <w:p>
      <w:pPr>
        <w:spacing w:after="0" w:line="186" w:lineRule="exact"/>
        <w:rPr>
          <w:sz w:val="20"/>
          <w:szCs w:val="20"/>
          <w:color w:val="auto"/>
        </w:rPr>
      </w:pPr>
    </w:p>
    <w:p>
      <w:pPr>
        <w:jc w:val="both"/>
        <w:ind w:firstLine="656"/>
        <w:spacing w:after="0" w:line="270" w:lineRule="auto"/>
        <w:tabs>
          <w:tab w:leader="none" w:pos="866" w:val="left"/>
        </w:tabs>
        <w:numPr>
          <w:ilvl w:val="1"/>
          <w:numId w:val="13"/>
        </w:numPr>
        <w:rPr>
          <w:rFonts w:ascii="Arial" w:cs="Arial" w:eastAsia="Arial" w:hAnsi="Arial"/>
          <w:sz w:val="19"/>
          <w:szCs w:val="19"/>
          <w:color w:val="auto"/>
        </w:rPr>
      </w:pPr>
      <w:r>
        <w:rPr>
          <w:rFonts w:ascii="Arial" w:cs="Arial" w:eastAsia="Arial" w:hAnsi="Arial"/>
          <w:sz w:val="19"/>
          <w:szCs w:val="19"/>
          <w:color w:val="auto"/>
        </w:rPr>
        <w:t>One plan, to be known on and after the Effective Date as the “Excess Benefit Plan of Honeywell International Inc. and its Subsidiaries (as amended and restated as of July 1, 2015)” (the “</w:t>
      </w:r>
      <w:r>
        <w:rPr>
          <w:rFonts w:ascii="Arial" w:cs="Arial" w:eastAsia="Arial" w:hAnsi="Arial"/>
          <w:sz w:val="19"/>
          <w:szCs w:val="19"/>
          <w:u w:val="single" w:color="auto"/>
          <w:color w:val="auto"/>
        </w:rPr>
        <w:t>Excess Benefit Plan</w:t>
      </w:r>
      <w:r>
        <w:rPr>
          <w:rFonts w:ascii="Arial" w:cs="Arial" w:eastAsia="Arial" w:hAnsi="Arial"/>
          <w:sz w:val="19"/>
          <w:szCs w:val="19"/>
          <w:color w:val="auto"/>
        </w:rPr>
        <w:t>”) shall provide only for the benefits or contributions that would be provided under the Qualified Savings Plans but for any benefit or limitations set forth in the Code, including any amounts credited to each Participant’s Account as of the Effective Date that would have been so characterized at the time such amounts were credited, and including (for purposes of clarity) all Plan Employer Contributions described in Section 5(b) of the Plan. The Excess Benefit Plan shall consist of, be governed by and be subject to, the terms of the Plan excluding Section 5(a)</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thereof and the other provisions of the Plan to the extent relating to Section 5(a)(ii).</w:t>
      </w:r>
    </w:p>
    <w:p>
      <w:pPr>
        <w:spacing w:after="0" w:line="188" w:lineRule="exact"/>
        <w:rPr>
          <w:rFonts w:ascii="Arial" w:cs="Arial" w:eastAsia="Arial" w:hAnsi="Arial"/>
          <w:sz w:val="22"/>
          <w:szCs w:val="22"/>
          <w:color w:val="auto"/>
        </w:rPr>
      </w:pPr>
    </w:p>
    <w:p>
      <w:pPr>
        <w:jc w:val="both"/>
        <w:ind w:firstLine="656"/>
        <w:spacing w:after="0" w:line="249" w:lineRule="auto"/>
        <w:tabs>
          <w:tab w:leader="none" w:pos="868" w:val="left"/>
        </w:tabs>
        <w:numPr>
          <w:ilvl w:val="1"/>
          <w:numId w:val="14"/>
        </w:numPr>
        <w:rPr>
          <w:rFonts w:ascii="Arial" w:cs="Arial" w:eastAsia="Arial" w:hAnsi="Arial"/>
          <w:sz w:val="21"/>
          <w:szCs w:val="21"/>
          <w:color w:val="auto"/>
        </w:rPr>
      </w:pPr>
      <w:r>
        <w:rPr>
          <w:rFonts w:ascii="Arial" w:cs="Arial" w:eastAsia="Arial" w:hAnsi="Arial"/>
          <w:sz w:val="21"/>
          <w:szCs w:val="21"/>
          <w:color w:val="auto"/>
        </w:rPr>
        <w:t>A second plan, to be known on and after the Effective Date as the “Supplemental Non-Qualified Savings Plan for Highly Compensated Employees of Honeywell International Inc. and its Subsidiaries (as amended and restated as of July 1, 2015)” (the “</w:t>
      </w:r>
      <w:r>
        <w:rPr>
          <w:rFonts w:ascii="Arial" w:cs="Arial" w:eastAsia="Arial" w:hAnsi="Arial"/>
          <w:sz w:val="21"/>
          <w:szCs w:val="21"/>
          <w:u w:val="single" w:color="auto"/>
          <w:color w:val="auto"/>
        </w:rPr>
        <w:t>Supplemental Savings Plan</w:t>
      </w:r>
      <w:r>
        <w:rPr>
          <w:rFonts w:ascii="Arial" w:cs="Arial" w:eastAsia="Arial" w:hAnsi="Arial"/>
          <w:sz w:val="21"/>
          <w:szCs w:val="21"/>
          <w:color w:val="auto"/>
        </w:rPr>
        <w:t>”), shall provide for all other benefits or contributions under the Plan. The Supplemental Savings Plan shall consist of, be governed by and be subject to, the terms of the Plan excluding Section 5(a)(i) and 5(b) thereof and the other provisions of the Plan to the extent relating to Sections 5(a)(i) and 5(b).</w:t>
      </w:r>
    </w:p>
    <w:p>
      <w:pPr>
        <w:spacing w:after="0" w:line="178" w:lineRule="exact"/>
        <w:rPr>
          <w:rFonts w:ascii="Arial" w:cs="Arial" w:eastAsia="Arial" w:hAnsi="Arial"/>
          <w:sz w:val="21"/>
          <w:szCs w:val="21"/>
          <w:color w:val="auto"/>
        </w:rPr>
      </w:pPr>
    </w:p>
    <w:p>
      <w:pPr>
        <w:ind w:left="900" w:hanging="244"/>
        <w:spacing w:after="0"/>
        <w:tabs>
          <w:tab w:leader="none" w:pos="9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Section 1 of each of Excess Benefit Plan and the Supplemental Savings Plan shall be revised to read in its entirety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left="340" w:right="320" w:firstLine="316"/>
        <w:spacing w:after="0" w:line="275" w:lineRule="auto"/>
        <w:tabs>
          <w:tab w:leader="none" w:pos="888" w:val="left"/>
        </w:tabs>
        <w:numPr>
          <w:ilvl w:val="0"/>
          <w:numId w:val="15"/>
        </w:numPr>
        <w:rPr>
          <w:rFonts w:ascii="Arial" w:cs="Arial" w:eastAsia="Arial" w:hAnsi="Arial"/>
          <w:sz w:val="19"/>
          <w:szCs w:val="19"/>
          <w:color w:val="auto"/>
        </w:rPr>
      </w:pPr>
      <w:r>
        <w:rPr>
          <w:rFonts w:ascii="Arial" w:cs="Arial" w:eastAsia="Arial" w:hAnsi="Arial"/>
          <w:sz w:val="19"/>
          <w:szCs w:val="19"/>
          <w:color w:val="auto"/>
        </w:rPr>
        <w:t>History. Honeywell International Inc. (the “Corporation”) initially established this Excess Benefit Plan of Honeywell International Inc. and its Subsidiaries (the “Plan”) effective January 1, 2006 when the Supplemental Non-Qualified Savings Plan For Highly Compensated Employees Of Honeywell International Inc. and Its Subsidiaries (Career Band 5 and Below) (the “Supplemental Savings Plan”) was merged with and into the Supplemental Non-Qualified Savings Plan for Highly Compensated Employees of Honeywell International Inc. and its Subsidiaries (Career Band 6 and above) (the “Executive Supplemental Savings Plan”) and the resulting plan from this merger became known as the Plan. The Plan was amended and restated, effective as of January 1, 2009, to implement changes required pursuant to and consistent with Section 409A of the Internal Revenue Code of 1986, as amended (the “Code”), and the corresponding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9"/>
          <w:szCs w:val="19"/>
          <w:color w:val="auto"/>
        </w:rPr>
        <w:t>and final regulations issued under Section 409A of the Code with respect to amounts subject to such requirements. This Plan document covers any Participant (as defined below) who was entitled to receive a benefit from the Plan as of December 31, 2008, but did not receive full payment of such benefit under the Plan as of such date, as well as any individual who becomes a Participant in the Plan on or after January 1, 2009. Plan benefit payments commencing prior to January 1, 2009 are governed by the terms of Plan as they existed prior to this amendment and restatement and are either grandfathered from the requirements of Section 409A of the Code or payable pursuant to a fixed schedule as required by, and in compliance with, Section 409A of the Code. Between January 1, 2005 and December 31, 2008, with respect to payments that are subject to the requirements of Section 409A of the Code, the Plan has been operated in accordance with transition relief established by the Treasury Department and Internal Revenue Service pursuant to Section 409A of the Code. This amendment and restatement is adopted in conformity with final regulations under Section 409A of the Code issued by the Treasury Department on April 10, 2007 and effective January 1, 2009. The Plan resulting from the merger of the Supplemental Savings Plan and the Executive Supplemental Savings Plan, as so amended, was then separated into two separate plans for all legal purposes, in order to ensure the in order to ensure its qualification as an Excess Benefit Plan within the meaning of Rule 16b-3 under the Securities Exchange Act of 1934, as amended. The following provisions constitute and govern the terms of those two plans as follows:</w:t>
      </w:r>
    </w:p>
    <w:p>
      <w:pPr>
        <w:spacing w:after="0" w:line="200" w:lineRule="exact"/>
        <w:rPr>
          <w:sz w:val="20"/>
          <w:szCs w:val="20"/>
          <w:color w:val="auto"/>
        </w:rPr>
      </w:pPr>
    </w:p>
    <w:p>
      <w:pPr>
        <w:spacing w:after="0" w:line="209" w:lineRule="exact"/>
        <w:rPr>
          <w:sz w:val="20"/>
          <w:szCs w:val="20"/>
          <w:color w:val="auto"/>
        </w:rPr>
      </w:pPr>
    </w:p>
    <w:p>
      <w:pPr>
        <w:jc w:val="both"/>
        <w:ind w:firstLine="316"/>
        <w:spacing w:after="0" w:line="247" w:lineRule="auto"/>
        <w:tabs>
          <w:tab w:leader="none" w:pos="639"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Excess Benefit Plan of Honeywell International Inc. and its Subsidiaries (as amended and restated as of July 1, 2015) (the “</w:t>
      </w:r>
      <w:r>
        <w:rPr>
          <w:rFonts w:ascii="Arial" w:cs="Arial" w:eastAsia="Arial" w:hAnsi="Arial"/>
          <w:sz w:val="21"/>
          <w:szCs w:val="21"/>
          <w:u w:val="single" w:color="auto"/>
          <w:color w:val="auto"/>
        </w:rPr>
        <w:t>Excess Benefit Plan</w:t>
      </w:r>
      <w:r>
        <w:rPr>
          <w:rFonts w:ascii="Arial" w:cs="Arial" w:eastAsia="Arial" w:hAnsi="Arial"/>
          <w:sz w:val="21"/>
          <w:szCs w:val="21"/>
          <w:color w:val="auto"/>
        </w:rPr>
        <w:t>”) provides only for the benefits or contributions that would be provided under the Qualified Savings Plans but for any benefit or limitations set forth in the Code, including any amounts credited to each Participant’s Account as of July 1, 2015, that would have been so characterized at the time such amounts were credited, and including (for purposes of clarity) all Plan Employer Contributions described in Section 5(b) below. The Excess Benefit Plan shall consist of, be governed by and be subject to, the terms set forth below excluding Section 5(a)(ii) below and the other provisions of the Plan to the extent relating to Section 5(a)(ii); and</w:t>
      </w:r>
    </w:p>
    <w:p>
      <w:pPr>
        <w:spacing w:after="0" w:line="178" w:lineRule="exact"/>
        <w:rPr>
          <w:rFonts w:ascii="Arial" w:cs="Arial" w:eastAsia="Arial" w:hAnsi="Arial"/>
          <w:sz w:val="21"/>
          <w:szCs w:val="21"/>
          <w:color w:val="auto"/>
        </w:rPr>
      </w:pPr>
    </w:p>
    <w:p>
      <w:pPr>
        <w:jc w:val="both"/>
        <w:ind w:firstLine="316"/>
        <w:spacing w:after="0" w:line="236" w:lineRule="auto"/>
        <w:tabs>
          <w:tab w:leader="none" w:pos="63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Supplemental Non-Qualified Savings Plan for Highly Compensated Employees of Honeywell International Inc. and its Subsidiaries (as amended and restated as of July 1, 2015) (the “</w:t>
      </w:r>
      <w:r>
        <w:rPr>
          <w:rFonts w:ascii="Arial" w:cs="Arial" w:eastAsia="Arial" w:hAnsi="Arial"/>
          <w:sz w:val="22"/>
          <w:szCs w:val="22"/>
          <w:u w:val="single" w:color="auto"/>
          <w:color w:val="auto"/>
        </w:rPr>
        <w:t>Supplemental Savings Plan</w:t>
      </w:r>
      <w:r>
        <w:rPr>
          <w:rFonts w:ascii="Arial" w:cs="Arial" w:eastAsia="Arial" w:hAnsi="Arial"/>
          <w:sz w:val="22"/>
          <w:szCs w:val="22"/>
          <w:color w:val="auto"/>
        </w:rPr>
        <w:t>”) provides for all other benefits or contributions set forth below. The Supplemental Savings Plan shall consist of, be governed by and be subject to, the terms set forth below excluding Section 5(a)(i) and 5(b) below and the other provisions of the Plan to the extent relating to Sections 5(a)(i) and 5(b).</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in this Section 1 and not defined in this Section 1 have the meanings ascribed to them below.</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22"/>
          <w:szCs w:val="22"/>
          <w:color w:val="auto"/>
        </w:rPr>
        <w:t>4. The header of the Plan shall be revised to read in its entirety as follows: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Excess Benefit Plan of Honeywell International Inc. and its Subsidiaries and the Supplemental Non-Qualified Savings Plan for Highly Compensated Employees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144780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580" w:top="402" w:right="559"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Honeywell International Inc. and its Subsidiaries (each as amended and restated as of July 1, 2015)”</w:t>
      </w:r>
    </w:p>
    <w:p>
      <w:pPr>
        <w:spacing w:after="0" w:line="206" w:lineRule="exact"/>
        <w:rPr>
          <w:sz w:val="20"/>
          <w:szCs w:val="20"/>
          <w:color w:val="auto"/>
        </w:rPr>
      </w:pPr>
    </w:p>
    <w:p>
      <w:pPr>
        <w:ind w:left="540" w:hanging="224"/>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Capitalized terms used herein and not defined herein shall have the meanings assigned to them under the Plan.</w:t>
      </w:r>
    </w:p>
    <w:p>
      <w:pPr>
        <w:spacing w:after="0" w:line="213" w:lineRule="exact"/>
        <w:rPr>
          <w:rFonts w:ascii="Arial" w:cs="Arial" w:eastAsia="Arial" w:hAnsi="Arial"/>
          <w:sz w:val="19"/>
          <w:szCs w:val="19"/>
          <w:color w:val="auto"/>
        </w:rPr>
      </w:pPr>
    </w:p>
    <w:p>
      <w:pPr>
        <w:ind w:left="5320"/>
        <w:spacing w:after="0"/>
        <w:rPr>
          <w:rFonts w:ascii="Arial" w:cs="Arial" w:eastAsia="Arial" w:hAnsi="Arial"/>
          <w:sz w:val="19"/>
          <w:szCs w:val="19"/>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144780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080"/>
          </w:cols>
          <w:pgMar w:left="580" w:top="402" w:right="1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12</w:t>
      </w:r>
    </w:p>
    <w:p>
      <w:pPr>
        <w:spacing w:after="0" w:line="19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100"/>
        <w:spacing w:after="0" w:line="234" w:lineRule="auto"/>
        <w:rPr>
          <w:sz w:val="20"/>
          <w:szCs w:val="20"/>
          <w:color w:val="auto"/>
        </w:rPr>
      </w:pPr>
      <w:r>
        <w:rPr>
          <w:rFonts w:ascii="Arial" w:cs="Arial" w:eastAsia="Arial" w:hAnsi="Arial"/>
          <w:sz w:val="18"/>
          <w:szCs w:val="18"/>
          <w:b w:val="1"/>
          <w:bCs w:val="1"/>
          <w:color w:val="auto"/>
        </w:rPr>
        <w:t>Six Months Ended</w:t>
      </w:r>
    </w:p>
    <w:p>
      <w:pPr>
        <w:jc w:val="center"/>
        <w:ind w:right="1100"/>
        <w:spacing w:after="0" w:line="235" w:lineRule="auto"/>
        <w:rPr>
          <w:sz w:val="20"/>
          <w:szCs w:val="20"/>
          <w:color w:val="auto"/>
        </w:rPr>
      </w:pPr>
      <w:r>
        <w:rPr>
          <w:rFonts w:ascii="Arial" w:cs="Arial" w:eastAsia="Arial" w:hAnsi="Arial"/>
          <w:sz w:val="18"/>
          <w:szCs w:val="18"/>
          <w:b w:val="1"/>
          <w:bCs w:val="1"/>
          <w:color w:val="auto"/>
        </w:rPr>
        <w:t>June 30, 2015</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2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8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Equity income, net of distributions</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E5FFFF"/>
          </w:tcPr>
          <w:p>
            <w:pPr>
              <w:ind w:left="520"/>
              <w:spacing w:after="0"/>
              <w:rPr>
                <w:sz w:val="20"/>
                <w:szCs w:val="20"/>
                <w:color w:val="auto"/>
              </w:rPr>
            </w:pPr>
            <w:r>
              <w:rPr>
                <w:rFonts w:ascii="Arial" w:cs="Arial" w:eastAsia="Arial" w:hAnsi="Arial"/>
                <w:sz w:val="18"/>
                <w:szCs w:val="18"/>
                <w:b w:val="1"/>
                <w:bCs w:val="1"/>
                <w:color w:val="auto"/>
              </w:rPr>
              <w:t>Total earnings, as defined</w:t>
            </w:r>
          </w:p>
        </w:tc>
        <w:tc>
          <w:tcPr>
            <w:tcW w:w="2100" w:type="dxa"/>
            <w:vAlign w:val="bottom"/>
            <w:shd w:val="clear" w:color="auto" w:fill="E5FF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vMerge w:val="continue"/>
            <w:shd w:val="clear" w:color="auto" w:fill="E5FFFF"/>
          </w:tcPr>
          <w:p>
            <w:pPr>
              <w:spacing w:after="0"/>
              <w:rPr>
                <w:sz w:val="18"/>
                <w:szCs w:val="18"/>
                <w:color w:val="auto"/>
              </w:rPr>
            </w:pPr>
          </w:p>
        </w:tc>
        <w:tc>
          <w:tcPr>
            <w:tcW w:w="2800" w:type="dxa"/>
            <w:vAlign w:val="bottom"/>
            <w:gridSpan w:val="2"/>
            <w:shd w:val="clear" w:color="auto" w:fill="E5FF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3,397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E5FFFF"/>
          </w:tcPr>
          <w:p>
            <w:pPr>
              <w:spacing w:after="0" w:line="20" w:lineRule="exact"/>
              <w:rPr>
                <w:sz w:val="1"/>
                <w:szCs w:val="1"/>
                <w:color w:val="auto"/>
              </w:rPr>
            </w:pPr>
          </w:p>
        </w:tc>
        <w:tc>
          <w:tcPr>
            <w:tcW w:w="2100" w:type="dxa"/>
            <w:vAlign w:val="bottom"/>
            <w:shd w:val="clear" w:color="auto" w:fill="E5FF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2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00" w:type="dxa"/>
            <w:vAlign w:val="bottom"/>
            <w:gridSpan w:val="2"/>
            <w:shd w:val="clear" w:color="auto" w:fill="E5FF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100" w:type="dxa"/>
            <w:vAlign w:val="bottom"/>
            <w:tcBorders>
              <w:bottom w:val="single" w:sz="8" w:color="E5FF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E5FFFF"/>
          </w:tcPr>
          <w:p>
            <w:pPr>
              <w:spacing w:after="0"/>
              <w:rPr>
                <w:sz w:val="17"/>
                <w:szCs w:val="17"/>
                <w:color w:val="auto"/>
              </w:rPr>
            </w:pPr>
          </w:p>
        </w:tc>
        <w:tc>
          <w:tcPr>
            <w:tcW w:w="2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Capitalized interest</w:t>
            </w:r>
          </w:p>
        </w:tc>
        <w:tc>
          <w:tcPr>
            <w:tcW w:w="2100" w:type="dxa"/>
            <w:vAlign w:val="bottom"/>
            <w:tcBorders>
              <w:bottom w:val="single" w:sz="8" w:color="E5FF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800" w:type="dxa"/>
            <w:vAlign w:val="bottom"/>
            <w:gridSpan w:val="2"/>
            <w:shd w:val="clear" w:color="auto" w:fill="E5FF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E5FFFF"/>
            </w:tcBorders>
          </w:tcPr>
          <w:p>
            <w:pPr>
              <w:spacing w:after="0" w:line="20" w:lineRule="exact"/>
              <w:rPr>
                <w:sz w:val="1"/>
                <w:szCs w:val="1"/>
                <w:color w:val="auto"/>
              </w:rPr>
            </w:pPr>
          </w:p>
        </w:tc>
        <w:tc>
          <w:tcPr>
            <w:tcW w:w="210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260" w:hanging="451"/>
        <w:spacing w:after="0" w:line="24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142875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80"/>
          </w:cols>
          <w:pgMar w:left="138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17, 2015</w:t>
      </w:r>
      <w:r>
        <w:rPr>
          <w:sz w:val="20"/>
          <w:szCs w:val="20"/>
          <w:color w:val="auto"/>
        </w:rPr>
        <w:tab/>
      </w:r>
      <w:r>
        <w:rPr>
          <w:rFonts w:ascii="Arial" w:cs="Arial" w:eastAsia="Arial" w:hAnsi="Arial"/>
          <w:sz w:val="18"/>
          <w:szCs w:val="18"/>
          <w:color w:val="auto"/>
        </w:rPr>
        <w:t>By: /s/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19551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David M. Cote</w:t>
      </w:r>
    </w:p>
    <w:p>
      <w:pPr>
        <w:ind w:left="61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17, 2015</w:t>
      </w:r>
      <w:r>
        <w:rPr>
          <w:sz w:val="20"/>
          <w:szCs w:val="20"/>
          <w:color w:val="auto"/>
        </w:rPr>
        <w:tab/>
      </w:r>
      <w:r>
        <w:rPr>
          <w:rFonts w:ascii="Arial" w:cs="Arial" w:eastAsia="Arial" w:hAnsi="Arial"/>
          <w:sz w:val="18"/>
          <w:szCs w:val="18"/>
          <w:color w:val="auto"/>
        </w:rPr>
        <w:t>By: /s/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19551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Thomas A. Szlosek</w:t>
      </w:r>
    </w:p>
    <w:p>
      <w:pPr>
        <w:ind w:left="61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2015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17, 2015</w:t>
      </w:r>
      <w:r>
        <w:rPr>
          <w:sz w:val="20"/>
          <w:szCs w:val="20"/>
          <w:color w:val="auto"/>
        </w:rPr>
        <w:tab/>
      </w:r>
      <w:r>
        <w:rPr>
          <w:rFonts w:ascii="Arial" w:cs="Arial" w:eastAsia="Arial" w:hAnsi="Arial"/>
          <w:sz w:val="18"/>
          <w:szCs w:val="18"/>
          <w:color w:val="auto"/>
        </w:rPr>
        <w:t>By: /s/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1955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David M. Cote</w:t>
      </w:r>
    </w:p>
    <w:p>
      <w:pPr>
        <w:ind w:left="61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2015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17, 2015</w:t>
      </w:r>
      <w:r>
        <w:rPr>
          <w:sz w:val="20"/>
          <w:szCs w:val="20"/>
          <w:color w:val="auto"/>
        </w:rPr>
        <w:tab/>
      </w:r>
      <w:r>
        <w:rPr>
          <w:rFonts w:ascii="Arial" w:cs="Arial" w:eastAsia="Arial" w:hAnsi="Arial"/>
          <w:sz w:val="18"/>
          <w:szCs w:val="18"/>
          <w:color w:val="auto"/>
        </w:rPr>
        <w:t>By: /s/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19551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Thomas A. Szlosek</w:t>
      </w:r>
    </w:p>
    <w:p>
      <w:pPr>
        <w:ind w:left="61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upperLetter"/>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upperLetter"/>
      <w:start w:val="2"/>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Roman"/>
      <w:start w:val="1"/>
    </w:lvl>
    <w:lvl w:ilvl="1">
      <w:lvlJc w:val="left"/>
      <w:lvlText w:val="%2."/>
      <w:numFmt w:val="decimal"/>
      <w:start w:val="1"/>
    </w:lvl>
  </w:abstractNum>
  <w:abstractNum w:abstractNumId="13">
    <w:nsid w:val="431BD7B7"/>
    <w:multiLevelType w:val="hybridMultilevel"/>
    <w:lvl w:ilvl="0">
      <w:lvlJc w:val="left"/>
      <w:lvlText w:val="(%1)"/>
      <w:numFmt w:val="lowerRoman"/>
      <w:start w:val="2"/>
    </w:lvl>
    <w:lvl w:ilvl="1">
      <w:lvlJc w:val="left"/>
      <w:lvlText w:val="%2."/>
      <w:numFmt w:val="decimal"/>
      <w:start w:val="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24"/>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2020-01-24T00:13:51Z</dcterms:created>
  <dcterms:modified xsi:type="dcterms:W3CDTF">2020-01-24T00:13:51Z</dcterms:modified>
</cp:coreProperties>
</file>