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626110</wp:posOffset>
            </wp:positionV>
            <wp:extent cx="70408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603250</wp:posOffset>
            </wp:positionV>
            <wp:extent cx="70408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5715"/>
                    </a:xfrm>
                    <a:prstGeom prst="rect">
                      <a:avLst/>
                    </a:prstGeom>
                    <a:noFill/>
                  </pic:spPr>
                </pic:pic>
              </a:graphicData>
            </a:graphic>
          </wp:anchor>
        </w:drawing>
        <w:t>UNITED STATES</w:t>
      </w:r>
    </w:p>
    <w:p>
      <w:pPr>
        <w:jc w:val="center"/>
        <w:ind w:right="-7"/>
        <w:spacing w:after="0" w:line="206" w:lineRule="auto"/>
        <w:rPr>
          <w:sz w:val="20"/>
          <w:szCs w:val="20"/>
          <w:color w:val="auto"/>
        </w:rPr>
      </w:pPr>
      <w:r>
        <w:rPr>
          <w:rFonts w:ascii="Arial" w:cs="Arial" w:eastAsia="Arial" w:hAnsi="Arial"/>
          <w:sz w:val="10"/>
          <w:szCs w:val="10"/>
          <w:color w:val="auto"/>
        </w:rPr>
        <w:t>SECURITIES AND EXCHANGE COMMISSION</w:t>
      </w:r>
    </w:p>
    <w:p>
      <w:pPr>
        <w:jc w:val="center"/>
        <w:ind w:right="-7"/>
        <w:spacing w:after="0"/>
        <w:rPr>
          <w:sz w:val="20"/>
          <w:szCs w:val="20"/>
          <w:color w:val="auto"/>
        </w:rPr>
      </w:pPr>
      <w:r>
        <w:rPr>
          <w:rFonts w:ascii="Arial" w:cs="Arial" w:eastAsia="Arial" w:hAnsi="Arial"/>
          <w:sz w:val="10"/>
          <w:szCs w:val="10"/>
          <w:color w:val="auto"/>
        </w:rPr>
        <w:t>WASHINGTON, D.C. 20549</w:t>
      </w:r>
    </w:p>
    <w:p>
      <w:pPr>
        <w:spacing w:after="0" w:line="44" w:lineRule="exact"/>
        <w:rPr>
          <w:sz w:val="24"/>
          <w:szCs w:val="24"/>
          <w:color w:val="auto"/>
        </w:rPr>
      </w:pPr>
    </w:p>
    <w:p>
      <w:pPr>
        <w:ind w:left="5408"/>
        <w:spacing w:after="0"/>
        <w:rPr>
          <w:sz w:val="20"/>
          <w:szCs w:val="20"/>
          <w:color w:val="auto"/>
        </w:rPr>
      </w:pPr>
      <w:r>
        <w:rPr>
          <w:rFonts w:ascii="Arial" w:cs="Arial" w:eastAsia="Arial" w:hAnsi="Arial"/>
          <w:sz w:val="10"/>
          <w:szCs w:val="10"/>
          <w:b w:val="1"/>
          <w:bCs w:val="1"/>
          <w:color w:val="auto"/>
        </w:rPr>
        <w:t>Form 10-K</w:t>
      </w:r>
    </w:p>
    <w:p>
      <w:pPr>
        <w:spacing w:after="0" w:line="52" w:lineRule="exact"/>
        <w:rPr>
          <w:sz w:val="24"/>
          <w:szCs w:val="24"/>
          <w:color w:val="auto"/>
        </w:rPr>
      </w:pPr>
    </w:p>
    <w:p>
      <w:pPr>
        <w:ind w:left="4348"/>
        <w:spacing w:after="0"/>
        <w:rPr>
          <w:sz w:val="20"/>
          <w:szCs w:val="20"/>
          <w:color w:val="auto"/>
        </w:rPr>
      </w:pPr>
      <w:r>
        <w:rPr>
          <w:rFonts w:ascii="Arial" w:cs="Arial" w:eastAsia="Arial" w:hAnsi="Arial"/>
          <w:sz w:val="10"/>
          <w:szCs w:val="10"/>
          <w:color w:val="auto"/>
        </w:rPr>
        <w:t>x ANNUAL REPORT PURSUANT TO SECTION 13 OR 15(d)</w:t>
      </w:r>
    </w:p>
    <w:p>
      <w:pPr>
        <w:jc w:val="center"/>
        <w:ind w:right="-7"/>
        <w:spacing w:after="0" w:line="206" w:lineRule="auto"/>
        <w:rPr>
          <w:sz w:val="20"/>
          <w:szCs w:val="20"/>
          <w:color w:val="auto"/>
        </w:rPr>
      </w:pPr>
      <w:r>
        <w:rPr>
          <w:rFonts w:ascii="Arial" w:cs="Arial" w:eastAsia="Arial" w:hAnsi="Arial"/>
          <w:sz w:val="10"/>
          <w:szCs w:val="10"/>
          <w:color w:val="auto"/>
        </w:rPr>
        <w:t>OF THE SECURITIES EXCHANGE ACT OF 1934</w:t>
      </w:r>
    </w:p>
    <w:p>
      <w:pPr>
        <w:jc w:val="center"/>
        <w:ind w:right="-7"/>
        <w:spacing w:after="0" w:line="207" w:lineRule="auto"/>
        <w:rPr>
          <w:sz w:val="20"/>
          <w:szCs w:val="20"/>
          <w:color w:val="auto"/>
        </w:rPr>
      </w:pPr>
      <w:r>
        <w:rPr>
          <w:rFonts w:ascii="Arial" w:cs="Arial" w:eastAsia="Arial" w:hAnsi="Arial"/>
          <w:sz w:val="10"/>
          <w:szCs w:val="10"/>
          <w:color w:val="auto"/>
        </w:rPr>
        <w:t>For the fiscal year ended December 31, 2021</w:t>
      </w:r>
    </w:p>
    <w:p>
      <w:pPr>
        <w:jc w:val="center"/>
        <w:ind w:right="-7"/>
        <w:spacing w:after="0" w:line="202" w:lineRule="auto"/>
        <w:rPr>
          <w:sz w:val="20"/>
          <w:szCs w:val="20"/>
          <w:color w:val="auto"/>
        </w:rPr>
      </w:pPr>
      <w:r>
        <w:rPr>
          <w:rFonts w:ascii="Arial" w:cs="Arial" w:eastAsia="Arial" w:hAnsi="Arial"/>
          <w:sz w:val="10"/>
          <w:szCs w:val="10"/>
          <w:color w:val="auto"/>
        </w:rPr>
        <w:t>OR</w:t>
      </w:r>
    </w:p>
    <w:p>
      <w:pPr>
        <w:jc w:val="center"/>
        <w:ind w:right="-7"/>
        <w:spacing w:after="0" w:line="102"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TRANSITION REPORT PURSUANT TO SECTION 13 OR 15(d)</w:t>
      </w:r>
    </w:p>
    <w:p>
      <w:pPr>
        <w:ind w:left="4588"/>
        <w:spacing w:after="0" w:line="207" w:lineRule="auto"/>
        <w:rPr>
          <w:sz w:val="20"/>
          <w:szCs w:val="20"/>
          <w:color w:val="auto"/>
        </w:rPr>
      </w:pPr>
      <w:r>
        <w:rPr>
          <w:rFonts w:ascii="Arial" w:cs="Arial" w:eastAsia="Arial" w:hAnsi="Arial"/>
          <w:sz w:val="10"/>
          <w:szCs w:val="10"/>
          <w:color w:val="auto"/>
        </w:rPr>
        <w:t>OF THE SECURITIES EXCHANGE ACT OF 1934</w:t>
      </w:r>
    </w:p>
    <w:p>
      <w:pPr>
        <w:ind w:left="4928"/>
        <w:spacing w:after="0"/>
        <w:tabs>
          <w:tab w:leader="none" w:pos="6228" w:val="left"/>
        </w:tabs>
        <w:rPr>
          <w:sz w:val="20"/>
          <w:szCs w:val="20"/>
          <w:color w:val="auto"/>
        </w:rPr>
      </w:pPr>
      <w:r>
        <w:rPr>
          <w:rFonts w:ascii="Arial" w:cs="Arial" w:eastAsia="Arial" w:hAnsi="Arial"/>
          <w:sz w:val="10"/>
          <w:szCs w:val="10"/>
          <w:color w:val="auto"/>
        </w:rPr>
        <w:t>For the transition period from</w:t>
      </w:r>
      <w:r>
        <w:rPr>
          <w:sz w:val="20"/>
          <w:szCs w:val="20"/>
          <w:color w:val="auto"/>
        </w:rPr>
        <w:tab/>
      </w:r>
      <w:r>
        <w:rPr>
          <w:rFonts w:ascii="Arial" w:cs="Arial" w:eastAsia="Arial" w:hAnsi="Arial"/>
          <w:sz w:val="8"/>
          <w:szCs w:val="8"/>
          <w:color w:val="auto"/>
        </w:rPr>
        <w:t>to</w:t>
      </w:r>
    </w:p>
    <w:p>
      <w:pPr>
        <w:ind w:left="4968"/>
        <w:spacing w:after="0"/>
        <w:rPr>
          <w:sz w:val="20"/>
          <w:szCs w:val="20"/>
          <w:color w:val="auto"/>
        </w:rPr>
      </w:pPr>
      <w:r>
        <w:rPr>
          <w:rFonts w:ascii="Arial" w:cs="Arial" w:eastAsia="Arial" w:hAnsi="Arial"/>
          <w:sz w:val="10"/>
          <w:szCs w:val="10"/>
          <w:color w:val="auto"/>
        </w:rPr>
        <w:t>Commission file number 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3006090</wp:posOffset>
            </wp:positionH>
            <wp:positionV relativeFrom="paragraph">
              <wp:posOffset>39370</wp:posOffset>
            </wp:positionV>
            <wp:extent cx="1171575" cy="217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21717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8" w:type="dxa"/>
        <w:tblCellMar>
          <w:top w:w="0" w:type="dxa"/>
          <w:left w:w="0" w:type="dxa"/>
          <w:bottom w:w="0" w:type="dxa"/>
          <w:right w:w="0" w:type="dxa"/>
        </w:tblCellMar>
      </w:tblPr>
      <w:tr>
        <w:trPr>
          <w:trHeight w:val="336"/>
        </w:trPr>
        <w:tc>
          <w:tcPr>
            <w:tcW w:w="3800" w:type="dxa"/>
            <w:vAlign w:val="bottom"/>
          </w:tcPr>
          <w:p>
            <w:pPr>
              <w:spacing w:after="0"/>
              <w:rPr>
                <w:sz w:val="24"/>
                <w:szCs w:val="24"/>
                <w:color w:val="auto"/>
              </w:rPr>
            </w:pPr>
          </w:p>
        </w:tc>
        <w:tc>
          <w:tcPr>
            <w:tcW w:w="3800" w:type="dxa"/>
            <w:vAlign w:val="bottom"/>
            <w:gridSpan w:val="7"/>
          </w:tcPr>
          <w:p>
            <w:pPr>
              <w:jc w:val="center"/>
              <w:ind w:right="100"/>
              <w:spacing w:after="0"/>
              <w:rPr>
                <w:sz w:val="20"/>
                <w:szCs w:val="20"/>
                <w:color w:val="auto"/>
              </w:rPr>
            </w:pPr>
            <w:r>
              <w:rPr>
                <w:rFonts w:ascii="Arial" w:cs="Arial" w:eastAsia="Arial" w:hAnsi="Arial"/>
                <w:sz w:val="25"/>
                <w:szCs w:val="25"/>
                <w:b w:val="1"/>
                <w:bCs w:val="1"/>
                <w:color w:val="auto"/>
              </w:rPr>
              <w:t>Honeywell International Inc.</w:t>
            </w: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00" w:type="dxa"/>
            <w:vAlign w:val="bottom"/>
          </w:tcPr>
          <w:p>
            <w:pPr>
              <w:spacing w:after="0"/>
              <w:rPr>
                <w:sz w:val="13"/>
                <w:szCs w:val="13"/>
                <w:color w:val="auto"/>
              </w:rPr>
            </w:pPr>
          </w:p>
        </w:tc>
        <w:tc>
          <w:tcPr>
            <w:tcW w:w="3800" w:type="dxa"/>
            <w:vAlign w:val="bottom"/>
            <w:gridSpan w:val="7"/>
          </w:tcPr>
          <w:p>
            <w:pPr>
              <w:jc w:val="center"/>
              <w:ind w:right="100"/>
              <w:spacing w:after="0"/>
              <w:rPr>
                <w:sz w:val="20"/>
                <w:szCs w:val="20"/>
                <w:color w:val="auto"/>
              </w:rPr>
            </w:pPr>
            <w:r>
              <w:rPr>
                <w:rFonts w:ascii="Arial" w:cs="Arial" w:eastAsia="Arial" w:hAnsi="Arial"/>
                <w:sz w:val="10"/>
                <w:szCs w:val="10"/>
                <w:color w:val="auto"/>
                <w:w w:val="95"/>
              </w:rPr>
              <w:t>(Exact name of registrant as specified in its charter)</w:t>
            </w: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4"/>
        </w:trPr>
        <w:tc>
          <w:tcPr>
            <w:tcW w:w="3800" w:type="dxa"/>
            <w:vAlign w:val="bottom"/>
            <w:tcBorders>
              <w:bottom w:val="single" w:sz="8" w:color="auto"/>
            </w:tcBorders>
          </w:tcPr>
          <w:p>
            <w:pPr>
              <w:jc w:val="center"/>
              <w:ind w:left="1752"/>
              <w:spacing w:after="0"/>
              <w:rPr>
                <w:sz w:val="20"/>
                <w:szCs w:val="20"/>
                <w:color w:val="auto"/>
              </w:rPr>
            </w:pPr>
            <w:r>
              <w:rPr>
                <w:rFonts w:ascii="Arial" w:cs="Arial" w:eastAsia="Arial" w:hAnsi="Arial"/>
                <w:sz w:val="10"/>
                <w:szCs w:val="10"/>
                <w:color w:val="auto"/>
                <w:w w:val="94"/>
              </w:rPr>
              <w:t>Delaware</w:t>
            </w: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jc w:val="right"/>
              <w:ind w:right="2472"/>
              <w:spacing w:after="0"/>
              <w:rPr>
                <w:sz w:val="20"/>
                <w:szCs w:val="20"/>
                <w:color w:val="auto"/>
              </w:rPr>
            </w:pPr>
            <w:r>
              <w:rPr>
                <w:rFonts w:ascii="Arial" w:cs="Arial" w:eastAsia="Arial" w:hAnsi="Arial"/>
                <w:sz w:val="10"/>
                <w:szCs w:val="10"/>
                <w:color w:val="auto"/>
              </w:rPr>
              <w:t>22-2640650</w:t>
            </w:r>
          </w:p>
        </w:tc>
        <w:tc>
          <w:tcPr>
            <w:tcW w:w="20" w:type="dxa"/>
            <w:vAlign w:val="bottom"/>
            <w:tcBorders>
              <w:bottom w:val="single" w:sz="8" w:color="auto"/>
            </w:tcBorders>
          </w:tcPr>
          <w:p>
            <w:pPr>
              <w:spacing w:after="0"/>
              <w:rPr>
                <w:sz w:val="11"/>
                <w:szCs w:val="11"/>
                <w:color w:val="auto"/>
              </w:rPr>
            </w:pPr>
          </w:p>
        </w:tc>
      </w:tr>
      <w:tr>
        <w:trPr>
          <w:trHeight w:val="91"/>
        </w:trPr>
        <w:tc>
          <w:tcPr>
            <w:tcW w:w="3800" w:type="dxa"/>
            <w:vAlign w:val="bottom"/>
          </w:tcPr>
          <w:p>
            <w:pPr>
              <w:jc w:val="center"/>
              <w:ind w:left="1752"/>
              <w:spacing w:after="0" w:line="92" w:lineRule="exact"/>
              <w:rPr>
                <w:sz w:val="20"/>
                <w:szCs w:val="20"/>
                <w:color w:val="auto"/>
              </w:rPr>
            </w:pPr>
            <w:r>
              <w:rPr>
                <w:rFonts w:ascii="Arial" w:cs="Arial" w:eastAsia="Arial" w:hAnsi="Arial"/>
                <w:sz w:val="10"/>
                <w:szCs w:val="10"/>
                <w:color w:val="auto"/>
                <w:w w:val="95"/>
              </w:rPr>
              <w:t>(State or other jurisdiction of</w:t>
            </w: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700" w:type="dxa"/>
            <w:vAlign w:val="bottom"/>
            <w:gridSpan w:val="2"/>
          </w:tcPr>
          <w:p>
            <w:pPr>
              <w:jc w:val="center"/>
              <w:ind w:right="1920"/>
              <w:spacing w:after="0" w:line="92" w:lineRule="exact"/>
              <w:rPr>
                <w:sz w:val="20"/>
                <w:szCs w:val="20"/>
                <w:color w:val="auto"/>
              </w:rPr>
            </w:pPr>
            <w:r>
              <w:rPr>
                <w:rFonts w:ascii="Arial" w:cs="Arial" w:eastAsia="Arial" w:hAnsi="Arial"/>
                <w:sz w:val="10"/>
                <w:szCs w:val="10"/>
                <w:color w:val="auto"/>
                <w:w w:val="95"/>
              </w:rPr>
              <w:t>(I.R.S. Employer</w:t>
            </w:r>
          </w:p>
        </w:tc>
      </w:tr>
      <w:tr>
        <w:trPr>
          <w:trHeight w:val="115"/>
        </w:trPr>
        <w:tc>
          <w:tcPr>
            <w:tcW w:w="3800" w:type="dxa"/>
            <w:vAlign w:val="bottom"/>
          </w:tcPr>
          <w:p>
            <w:pPr>
              <w:jc w:val="center"/>
              <w:ind w:left="1752"/>
              <w:spacing w:after="0"/>
              <w:rPr>
                <w:sz w:val="20"/>
                <w:szCs w:val="20"/>
                <w:color w:val="auto"/>
              </w:rPr>
            </w:pPr>
            <w:r>
              <w:rPr>
                <w:rFonts w:ascii="Arial" w:cs="Arial" w:eastAsia="Arial" w:hAnsi="Arial"/>
                <w:sz w:val="10"/>
                <w:szCs w:val="10"/>
                <w:color w:val="auto"/>
                <w:w w:val="95"/>
              </w:rPr>
              <w:t>incorporation or organization)</w:t>
            </w: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700" w:type="dxa"/>
            <w:vAlign w:val="bottom"/>
            <w:gridSpan w:val="2"/>
          </w:tcPr>
          <w:p>
            <w:pPr>
              <w:jc w:val="center"/>
              <w:ind w:right="1900"/>
              <w:spacing w:after="0"/>
              <w:rPr>
                <w:sz w:val="20"/>
                <w:szCs w:val="20"/>
                <w:color w:val="auto"/>
              </w:rPr>
            </w:pPr>
            <w:r>
              <w:rPr>
                <w:rFonts w:ascii="Arial" w:cs="Arial" w:eastAsia="Arial" w:hAnsi="Arial"/>
                <w:sz w:val="10"/>
                <w:szCs w:val="10"/>
                <w:color w:val="auto"/>
                <w:w w:val="97"/>
              </w:rPr>
              <w:t>Identification No.)</w:t>
            </w:r>
          </w:p>
        </w:tc>
      </w:tr>
      <w:tr>
        <w:trPr>
          <w:trHeight w:val="171"/>
        </w:trPr>
        <w:tc>
          <w:tcPr>
            <w:tcW w:w="3800" w:type="dxa"/>
            <w:vAlign w:val="bottom"/>
          </w:tcPr>
          <w:p>
            <w:pPr>
              <w:jc w:val="center"/>
              <w:ind w:left="1752"/>
              <w:spacing w:after="0"/>
              <w:rPr>
                <w:sz w:val="20"/>
                <w:szCs w:val="20"/>
                <w:color w:val="auto"/>
              </w:rPr>
            </w:pPr>
            <w:r>
              <w:rPr>
                <w:rFonts w:ascii="Arial" w:cs="Arial" w:eastAsia="Arial" w:hAnsi="Arial"/>
                <w:sz w:val="10"/>
                <w:szCs w:val="10"/>
                <w:color w:val="auto"/>
                <w:w w:val="95"/>
              </w:rPr>
              <w:t>855 South Mint Street</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3800" w:type="dxa"/>
            <w:vAlign w:val="bottom"/>
            <w:tcBorders>
              <w:bottom w:val="single" w:sz="8" w:color="auto"/>
            </w:tcBorders>
          </w:tcPr>
          <w:p>
            <w:pPr>
              <w:ind w:left="2380"/>
              <w:spacing w:after="0"/>
              <w:rPr>
                <w:sz w:val="20"/>
                <w:szCs w:val="20"/>
                <w:color w:val="auto"/>
              </w:rPr>
            </w:pPr>
            <w:r>
              <w:rPr>
                <w:rFonts w:ascii="Arial" w:cs="Arial" w:eastAsia="Arial" w:hAnsi="Arial"/>
                <w:sz w:val="10"/>
                <w:szCs w:val="10"/>
                <w:color w:val="auto"/>
              </w:rPr>
              <w:t>Charlotte, North Carolina</w:t>
            </w: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jc w:val="right"/>
              <w:ind w:right="2592"/>
              <w:spacing w:after="0"/>
              <w:rPr>
                <w:sz w:val="20"/>
                <w:szCs w:val="20"/>
                <w:color w:val="auto"/>
              </w:rPr>
            </w:pPr>
            <w:r>
              <w:rPr>
                <w:rFonts w:ascii="Arial" w:cs="Arial" w:eastAsia="Arial" w:hAnsi="Arial"/>
                <w:sz w:val="10"/>
                <w:szCs w:val="10"/>
                <w:color w:val="auto"/>
              </w:rPr>
              <w:t>28202</w:t>
            </w:r>
          </w:p>
        </w:tc>
        <w:tc>
          <w:tcPr>
            <w:tcW w:w="20" w:type="dxa"/>
            <w:vAlign w:val="bottom"/>
            <w:tcBorders>
              <w:bottom w:val="single" w:sz="8" w:color="auto"/>
            </w:tcBorders>
          </w:tcPr>
          <w:p>
            <w:pPr>
              <w:spacing w:after="0"/>
              <w:rPr>
                <w:sz w:val="11"/>
                <w:szCs w:val="11"/>
                <w:color w:val="auto"/>
              </w:rPr>
            </w:pPr>
          </w:p>
        </w:tc>
      </w:tr>
      <w:tr>
        <w:trPr>
          <w:trHeight w:val="116"/>
        </w:trPr>
        <w:tc>
          <w:tcPr>
            <w:tcW w:w="3800" w:type="dxa"/>
            <w:vAlign w:val="bottom"/>
          </w:tcPr>
          <w:p>
            <w:pPr>
              <w:jc w:val="center"/>
              <w:ind w:left="1752"/>
              <w:spacing w:after="0"/>
              <w:rPr>
                <w:sz w:val="20"/>
                <w:szCs w:val="20"/>
                <w:color w:val="auto"/>
              </w:rPr>
            </w:pPr>
            <w:r>
              <w:rPr>
                <w:rFonts w:ascii="Arial" w:cs="Arial" w:eastAsia="Arial" w:hAnsi="Arial"/>
                <w:sz w:val="10"/>
                <w:szCs w:val="10"/>
                <w:color w:val="auto"/>
                <w:w w:val="95"/>
              </w:rPr>
              <w:t>(Address of principal executive offices)</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700" w:type="dxa"/>
            <w:vAlign w:val="bottom"/>
            <w:gridSpan w:val="2"/>
          </w:tcPr>
          <w:p>
            <w:pPr>
              <w:jc w:val="center"/>
              <w:ind w:right="1900"/>
              <w:spacing w:after="0"/>
              <w:rPr>
                <w:sz w:val="20"/>
                <w:szCs w:val="20"/>
                <w:color w:val="auto"/>
              </w:rPr>
            </w:pPr>
            <w:r>
              <w:rPr>
                <w:rFonts w:ascii="Arial" w:cs="Arial" w:eastAsia="Arial" w:hAnsi="Arial"/>
                <w:sz w:val="10"/>
                <w:szCs w:val="10"/>
                <w:color w:val="auto"/>
                <w:w w:val="93"/>
              </w:rPr>
              <w:t>(Zip Code)</w:t>
            </w:r>
          </w:p>
        </w:tc>
      </w:tr>
      <w:tr>
        <w:trPr>
          <w:trHeight w:val="216"/>
        </w:trPr>
        <w:tc>
          <w:tcPr>
            <w:tcW w:w="3800" w:type="dxa"/>
            <w:vAlign w:val="bottom"/>
          </w:tcPr>
          <w:p>
            <w:pPr>
              <w:spacing w:after="0"/>
              <w:rPr>
                <w:sz w:val="20"/>
                <w:szCs w:val="20"/>
                <w:color w:val="auto"/>
              </w:rPr>
            </w:pPr>
            <w:r>
              <w:rPr>
                <w:rFonts w:ascii="Arial" w:cs="Arial" w:eastAsia="Arial" w:hAnsi="Arial"/>
                <w:sz w:val="10"/>
                <w:szCs w:val="10"/>
                <w:color w:val="auto"/>
              </w:rPr>
              <w:t>Registrant’s telephone number, including area code (704) 627-6200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4"/>
        </w:trPr>
        <w:tc>
          <w:tcPr>
            <w:tcW w:w="3800" w:type="dxa"/>
            <w:vAlign w:val="bottom"/>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8"/>
        </w:trPr>
        <w:tc>
          <w:tcPr>
            <w:tcW w:w="3800" w:type="dxa"/>
            <w:vAlign w:val="bottom"/>
            <w:tcBorders>
              <w:bottom w:val="single" w:sz="8" w:color="auto"/>
            </w:tcBorders>
          </w:tcPr>
          <w:p>
            <w:pPr>
              <w:jc w:val="center"/>
              <w:ind w:left="992"/>
              <w:spacing w:after="0"/>
              <w:rPr>
                <w:sz w:val="20"/>
                <w:szCs w:val="20"/>
                <w:color w:val="auto"/>
              </w:rPr>
            </w:pPr>
            <w:r>
              <w:rPr>
                <w:rFonts w:ascii="Arial" w:cs="Arial" w:eastAsia="Arial" w:hAnsi="Arial"/>
                <w:sz w:val="10"/>
                <w:szCs w:val="10"/>
                <w:color w:val="auto"/>
                <w:w w:val="95"/>
              </w:rPr>
              <w:t>Title of Each Class</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color w:val="auto"/>
                <w:w w:val="93"/>
              </w:rPr>
              <w:t>Trading Symbols</w:t>
            </w: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jc w:val="center"/>
              <w:ind w:right="1132"/>
              <w:spacing w:after="0"/>
              <w:rPr>
                <w:sz w:val="20"/>
                <w:szCs w:val="20"/>
                <w:color w:val="auto"/>
              </w:rPr>
            </w:pPr>
            <w:r>
              <w:rPr>
                <w:rFonts w:ascii="Arial" w:cs="Arial" w:eastAsia="Arial" w:hAnsi="Arial"/>
                <w:sz w:val="10"/>
                <w:szCs w:val="10"/>
                <w:color w:val="auto"/>
                <w:w w:val="95"/>
              </w:rPr>
              <w:t>Name of each exchange on which registered</w:t>
            </w:r>
          </w:p>
        </w:tc>
        <w:tc>
          <w:tcPr>
            <w:tcW w:w="20" w:type="dxa"/>
            <w:vAlign w:val="bottom"/>
          </w:tcPr>
          <w:p>
            <w:pPr>
              <w:spacing w:after="0"/>
              <w:rPr>
                <w:sz w:val="16"/>
                <w:szCs w:val="16"/>
                <w:color w:val="auto"/>
              </w:rPr>
            </w:pPr>
          </w:p>
        </w:tc>
      </w:tr>
      <w:tr>
        <w:trPr>
          <w:trHeight w:val="116"/>
        </w:trPr>
        <w:tc>
          <w:tcPr>
            <w:tcW w:w="3800" w:type="dxa"/>
            <w:vAlign w:val="bottom"/>
          </w:tcPr>
          <w:p>
            <w:pPr>
              <w:jc w:val="center"/>
              <w:ind w:left="972"/>
              <w:spacing w:after="0"/>
              <w:rPr>
                <w:sz w:val="20"/>
                <w:szCs w:val="20"/>
                <w:color w:val="auto"/>
              </w:rPr>
            </w:pPr>
            <w:r>
              <w:rPr>
                <w:rFonts w:ascii="Arial" w:cs="Arial" w:eastAsia="Arial" w:hAnsi="Arial"/>
                <w:sz w:val="10"/>
                <w:szCs w:val="10"/>
                <w:color w:val="auto"/>
                <w:w w:val="95"/>
              </w:rPr>
              <w:t>Common Stock, par value $1 per share*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w:t>
            </w:r>
          </w:p>
        </w:tc>
        <w:tc>
          <w:tcPr>
            <w:tcW w:w="3700" w:type="dxa"/>
            <w:vAlign w:val="bottom"/>
            <w:gridSpan w:val="2"/>
          </w:tcPr>
          <w:p>
            <w:pPr>
              <w:jc w:val="center"/>
              <w:ind w:right="1200"/>
              <w:spacing w:after="0"/>
              <w:rPr>
                <w:sz w:val="20"/>
                <w:szCs w:val="20"/>
                <w:color w:val="auto"/>
              </w:rPr>
            </w:pPr>
            <w:r>
              <w:rPr>
                <w:rFonts w:ascii="Arial" w:cs="Arial" w:eastAsia="Arial" w:hAnsi="Arial"/>
                <w:sz w:val="10"/>
                <w:szCs w:val="10"/>
                <w:color w:val="auto"/>
                <w:w w:val="95"/>
              </w:rPr>
              <w:t>The Nasdaq Stock Market LLC</w:t>
            </w:r>
          </w:p>
        </w:tc>
      </w:tr>
      <w:tr>
        <w:trPr>
          <w:trHeight w:val="126"/>
        </w:trPr>
        <w:tc>
          <w:tcPr>
            <w:tcW w:w="3800" w:type="dxa"/>
            <w:vAlign w:val="bottom"/>
          </w:tcPr>
          <w:p>
            <w:pPr>
              <w:jc w:val="center"/>
              <w:ind w:left="972"/>
              <w:spacing w:after="0"/>
              <w:rPr>
                <w:sz w:val="20"/>
                <w:szCs w:val="20"/>
                <w:color w:val="auto"/>
              </w:rPr>
            </w:pPr>
            <w:r>
              <w:rPr>
                <w:rFonts w:ascii="Arial" w:cs="Arial" w:eastAsia="Arial" w:hAnsi="Arial"/>
                <w:sz w:val="10"/>
                <w:szCs w:val="10"/>
                <w:color w:val="auto"/>
                <w:w w:val="96"/>
              </w:rPr>
              <w:t>1.300% Senior Notes due 2023</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23A</w:t>
            </w:r>
          </w:p>
        </w:tc>
        <w:tc>
          <w:tcPr>
            <w:tcW w:w="3700" w:type="dxa"/>
            <w:vAlign w:val="bottom"/>
            <w:gridSpan w:val="2"/>
          </w:tcPr>
          <w:p>
            <w:pPr>
              <w:jc w:val="center"/>
              <w:ind w:right="1200"/>
              <w:spacing w:after="0"/>
              <w:rPr>
                <w:sz w:val="20"/>
                <w:szCs w:val="20"/>
                <w:color w:val="auto"/>
              </w:rPr>
            </w:pPr>
            <w:r>
              <w:rPr>
                <w:rFonts w:ascii="Arial" w:cs="Arial" w:eastAsia="Arial" w:hAnsi="Arial"/>
                <w:sz w:val="10"/>
                <w:szCs w:val="10"/>
                <w:color w:val="auto"/>
                <w:w w:val="95"/>
              </w:rPr>
              <w:t>The Nasdaq Stock Market LLC</w:t>
            </w:r>
          </w:p>
        </w:tc>
      </w:tr>
      <w:tr>
        <w:trPr>
          <w:trHeight w:val="126"/>
        </w:trPr>
        <w:tc>
          <w:tcPr>
            <w:tcW w:w="3800" w:type="dxa"/>
            <w:vAlign w:val="bottom"/>
          </w:tcPr>
          <w:p>
            <w:pPr>
              <w:jc w:val="center"/>
              <w:ind w:left="972"/>
              <w:spacing w:after="0"/>
              <w:rPr>
                <w:sz w:val="20"/>
                <w:szCs w:val="20"/>
                <w:color w:val="auto"/>
              </w:rPr>
            </w:pPr>
            <w:r>
              <w:rPr>
                <w:rFonts w:ascii="Arial" w:cs="Arial" w:eastAsia="Arial" w:hAnsi="Arial"/>
                <w:sz w:val="10"/>
                <w:szCs w:val="10"/>
                <w:color w:val="auto"/>
                <w:w w:val="96"/>
              </w:rPr>
              <w:t>0.000% Senior Notes due 2024</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24A</w:t>
            </w:r>
          </w:p>
        </w:tc>
        <w:tc>
          <w:tcPr>
            <w:tcW w:w="3700" w:type="dxa"/>
            <w:vAlign w:val="bottom"/>
            <w:gridSpan w:val="2"/>
          </w:tcPr>
          <w:p>
            <w:pPr>
              <w:jc w:val="center"/>
              <w:ind w:right="1200"/>
              <w:spacing w:after="0"/>
              <w:rPr>
                <w:sz w:val="20"/>
                <w:szCs w:val="20"/>
                <w:color w:val="auto"/>
              </w:rPr>
            </w:pPr>
            <w:r>
              <w:rPr>
                <w:rFonts w:ascii="Arial" w:cs="Arial" w:eastAsia="Arial" w:hAnsi="Arial"/>
                <w:sz w:val="10"/>
                <w:szCs w:val="10"/>
                <w:color w:val="auto"/>
                <w:w w:val="95"/>
              </w:rPr>
              <w:t>The Nasdaq Stock Market LLC</w:t>
            </w:r>
          </w:p>
        </w:tc>
      </w:tr>
      <w:tr>
        <w:trPr>
          <w:trHeight w:val="126"/>
        </w:trPr>
        <w:tc>
          <w:tcPr>
            <w:tcW w:w="3800" w:type="dxa"/>
            <w:vAlign w:val="bottom"/>
          </w:tcPr>
          <w:p>
            <w:pPr>
              <w:jc w:val="center"/>
              <w:ind w:left="972"/>
              <w:spacing w:after="0"/>
              <w:rPr>
                <w:sz w:val="20"/>
                <w:szCs w:val="20"/>
                <w:color w:val="auto"/>
              </w:rPr>
            </w:pPr>
            <w:r>
              <w:rPr>
                <w:rFonts w:ascii="Arial" w:cs="Arial" w:eastAsia="Arial" w:hAnsi="Arial"/>
                <w:sz w:val="10"/>
                <w:szCs w:val="10"/>
                <w:color w:val="auto"/>
                <w:w w:val="96"/>
              </w:rPr>
              <w:t>2.250% Senior Notes due 2028</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28A</w:t>
            </w:r>
          </w:p>
        </w:tc>
        <w:tc>
          <w:tcPr>
            <w:tcW w:w="3700" w:type="dxa"/>
            <w:vAlign w:val="bottom"/>
            <w:gridSpan w:val="2"/>
          </w:tcPr>
          <w:p>
            <w:pPr>
              <w:jc w:val="center"/>
              <w:ind w:right="1200"/>
              <w:spacing w:after="0"/>
              <w:rPr>
                <w:sz w:val="20"/>
                <w:szCs w:val="20"/>
                <w:color w:val="auto"/>
              </w:rPr>
            </w:pPr>
            <w:r>
              <w:rPr>
                <w:rFonts w:ascii="Arial" w:cs="Arial" w:eastAsia="Arial" w:hAnsi="Arial"/>
                <w:sz w:val="10"/>
                <w:szCs w:val="10"/>
                <w:color w:val="auto"/>
                <w:w w:val="95"/>
              </w:rPr>
              <w:t>The Nasdaq Stock Market LLC</w:t>
            </w:r>
          </w:p>
        </w:tc>
      </w:tr>
      <w:tr>
        <w:trPr>
          <w:trHeight w:val="126"/>
        </w:trPr>
        <w:tc>
          <w:tcPr>
            <w:tcW w:w="3800" w:type="dxa"/>
            <w:vAlign w:val="bottom"/>
          </w:tcPr>
          <w:p>
            <w:pPr>
              <w:jc w:val="center"/>
              <w:ind w:left="972"/>
              <w:spacing w:after="0"/>
              <w:rPr>
                <w:sz w:val="20"/>
                <w:szCs w:val="20"/>
                <w:color w:val="auto"/>
              </w:rPr>
            </w:pPr>
            <w:r>
              <w:rPr>
                <w:rFonts w:ascii="Arial" w:cs="Arial" w:eastAsia="Arial" w:hAnsi="Arial"/>
                <w:sz w:val="10"/>
                <w:szCs w:val="10"/>
                <w:color w:val="auto"/>
                <w:w w:val="96"/>
              </w:rPr>
              <w:t>0.750% Senior Notes due 2032</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3"/>
              </w:rPr>
              <w:t>HON 32</w:t>
            </w:r>
          </w:p>
        </w:tc>
        <w:tc>
          <w:tcPr>
            <w:tcW w:w="3700" w:type="dxa"/>
            <w:vAlign w:val="bottom"/>
            <w:gridSpan w:val="2"/>
          </w:tcPr>
          <w:p>
            <w:pPr>
              <w:jc w:val="center"/>
              <w:ind w:right="1200"/>
              <w:spacing w:after="0"/>
              <w:rPr>
                <w:sz w:val="20"/>
                <w:szCs w:val="20"/>
                <w:color w:val="auto"/>
              </w:rPr>
            </w:pPr>
            <w:r>
              <w:rPr>
                <w:rFonts w:ascii="Arial" w:cs="Arial" w:eastAsia="Arial" w:hAnsi="Arial"/>
                <w:sz w:val="10"/>
                <w:szCs w:val="10"/>
                <w:color w:val="auto"/>
                <w:w w:val="95"/>
              </w:rPr>
              <w:t>The Nasdaq Stock Market LLC</w:t>
            </w:r>
          </w:p>
        </w:tc>
      </w:tr>
    </w:tbl>
    <w:p>
      <w:pPr>
        <w:spacing w:after="0" w:line="49" w:lineRule="exact"/>
        <w:rPr>
          <w:sz w:val="24"/>
          <w:szCs w:val="24"/>
          <w:color w:val="auto"/>
        </w:rPr>
      </w:pPr>
    </w:p>
    <w:p>
      <w:pPr>
        <w:ind w:left="48" w:hanging="48"/>
        <w:spacing w:after="0"/>
        <w:tabs>
          <w:tab w:leader="none" w:pos="48" w:val="left"/>
        </w:tabs>
        <w:numPr>
          <w:ilvl w:val="0"/>
          <w:numId w:val="1"/>
        </w:numPr>
        <w:rPr>
          <w:rFonts w:ascii="Arial" w:cs="Arial" w:eastAsia="Arial" w:hAnsi="Arial"/>
          <w:sz w:val="8"/>
          <w:szCs w:val="8"/>
          <w:color w:val="auto"/>
        </w:rPr>
      </w:pPr>
      <w:r>
        <w:rPr>
          <w:rFonts w:ascii="Arial" w:cs="Arial" w:eastAsia="Arial" w:hAnsi="Arial"/>
          <w:sz w:val="8"/>
          <w:szCs w:val="8"/>
          <w:color w:val="auto"/>
        </w:rPr>
        <w:t>The common stock is also listed on the London Stock Exchange.</w:t>
      </w:r>
    </w:p>
    <w:p>
      <w:pPr>
        <w:spacing w:after="0" w:line="50"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10"/>
          <w:szCs w:val="10"/>
          <w:color w:val="auto"/>
        </w:rPr>
        <w:t>Securities registered pursuant to Section 12(g) of the Act: None</w:t>
      </w:r>
    </w:p>
    <w:p>
      <w:pPr>
        <w:spacing w:after="0" w:line="4" w:lineRule="exact"/>
        <w:rPr>
          <w:rFonts w:ascii="Arial" w:cs="Arial" w:eastAsia="Arial" w:hAnsi="Arial"/>
          <w:sz w:val="8"/>
          <w:szCs w:val="8"/>
          <w:color w:val="auto"/>
        </w:rPr>
      </w:pPr>
    </w:p>
    <w:p>
      <w:pPr>
        <w:ind w:left="8"/>
        <w:spacing w:after="0" w:line="115" w:lineRule="exact"/>
        <w:rPr>
          <w:rFonts w:ascii="Arial" w:cs="Arial" w:eastAsia="Arial" w:hAnsi="Arial"/>
          <w:sz w:val="8"/>
          <w:szCs w:val="8"/>
          <w:color w:val="auto"/>
        </w:rPr>
      </w:pPr>
      <w:r>
        <w:rPr>
          <w:rFonts w:ascii="Arial" w:cs="Arial" w:eastAsia="Arial" w:hAnsi="Arial"/>
          <w:sz w:val="10"/>
          <w:szCs w:val="10"/>
          <w:color w:val="auto"/>
        </w:rPr>
        <w:t xml:space="preserve">Indicate by check mark if the Registrant is a well-known seasoned issuer, as defined in Rule 405 of the Securities Act. Yes x No </w:t>
      </w:r>
      <w:r>
        <w:rPr>
          <w:rFonts w:ascii="MS PGothic" w:cs="MS PGothic" w:eastAsia="MS PGothic" w:hAnsi="MS PGothic"/>
          <w:sz w:val="10"/>
          <w:szCs w:val="10"/>
          <w:color w:val="auto"/>
        </w:rPr>
        <w:t>☐</w:t>
      </w:r>
    </w:p>
    <w:p>
      <w:pPr>
        <w:spacing w:after="0" w:line="34" w:lineRule="exact"/>
        <w:rPr>
          <w:rFonts w:ascii="Arial" w:cs="Arial" w:eastAsia="Arial" w:hAnsi="Arial"/>
          <w:sz w:val="8"/>
          <w:szCs w:val="8"/>
          <w:color w:val="auto"/>
        </w:rPr>
      </w:pPr>
    </w:p>
    <w:p>
      <w:pPr>
        <w:ind w:left="8"/>
        <w:spacing w:after="0" w:line="115" w:lineRule="exact"/>
        <w:rPr>
          <w:rFonts w:ascii="Arial" w:cs="Arial" w:eastAsia="Arial" w:hAnsi="Arial"/>
          <w:sz w:val="8"/>
          <w:szCs w:val="8"/>
          <w:color w:val="auto"/>
        </w:rPr>
      </w:pPr>
      <w:r>
        <w:rPr>
          <w:rFonts w:ascii="Arial" w:cs="Arial" w:eastAsia="Arial" w:hAnsi="Arial"/>
          <w:sz w:val="10"/>
          <w:szCs w:val="10"/>
          <w:color w:val="auto"/>
        </w:rPr>
        <w:t xml:space="preserve">Indicate by check mark if the Registrant is not required to file reports pursuant to Section 13 or Section 15(d)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x</w:t>
      </w:r>
    </w:p>
    <w:p>
      <w:pPr>
        <w:spacing w:after="0" w:line="57" w:lineRule="exact"/>
        <w:rPr>
          <w:sz w:val="24"/>
          <w:szCs w:val="24"/>
          <w:color w:val="auto"/>
        </w:rPr>
      </w:pPr>
    </w:p>
    <w:p>
      <w:pPr>
        <w:ind w:left="8" w:right="20"/>
        <w:spacing w:after="0" w:line="112"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0"/>
          <w:szCs w:val="10"/>
          <w:color w:val="auto"/>
        </w:rPr>
        <w:t>☐</w:t>
      </w:r>
    </w:p>
    <w:p>
      <w:pPr>
        <w:spacing w:after="0" w:line="20" w:lineRule="exact"/>
        <w:rPr>
          <w:sz w:val="24"/>
          <w:szCs w:val="24"/>
          <w:color w:val="auto"/>
        </w:rPr>
      </w:pPr>
    </w:p>
    <w:p>
      <w:pPr>
        <w:ind w:left="8"/>
        <w:spacing w:after="0" w:line="112"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0"/>
          <w:szCs w:val="10"/>
          <w:color w:val="auto"/>
        </w:rPr>
        <w:t>☐</w:t>
      </w:r>
    </w:p>
    <w:p>
      <w:pPr>
        <w:spacing w:after="0" w:line="20" w:lineRule="exact"/>
        <w:rPr>
          <w:sz w:val="24"/>
          <w:szCs w:val="24"/>
          <w:color w:val="auto"/>
        </w:rPr>
      </w:pPr>
    </w:p>
    <w:p>
      <w:pPr>
        <w:ind w:left="8" w:right="20"/>
        <w:spacing w:after="0" w:line="223"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ind w:left="8" w:right="220" w:firstLine="12"/>
        <w:spacing w:after="0" w:line="158" w:lineRule="exact"/>
        <w:rPr>
          <w:sz w:val="20"/>
          <w:szCs w:val="20"/>
          <w:color w:val="auto"/>
        </w:rPr>
      </w:pPr>
      <w:r>
        <w:rPr>
          <w:rFonts w:ascii="Arial" w:cs="Arial" w:eastAsia="Arial" w:hAnsi="Arial"/>
          <w:sz w:val="10"/>
          <w:szCs w:val="10"/>
          <w:color w:val="auto"/>
        </w:rPr>
        <w:t xml:space="preserve">Large accelerated filer x 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Non-accelerated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 </w:t>
      </w:r>
      <w:r>
        <w:rPr>
          <w:rFonts w:ascii="MS PGothic" w:cs="MS PGothic" w:eastAsia="MS PGothic" w:hAnsi="MS PGothic"/>
          <w:sz w:val="10"/>
          <w:szCs w:val="10"/>
          <w:color w:val="auto"/>
        </w:rPr>
        <w:t>☐</w:t>
      </w:r>
      <w:r>
        <w:rPr>
          <w:rFonts w:ascii="Arial" w:cs="Arial" w:eastAsia="Arial" w:hAnsi="Arial"/>
          <w:sz w:val="10"/>
          <w:szCs w:val="10"/>
          <w:color w:val="auto"/>
        </w:rPr>
        <w:t xml:space="preserve"> Emerging growth company </w:t>
      </w:r>
      <w:r>
        <w:rPr>
          <w:rFonts w:ascii="MS PGothic" w:cs="MS PGothic" w:eastAsia="MS PGothic" w:hAnsi="MS PGothic"/>
          <w:sz w:val="10"/>
          <w:szCs w:val="10"/>
          <w:color w:val="auto"/>
        </w:rPr>
        <w:t>☐</w:t>
      </w:r>
      <w:r>
        <w:rPr>
          <w:rFonts w:ascii="Arial" w:cs="Arial" w:eastAsia="Arial" w:hAnsi="Arial"/>
          <w:sz w:val="10"/>
          <w:szCs w:val="10"/>
          <w:color w:val="auto"/>
        </w:rPr>
        <w:t xml:space="preserve"> 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p>
    <w:p>
      <w:pPr>
        <w:ind w:left="8"/>
        <w:spacing w:after="0" w:line="223" w:lineRule="auto"/>
        <w:rPr>
          <w:sz w:val="20"/>
          <w:szCs w:val="20"/>
          <w:color w:val="auto"/>
        </w:rPr>
      </w:pPr>
      <w:r>
        <w:rPr>
          <w:rFonts w:ascii="Arial" w:cs="Arial" w:eastAsia="Arial" w:hAnsi="Arial"/>
          <w:sz w:val="10"/>
          <w:szCs w:val="1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4" w:lineRule="exact"/>
        <w:rPr>
          <w:sz w:val="24"/>
          <w:szCs w:val="24"/>
          <w:color w:val="auto"/>
        </w:rPr>
      </w:pPr>
    </w:p>
    <w:p>
      <w:pPr>
        <w:ind w:left="8"/>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x</w:t>
      </w:r>
    </w:p>
    <w:p>
      <w:pPr>
        <w:spacing w:after="0" w:line="53" w:lineRule="exact"/>
        <w:rPr>
          <w:sz w:val="24"/>
          <w:szCs w:val="24"/>
          <w:color w:val="auto"/>
        </w:rPr>
      </w:pPr>
    </w:p>
    <w:p>
      <w:pPr>
        <w:ind w:left="8"/>
        <w:spacing w:after="0"/>
        <w:rPr>
          <w:sz w:val="20"/>
          <w:szCs w:val="20"/>
          <w:color w:val="auto"/>
        </w:rPr>
      </w:pPr>
      <w:r>
        <w:rPr>
          <w:rFonts w:ascii="Arial" w:cs="Arial" w:eastAsia="Arial" w:hAnsi="Arial"/>
          <w:sz w:val="10"/>
          <w:szCs w:val="10"/>
          <w:color w:val="auto"/>
        </w:rPr>
        <w:t>The aggregate market value of the voting stock held by nonaffiliates of the Registrant was approximately $152.8 billion at June 30, 2021.</w:t>
      </w:r>
    </w:p>
    <w:p>
      <w:pPr>
        <w:spacing w:after="0" w:line="29" w:lineRule="exact"/>
        <w:rPr>
          <w:sz w:val="24"/>
          <w:szCs w:val="24"/>
          <w:color w:val="auto"/>
        </w:rPr>
      </w:pPr>
    </w:p>
    <w:p>
      <w:pPr>
        <w:ind w:left="8"/>
        <w:spacing w:after="0"/>
        <w:rPr>
          <w:sz w:val="20"/>
          <w:szCs w:val="20"/>
          <w:color w:val="auto"/>
        </w:rPr>
      </w:pPr>
      <w:r>
        <w:rPr>
          <w:rFonts w:ascii="Arial" w:cs="Arial" w:eastAsia="Arial" w:hAnsi="Arial"/>
          <w:sz w:val="10"/>
          <w:szCs w:val="10"/>
          <w:color w:val="auto"/>
        </w:rPr>
        <w:t>There were 685,818,771 shares of Common Stock outstanding at January 28, 2022.</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0"/>
          <w:szCs w:val="10"/>
          <w:u w:val="single" w:color="auto"/>
          <w:color w:val="auto"/>
        </w:rPr>
        <w:t>Documents Incorporated by Reference</w:t>
      </w:r>
    </w:p>
    <w:p>
      <w:pPr>
        <w:spacing w:after="0" w:line="20" w:lineRule="exact"/>
        <w:rPr>
          <w:sz w:val="24"/>
          <w:szCs w:val="24"/>
          <w:color w:val="auto"/>
        </w:rPr>
      </w:pPr>
    </w:p>
    <w:p>
      <w:pPr>
        <w:jc w:val="center"/>
        <w:ind w:right="-7"/>
        <w:spacing w:after="0"/>
        <w:rPr>
          <w:sz w:val="20"/>
          <w:szCs w:val="20"/>
          <w:color w:val="auto"/>
        </w:rPr>
      </w:pPr>
      <w:r>
        <w:rPr>
          <w:rFonts w:ascii="Arial" w:cs="Arial" w:eastAsia="Arial" w:hAnsi="Arial"/>
          <w:sz w:val="10"/>
          <w:szCs w:val="10"/>
          <w:color w:val="auto"/>
        </w:rPr>
        <w:t>Part III: Proxy Statement for Annual Meeting of Shareowners to be held April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421005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67945</wp:posOffset>
            </wp:positionV>
            <wp:extent cx="70408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45085</wp:posOffset>
            </wp:positionV>
            <wp:extent cx="70408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5715"/>
                    </a:xfrm>
                    <a:prstGeom prst="rect">
                      <a:avLst/>
                    </a:prstGeom>
                    <a:noFill/>
                  </pic:spPr>
                </pic:pic>
              </a:graphicData>
            </a:graphic>
          </wp:anchor>
        </w:drawing>
      </w:r>
    </w:p>
    <w:p>
      <w:pPr>
        <w:sectPr>
          <w:pgSz w:w="11900" w:h="16838" w:orient="portrait"/>
          <w:cols w:equalWidth="0" w:num="1">
            <w:col w:w="11308"/>
          </w:cols>
          <w:pgMar w:left="292" w:top="1090" w:right="299" w:bottom="1440" w:gutter="0" w:footer="0" w:header="0"/>
        </w:sectPr>
      </w:pPr>
    </w:p>
    <w:bookmarkStart w:id="1" w:name="page2"/>
    <w:bookmarkEnd w:id="1"/>
    <w:p>
      <w:pPr>
        <w:spacing w:after="0"/>
        <w:rPr>
          <w:sz w:val="20"/>
          <w:szCs w:val="20"/>
          <w:color w:val="auto"/>
        </w:rPr>
      </w:pPr>
      <w:r>
        <w:rPr>
          <w:rFonts w:ascii="Arial" w:cs="Arial" w:eastAsia="Arial" w:hAnsi="Arial"/>
          <w:sz w:val="24"/>
          <w:szCs w:val="24"/>
          <w:b w:val="1"/>
          <w:bCs w:val="1"/>
          <w:color w:val="auto"/>
        </w:rPr>
        <w:t>TABLE OF CONTENTS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D7282F"/>
        </w:rPr>
        <w:t>ORGANIZATION OF OUR ANNUAL REPORT ON FORM 10-K</w:t>
      </w:r>
    </w:p>
    <w:p>
      <w:pPr>
        <w:spacing w:after="0" w:line="155" w:lineRule="exact"/>
        <w:rPr>
          <w:sz w:val="20"/>
          <w:szCs w:val="20"/>
          <w:color w:val="auto"/>
        </w:rPr>
      </w:pPr>
    </w:p>
    <w:p>
      <w:pPr>
        <w:spacing w:after="0" w:line="245" w:lineRule="auto"/>
        <w:rPr>
          <w:sz w:val="20"/>
          <w:szCs w:val="20"/>
          <w:color w:val="auto"/>
        </w:rPr>
      </w:pPr>
      <w:r>
        <w:rPr>
          <w:rFonts w:ascii="Arial" w:cs="Arial" w:eastAsia="Arial" w:hAnsi="Arial"/>
          <w:sz w:val="11"/>
          <w:szCs w:val="11"/>
          <w:color w:val="auto"/>
        </w:rPr>
        <w:t>The order and presentation of content in our Annual Report on Form 10-K (Form 10-K) differs from the traditional U.S. Securities and Exchange Commission (SEC) Form 10-K format. We believe that our format improves readability and better presents how we organize and manage our business. See Form 10-K Cross-Reference Index for a cross-reference to the traditional SEC Form 10-K format.</w:t>
      </w:r>
    </w:p>
    <w:p>
      <w:pPr>
        <w:spacing w:after="0" w:line="93" w:lineRule="exact"/>
        <w:rPr>
          <w:sz w:val="20"/>
          <w:szCs w:val="20"/>
          <w:color w:val="auto"/>
        </w:rPr>
      </w:pPr>
    </w:p>
    <w:p>
      <w:pPr>
        <w:ind w:left="720" w:hanging="161"/>
        <w:spacing w:after="0"/>
        <w:tabs>
          <w:tab w:leader="none" w:pos="720" w:val="left"/>
        </w:tabs>
        <w:numPr>
          <w:ilvl w:val="0"/>
          <w:numId w:val="2"/>
        </w:numPr>
        <w:rPr>
          <w:rFonts w:ascii="Arial" w:cs="Arial" w:eastAsia="Arial" w:hAnsi="Arial"/>
          <w:sz w:val="11"/>
          <w:szCs w:val="11"/>
          <w:color w:val="auto"/>
        </w:rPr>
      </w:pPr>
      <w:hyperlink w:anchor="page2">
        <w:r>
          <w:rPr>
            <w:rFonts w:ascii="Arial" w:cs="Arial" w:eastAsia="Arial" w:hAnsi="Arial"/>
            <w:sz w:val="11"/>
            <w:szCs w:val="11"/>
            <w:color w:val="auto"/>
          </w:rPr>
          <w:t>Cautionary Statement About Forward-Looking Statements</w:t>
        </w:r>
      </w:hyperlink>
    </w:p>
    <w:p>
      <w:pPr>
        <w:spacing w:after="0" w:line="14" w:lineRule="exact"/>
        <w:rPr>
          <w:rFonts w:ascii="Arial" w:cs="Arial" w:eastAsia="Arial" w:hAnsi="Arial"/>
          <w:sz w:val="11"/>
          <w:szCs w:val="11"/>
          <w:color w:val="auto"/>
        </w:rPr>
      </w:pPr>
    </w:p>
    <w:p>
      <w:pPr>
        <w:ind w:left="560"/>
        <w:spacing w:after="0"/>
        <w:rPr>
          <w:rFonts w:ascii="Arial" w:cs="Arial" w:eastAsia="Arial" w:hAnsi="Arial"/>
          <w:sz w:val="11"/>
          <w:szCs w:val="11"/>
          <w:b w:val="1"/>
          <w:bCs w:val="1"/>
          <w:color w:val="D7282F"/>
        </w:rPr>
      </w:pPr>
      <w:hyperlink w:anchor="page3">
        <w:r>
          <w:rPr>
            <w:rFonts w:ascii="Arial" w:cs="Arial" w:eastAsia="Arial" w:hAnsi="Arial"/>
            <w:sz w:val="11"/>
            <w:szCs w:val="11"/>
            <w:b w:val="1"/>
            <w:bCs w:val="1"/>
            <w:color w:val="D7282F"/>
          </w:rPr>
          <w:t xml:space="preserve">2  </w:t>
        </w:r>
        <w:r>
          <w:rPr>
            <w:rFonts w:ascii="Arial" w:cs="Arial" w:eastAsia="Arial" w:hAnsi="Arial"/>
            <w:sz w:val="11"/>
            <w:szCs w:val="11"/>
            <w:color w:val="000000"/>
          </w:rPr>
          <w:t>About Honeywell</w:t>
        </w:r>
      </w:hyperlink>
    </w:p>
    <w:p>
      <w:pPr>
        <w:spacing w:after="0" w:line="20" w:lineRule="exact"/>
        <w:rPr>
          <w:rFonts w:ascii="Arial" w:cs="Arial" w:eastAsia="Arial" w:hAnsi="Arial"/>
          <w:sz w:val="11"/>
          <w:szCs w:val="11"/>
          <w:b w:val="1"/>
          <w:bCs w:val="1"/>
          <w:color w:val="D7282F"/>
        </w:rPr>
      </w:pPr>
      <w:r>
        <w:rPr>
          <w:rFonts w:ascii="Arial" w:cs="Arial" w:eastAsia="Arial" w:hAnsi="Arial"/>
          <w:sz w:val="11"/>
          <w:szCs w:val="11"/>
          <w:b w:val="1"/>
          <w:bCs w:val="1"/>
          <w:color w:val="D7282F"/>
        </w:rPr>
        <w:drawing>
          <wp:anchor simplePos="0" relativeHeight="251657728" behindDoc="1" locked="0" layoutInCell="0" allowOverlap="1">
            <wp:simplePos x="0" y="0"/>
            <wp:positionH relativeFrom="column">
              <wp:posOffset>40640</wp:posOffset>
            </wp:positionH>
            <wp:positionV relativeFrom="paragraph">
              <wp:posOffset>12065</wp:posOffset>
            </wp:positionV>
            <wp:extent cx="71323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-84455</wp:posOffset>
            </wp:positionV>
            <wp:extent cx="71323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19" w:lineRule="exact"/>
        <w:rPr>
          <w:rFonts w:ascii="Arial" w:cs="Arial" w:eastAsia="Arial" w:hAnsi="Arial"/>
          <w:sz w:val="11"/>
          <w:szCs w:val="11"/>
          <w:b w:val="1"/>
          <w:bCs w:val="1"/>
          <w:color w:val="D7282F"/>
        </w:rPr>
      </w:pPr>
    </w:p>
    <w:p>
      <w:pPr>
        <w:ind w:left="720" w:hanging="221"/>
        <w:spacing w:after="0"/>
        <w:tabs>
          <w:tab w:leader="none" w:pos="720" w:val="left"/>
        </w:tabs>
        <w:numPr>
          <w:ilvl w:val="0"/>
          <w:numId w:val="3"/>
        </w:numPr>
        <w:rPr>
          <w:rFonts w:ascii="Arial" w:cs="Arial" w:eastAsia="Arial" w:hAnsi="Arial"/>
          <w:sz w:val="11"/>
          <w:szCs w:val="11"/>
          <w:color w:val="auto"/>
        </w:rPr>
      </w:pPr>
      <w:hyperlink w:anchor="page16">
        <w:r>
          <w:rPr>
            <w:rFonts w:ascii="Arial" w:cs="Arial" w:eastAsia="Arial" w:hAnsi="Arial"/>
            <w:sz w:val="11"/>
            <w:szCs w:val="11"/>
            <w:color w:val="auto"/>
          </w:rPr>
          <w:t>Management’s Discussion and Analysis of Financial Condition and Results of Operations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4"/>
        </w:numPr>
        <w:rPr>
          <w:rFonts w:ascii="Arial" w:cs="Arial" w:eastAsia="Arial" w:hAnsi="Arial"/>
          <w:sz w:val="11"/>
          <w:szCs w:val="11"/>
          <w:color w:val="auto"/>
        </w:rPr>
      </w:pPr>
      <w:hyperlink w:anchor="page25">
        <w:r>
          <w:rPr>
            <w:rFonts w:ascii="Arial" w:cs="Arial" w:eastAsia="Arial" w:hAnsi="Arial"/>
            <w:sz w:val="11"/>
            <w:szCs w:val="11"/>
            <w:color w:val="auto"/>
          </w:rPr>
          <w:t>Review of Business Segments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5"/>
        </w:numPr>
        <w:rPr>
          <w:rFonts w:ascii="Arial" w:cs="Arial" w:eastAsia="Arial" w:hAnsi="Arial"/>
          <w:sz w:val="11"/>
          <w:szCs w:val="11"/>
          <w:color w:val="auto"/>
        </w:rPr>
      </w:pPr>
      <w:hyperlink w:anchor="page30">
        <w:r>
          <w:rPr>
            <w:rFonts w:ascii="Arial" w:cs="Arial" w:eastAsia="Arial" w:hAnsi="Arial"/>
            <w:sz w:val="11"/>
            <w:szCs w:val="11"/>
            <w:color w:val="auto"/>
          </w:rPr>
          <w:t>Risk Factors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6"/>
        </w:numPr>
        <w:rPr>
          <w:rFonts w:ascii="Arial" w:cs="Arial" w:eastAsia="Arial" w:hAnsi="Arial"/>
          <w:sz w:val="11"/>
          <w:szCs w:val="11"/>
          <w:color w:val="auto"/>
        </w:rPr>
      </w:pPr>
      <w:hyperlink w:anchor="page39">
        <w:r>
          <w:rPr>
            <w:rFonts w:ascii="Arial" w:cs="Arial" w:eastAsia="Arial" w:hAnsi="Arial"/>
            <w:sz w:val="11"/>
            <w:szCs w:val="11"/>
            <w:color w:val="auto"/>
          </w:rPr>
          <w:t>Quantitative and Qualitative Disclosures About Market Risks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6"/>
        </w:numPr>
        <w:rPr>
          <w:rFonts w:ascii="Arial" w:cs="Arial" w:eastAsia="Arial" w:hAnsi="Arial"/>
          <w:sz w:val="11"/>
          <w:szCs w:val="11"/>
          <w:color w:val="auto"/>
        </w:rPr>
      </w:pPr>
      <w:hyperlink w:anchor="page40">
        <w:r>
          <w:rPr>
            <w:rFonts w:ascii="Arial" w:cs="Arial" w:eastAsia="Arial" w:hAnsi="Arial"/>
            <w:sz w:val="11"/>
            <w:szCs w:val="11"/>
            <w:color w:val="auto"/>
          </w:rPr>
          <w:t>Liquidity and Capital Resources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7"/>
        </w:numPr>
        <w:rPr>
          <w:rFonts w:ascii="Arial" w:cs="Arial" w:eastAsia="Arial" w:hAnsi="Arial"/>
          <w:sz w:val="11"/>
          <w:szCs w:val="11"/>
          <w:color w:val="auto"/>
        </w:rPr>
      </w:pPr>
      <w:hyperlink w:anchor="page45">
        <w:r>
          <w:rPr>
            <w:rFonts w:ascii="Arial" w:cs="Arial" w:eastAsia="Arial" w:hAnsi="Arial"/>
            <w:sz w:val="11"/>
            <w:szCs w:val="11"/>
            <w:color w:val="auto"/>
          </w:rPr>
          <w:t>Critical Accounting Estimates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8"/>
        </w:numPr>
        <w:rPr>
          <w:rFonts w:ascii="Arial" w:cs="Arial" w:eastAsia="Arial" w:hAnsi="Arial"/>
          <w:sz w:val="11"/>
          <w:szCs w:val="11"/>
          <w:color w:val="auto"/>
        </w:rPr>
      </w:pPr>
      <w:hyperlink w:anchor="page49">
        <w:r>
          <w:rPr>
            <w:rFonts w:ascii="Arial" w:cs="Arial" w:eastAsia="Arial" w:hAnsi="Arial"/>
            <w:sz w:val="11"/>
            <w:szCs w:val="11"/>
            <w:color w:val="auto"/>
          </w:rPr>
          <w:t>Other Matters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8"/>
        </w:numPr>
        <w:rPr>
          <w:rFonts w:ascii="Arial" w:cs="Arial" w:eastAsia="Arial" w:hAnsi="Arial"/>
          <w:sz w:val="11"/>
          <w:szCs w:val="11"/>
          <w:color w:val="auto"/>
        </w:rPr>
      </w:pPr>
      <w:hyperlink w:anchor="page50">
        <w:r>
          <w:rPr>
            <w:rFonts w:ascii="Arial" w:cs="Arial" w:eastAsia="Arial" w:hAnsi="Arial"/>
            <w:sz w:val="11"/>
            <w:szCs w:val="11"/>
            <w:color w:val="auto"/>
          </w:rPr>
          <w:t>Information About our Executive Officers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8"/>
        </w:numPr>
        <w:rPr>
          <w:rFonts w:ascii="Arial" w:cs="Arial" w:eastAsia="Arial" w:hAnsi="Arial"/>
          <w:sz w:val="11"/>
          <w:szCs w:val="11"/>
          <w:color w:val="auto"/>
        </w:rPr>
      </w:pPr>
      <w:hyperlink w:anchor="page51">
        <w:r>
          <w:rPr>
            <w:rFonts w:ascii="Arial" w:cs="Arial" w:eastAsia="Arial" w:hAnsi="Arial"/>
            <w:sz w:val="11"/>
            <w:szCs w:val="11"/>
            <w:color w:val="auto"/>
          </w:rPr>
          <w:t>Unresolved Staff Comments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9"/>
        </w:numPr>
        <w:rPr>
          <w:rFonts w:ascii="Arial" w:cs="Arial" w:eastAsia="Arial" w:hAnsi="Arial"/>
          <w:sz w:val="11"/>
          <w:szCs w:val="11"/>
          <w:color w:val="auto"/>
        </w:rPr>
      </w:pPr>
      <w:hyperlink w:anchor="page52">
        <w:r>
          <w:rPr>
            <w:rFonts w:ascii="Arial" w:cs="Arial" w:eastAsia="Arial" w:hAnsi="Arial"/>
            <w:sz w:val="11"/>
            <w:szCs w:val="11"/>
            <w:color w:val="auto"/>
          </w:rPr>
          <w:t>Properties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10"/>
        </w:numPr>
        <w:rPr>
          <w:rFonts w:ascii="Arial" w:cs="Arial" w:eastAsia="Arial" w:hAnsi="Arial"/>
          <w:sz w:val="11"/>
          <w:szCs w:val="11"/>
          <w:color w:val="auto"/>
        </w:rPr>
      </w:pPr>
      <w:hyperlink w:anchor="page52">
        <w:r>
          <w:rPr>
            <w:rFonts w:ascii="Arial" w:cs="Arial" w:eastAsia="Arial" w:hAnsi="Arial"/>
            <w:sz w:val="11"/>
            <w:szCs w:val="11"/>
            <w:color w:val="auto"/>
          </w:rPr>
          <w:t>Legal Proceedings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11"/>
        </w:numPr>
        <w:rPr>
          <w:rFonts w:ascii="Arial" w:cs="Arial" w:eastAsia="Arial" w:hAnsi="Arial"/>
          <w:sz w:val="11"/>
          <w:szCs w:val="11"/>
          <w:color w:val="auto"/>
        </w:rPr>
      </w:pPr>
      <w:hyperlink w:anchor="page52">
        <w:r>
          <w:rPr>
            <w:rFonts w:ascii="Arial" w:cs="Arial" w:eastAsia="Arial" w:hAnsi="Arial"/>
            <w:sz w:val="11"/>
            <w:szCs w:val="11"/>
            <w:color w:val="auto"/>
          </w:rPr>
          <w:t>Mine Safety Disclosures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11"/>
        </w:numPr>
        <w:rPr>
          <w:rFonts w:ascii="Arial" w:cs="Arial" w:eastAsia="Arial" w:hAnsi="Arial"/>
          <w:sz w:val="11"/>
          <w:szCs w:val="11"/>
          <w:color w:val="auto"/>
        </w:rPr>
      </w:pPr>
      <w:hyperlink w:anchor="page52">
        <w:r>
          <w:rPr>
            <w:rFonts w:ascii="Arial" w:cs="Arial" w:eastAsia="Arial" w:hAnsi="Arial"/>
            <w:sz w:val="11"/>
            <w:szCs w:val="11"/>
            <w:color w:val="auto"/>
          </w:rPr>
          <w:t>Market for Registrant’s Common Equity, Related Stockholder Matters and Issuer Purchases of Equity Securities</w:t>
        </w:r>
      </w:hyperlink>
    </w:p>
    <w:p>
      <w:pPr>
        <w:spacing w:after="0" w:line="26" w:lineRule="exact"/>
        <w:rPr>
          <w:rFonts w:ascii="Arial" w:cs="Arial" w:eastAsia="Arial" w:hAnsi="Arial"/>
          <w:sz w:val="11"/>
          <w:szCs w:val="11"/>
          <w:color w:val="auto"/>
        </w:rPr>
      </w:pPr>
    </w:p>
    <w:p>
      <w:pPr>
        <w:ind w:left="720" w:hanging="221"/>
        <w:spacing w:after="0"/>
        <w:tabs>
          <w:tab w:leader="none" w:pos="720" w:val="left"/>
        </w:tabs>
        <w:numPr>
          <w:ilvl w:val="0"/>
          <w:numId w:val="12"/>
        </w:numPr>
        <w:rPr>
          <w:rFonts w:ascii="Arial" w:cs="Arial" w:eastAsia="Arial" w:hAnsi="Arial"/>
          <w:sz w:val="11"/>
          <w:szCs w:val="11"/>
          <w:color w:val="auto"/>
        </w:rPr>
      </w:pPr>
      <w:hyperlink w:anchor="page54">
        <w:r>
          <w:rPr>
            <w:rFonts w:ascii="Arial" w:cs="Arial" w:eastAsia="Arial" w:hAnsi="Arial"/>
            <w:sz w:val="11"/>
            <w:szCs w:val="11"/>
            <w:color w:val="auto"/>
          </w:rPr>
          <w:t>Financial Statements and Supplementary Data</w:t>
        </w:r>
      </w:hyperlink>
    </w:p>
    <w:p>
      <w:pPr>
        <w:spacing w:after="0" w:line="20" w:lineRule="exact"/>
        <w:rPr>
          <w:rFonts w:ascii="Arial" w:cs="Arial" w:eastAsia="Arial" w:hAnsi="Arial"/>
          <w:sz w:val="11"/>
          <w:szCs w:val="11"/>
          <w:b w:val="1"/>
          <w:bCs w:val="1"/>
          <w:color w:val="D7282F"/>
        </w:rPr>
      </w:pPr>
      <w:r>
        <w:rPr>
          <w:rFonts w:ascii="Arial" w:cs="Arial" w:eastAsia="Arial" w:hAnsi="Arial"/>
          <w:sz w:val="11"/>
          <w:szCs w:val="11"/>
          <w:b w:val="1"/>
          <w:bCs w:val="1"/>
          <w:color w:val="D7282F"/>
        </w:rPr>
        <w:drawing>
          <wp:anchor simplePos="0" relativeHeight="251657728" behindDoc="1" locked="0" layoutInCell="0" allowOverlap="1">
            <wp:simplePos x="0" y="0"/>
            <wp:positionH relativeFrom="column">
              <wp:posOffset>40640</wp:posOffset>
            </wp:positionH>
            <wp:positionV relativeFrom="paragraph">
              <wp:posOffset>4445</wp:posOffset>
            </wp:positionV>
            <wp:extent cx="71323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-92075</wp:posOffset>
            </wp:positionV>
            <wp:extent cx="71323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-189230</wp:posOffset>
            </wp:positionV>
            <wp:extent cx="71323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-286385</wp:posOffset>
            </wp:positionV>
            <wp:extent cx="71323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-383540</wp:posOffset>
            </wp:positionV>
            <wp:extent cx="71323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-480695</wp:posOffset>
            </wp:positionV>
            <wp:extent cx="71323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-577850</wp:posOffset>
            </wp:positionV>
            <wp:extent cx="71323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-675005</wp:posOffset>
            </wp:positionV>
            <wp:extent cx="71323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-772160</wp:posOffset>
            </wp:positionV>
            <wp:extent cx="7132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-869315</wp:posOffset>
            </wp:positionV>
            <wp:extent cx="713232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-966470</wp:posOffset>
            </wp:positionV>
            <wp:extent cx="71323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-1063625</wp:posOffset>
            </wp:positionV>
            <wp:extent cx="71323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-1160780</wp:posOffset>
            </wp:positionV>
            <wp:extent cx="71323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-1257935</wp:posOffset>
            </wp:positionV>
            <wp:extent cx="713232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rFonts w:ascii="Arial" w:cs="Arial" w:eastAsia="Arial" w:hAnsi="Arial"/>
          <w:sz w:val="11"/>
          <w:szCs w:val="11"/>
          <w:b w:val="1"/>
          <w:bCs w:val="1"/>
          <w:color w:val="D7282F"/>
        </w:rPr>
      </w:pPr>
    </w:p>
    <w:p>
      <w:pPr>
        <w:ind w:left="720" w:hanging="281"/>
        <w:spacing w:after="0"/>
        <w:tabs>
          <w:tab w:leader="none" w:pos="720" w:val="left"/>
        </w:tabs>
        <w:numPr>
          <w:ilvl w:val="0"/>
          <w:numId w:val="13"/>
        </w:numPr>
        <w:rPr>
          <w:rFonts w:ascii="Arial" w:cs="Arial" w:eastAsia="Arial" w:hAnsi="Arial"/>
          <w:sz w:val="11"/>
          <w:szCs w:val="11"/>
          <w:color w:val="auto"/>
        </w:rPr>
      </w:pPr>
      <w:hyperlink w:anchor="page114">
        <w:r>
          <w:rPr>
            <w:rFonts w:ascii="Arial" w:cs="Arial" w:eastAsia="Arial" w:hAnsi="Arial"/>
            <w:sz w:val="11"/>
            <w:szCs w:val="11"/>
            <w:color w:val="auto"/>
          </w:rPr>
          <w:t>Report of Independent Registered Public Accounting Firm</w:t>
        </w:r>
      </w:hyperlink>
    </w:p>
    <w:p>
      <w:pPr>
        <w:spacing w:after="0" w:line="20" w:lineRule="exact"/>
        <w:rPr>
          <w:rFonts w:ascii="Arial" w:cs="Arial" w:eastAsia="Arial" w:hAnsi="Arial"/>
          <w:sz w:val="11"/>
          <w:szCs w:val="11"/>
          <w:b w:val="1"/>
          <w:bCs w:val="1"/>
          <w:color w:val="D7282F"/>
        </w:rPr>
      </w:pPr>
      <w:r>
        <w:rPr>
          <w:rFonts w:ascii="Arial" w:cs="Arial" w:eastAsia="Arial" w:hAnsi="Arial"/>
          <w:sz w:val="11"/>
          <w:szCs w:val="11"/>
          <w:b w:val="1"/>
          <w:bCs w:val="1"/>
          <w:color w:val="D7282F"/>
        </w:rPr>
        <w:drawing>
          <wp:anchor simplePos="0" relativeHeight="251657728" behindDoc="1" locked="0" layoutInCell="0" allowOverlap="1">
            <wp:simplePos x="0" y="0"/>
            <wp:positionH relativeFrom="column">
              <wp:posOffset>40640</wp:posOffset>
            </wp:positionH>
            <wp:positionV relativeFrom="paragraph">
              <wp:posOffset>4445</wp:posOffset>
            </wp:positionV>
            <wp:extent cx="71323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rFonts w:ascii="Arial" w:cs="Arial" w:eastAsia="Arial" w:hAnsi="Arial"/>
          <w:sz w:val="11"/>
          <w:szCs w:val="11"/>
          <w:b w:val="1"/>
          <w:bCs w:val="1"/>
          <w:color w:val="D7282F"/>
        </w:rPr>
      </w:pPr>
    </w:p>
    <w:p>
      <w:pPr>
        <w:ind w:left="720" w:hanging="281"/>
        <w:spacing w:after="0"/>
        <w:tabs>
          <w:tab w:leader="none" w:pos="720" w:val="left"/>
        </w:tabs>
        <w:numPr>
          <w:ilvl w:val="0"/>
          <w:numId w:val="14"/>
        </w:numPr>
        <w:rPr>
          <w:rFonts w:ascii="Arial" w:cs="Arial" w:eastAsia="Arial" w:hAnsi="Arial"/>
          <w:sz w:val="11"/>
          <w:szCs w:val="11"/>
          <w:color w:val="auto"/>
        </w:rPr>
      </w:pPr>
      <w:hyperlink w:anchor="page117">
        <w:r>
          <w:rPr>
            <w:rFonts w:ascii="Arial" w:cs="Arial" w:eastAsia="Arial" w:hAnsi="Arial"/>
            <w:sz w:val="11"/>
            <w:szCs w:val="11"/>
            <w:color w:val="auto"/>
          </w:rPr>
          <w:t>Changes in and Disagreements with Accountants on Accounting and Financial Disclosure</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15"/>
        </w:numPr>
        <w:rPr>
          <w:rFonts w:ascii="Arial" w:cs="Arial" w:eastAsia="Arial" w:hAnsi="Arial"/>
          <w:sz w:val="11"/>
          <w:szCs w:val="11"/>
          <w:color w:val="auto"/>
        </w:rPr>
      </w:pPr>
      <w:hyperlink w:anchor="page118">
        <w:r>
          <w:rPr>
            <w:rFonts w:ascii="Arial" w:cs="Arial" w:eastAsia="Arial" w:hAnsi="Arial"/>
            <w:sz w:val="11"/>
            <w:szCs w:val="11"/>
            <w:color w:val="auto"/>
          </w:rPr>
          <w:t>Controls and Procedures</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16"/>
        </w:numPr>
        <w:rPr>
          <w:rFonts w:ascii="Arial" w:cs="Arial" w:eastAsia="Arial" w:hAnsi="Arial"/>
          <w:sz w:val="11"/>
          <w:szCs w:val="11"/>
          <w:color w:val="auto"/>
        </w:rPr>
      </w:pPr>
      <w:hyperlink w:anchor="page118">
        <w:r>
          <w:rPr>
            <w:rFonts w:ascii="Arial" w:cs="Arial" w:eastAsia="Arial" w:hAnsi="Arial"/>
            <w:sz w:val="11"/>
            <w:szCs w:val="11"/>
            <w:color w:val="auto"/>
          </w:rPr>
          <w:t>Management's Report on Internal Control Over Financial Reporting</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17"/>
        </w:numPr>
        <w:rPr>
          <w:rFonts w:ascii="Arial" w:cs="Arial" w:eastAsia="Arial" w:hAnsi="Arial"/>
          <w:sz w:val="11"/>
          <w:szCs w:val="11"/>
          <w:color w:val="auto"/>
        </w:rPr>
      </w:pPr>
      <w:hyperlink w:anchor="page118">
        <w:r>
          <w:rPr>
            <w:rFonts w:ascii="Arial" w:cs="Arial" w:eastAsia="Arial" w:hAnsi="Arial"/>
            <w:sz w:val="11"/>
            <w:szCs w:val="11"/>
            <w:color w:val="auto"/>
          </w:rPr>
          <w:t>Other Information</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17"/>
        </w:numPr>
        <w:rPr>
          <w:rFonts w:ascii="Arial" w:cs="Arial" w:eastAsia="Arial" w:hAnsi="Arial"/>
          <w:sz w:val="11"/>
          <w:szCs w:val="11"/>
          <w:color w:val="auto"/>
        </w:rPr>
      </w:pPr>
      <w:hyperlink w:anchor="page119">
        <w:r>
          <w:rPr>
            <w:rFonts w:ascii="Arial" w:cs="Arial" w:eastAsia="Arial" w:hAnsi="Arial"/>
            <w:sz w:val="11"/>
            <w:szCs w:val="11"/>
            <w:color w:val="auto"/>
          </w:rPr>
          <w:t>Disclosure Regarding Foreign Jurisdictions that Prevent Inspections</w:t>
        </w:r>
      </w:hyperlink>
    </w:p>
    <w:p>
      <w:pPr>
        <w:spacing w:after="0" w:line="20" w:lineRule="exact"/>
        <w:rPr>
          <w:rFonts w:ascii="Arial" w:cs="Arial" w:eastAsia="Arial" w:hAnsi="Arial"/>
          <w:sz w:val="11"/>
          <w:szCs w:val="11"/>
          <w:b w:val="1"/>
          <w:bCs w:val="1"/>
          <w:color w:val="D7282F"/>
        </w:rPr>
      </w:pPr>
      <w:r>
        <w:rPr>
          <w:rFonts w:ascii="Arial" w:cs="Arial" w:eastAsia="Arial" w:hAnsi="Arial"/>
          <w:sz w:val="11"/>
          <w:szCs w:val="11"/>
          <w:b w:val="1"/>
          <w:bCs w:val="1"/>
          <w:color w:val="D7282F"/>
        </w:rPr>
        <w:drawing>
          <wp:anchor simplePos="0" relativeHeight="251657728" behindDoc="1" locked="0" layoutInCell="0" allowOverlap="1">
            <wp:simplePos x="0" y="0"/>
            <wp:positionH relativeFrom="column">
              <wp:posOffset>40640</wp:posOffset>
            </wp:positionH>
            <wp:positionV relativeFrom="paragraph">
              <wp:posOffset>4445</wp:posOffset>
            </wp:positionV>
            <wp:extent cx="713232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-92075</wp:posOffset>
            </wp:positionV>
            <wp:extent cx="713232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-189230</wp:posOffset>
            </wp:positionV>
            <wp:extent cx="71323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-286385</wp:posOffset>
            </wp:positionV>
            <wp:extent cx="71323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-383540</wp:posOffset>
            </wp:positionV>
            <wp:extent cx="713232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rFonts w:ascii="Arial" w:cs="Arial" w:eastAsia="Arial" w:hAnsi="Arial"/>
          <w:sz w:val="11"/>
          <w:szCs w:val="11"/>
          <w:b w:val="1"/>
          <w:bCs w:val="1"/>
          <w:color w:val="D7282F"/>
        </w:rPr>
      </w:pPr>
    </w:p>
    <w:p>
      <w:pPr>
        <w:ind w:left="720" w:hanging="281"/>
        <w:spacing w:after="0"/>
        <w:tabs>
          <w:tab w:leader="none" w:pos="720" w:val="left"/>
        </w:tabs>
        <w:numPr>
          <w:ilvl w:val="0"/>
          <w:numId w:val="18"/>
        </w:numPr>
        <w:rPr>
          <w:rFonts w:ascii="Arial" w:cs="Arial" w:eastAsia="Arial" w:hAnsi="Arial"/>
          <w:sz w:val="11"/>
          <w:szCs w:val="11"/>
          <w:color w:val="auto"/>
        </w:rPr>
      </w:pPr>
      <w:hyperlink w:anchor="page119">
        <w:r>
          <w:rPr>
            <w:rFonts w:ascii="Arial" w:cs="Arial" w:eastAsia="Arial" w:hAnsi="Arial"/>
            <w:sz w:val="11"/>
            <w:szCs w:val="11"/>
            <w:color w:val="auto"/>
          </w:rPr>
          <w:t>Directors, Executive Officers and Corporate Governance</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19"/>
        </w:numPr>
        <w:rPr>
          <w:rFonts w:ascii="Arial" w:cs="Arial" w:eastAsia="Arial" w:hAnsi="Arial"/>
          <w:sz w:val="11"/>
          <w:szCs w:val="11"/>
          <w:color w:val="auto"/>
        </w:rPr>
      </w:pPr>
      <w:hyperlink w:anchor="page119">
        <w:r>
          <w:rPr>
            <w:rFonts w:ascii="Arial" w:cs="Arial" w:eastAsia="Arial" w:hAnsi="Arial"/>
            <w:sz w:val="11"/>
            <w:szCs w:val="11"/>
            <w:color w:val="auto"/>
          </w:rPr>
          <w:t>Executive Compensation</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19"/>
        </w:numPr>
        <w:rPr>
          <w:rFonts w:ascii="Arial" w:cs="Arial" w:eastAsia="Arial" w:hAnsi="Arial"/>
          <w:sz w:val="11"/>
          <w:szCs w:val="11"/>
          <w:color w:val="auto"/>
        </w:rPr>
      </w:pPr>
      <w:hyperlink w:anchor="page119">
        <w:r>
          <w:rPr>
            <w:rFonts w:ascii="Arial" w:cs="Arial" w:eastAsia="Arial" w:hAnsi="Arial"/>
            <w:sz w:val="11"/>
            <w:szCs w:val="11"/>
            <w:color w:val="auto"/>
          </w:rPr>
          <w:t>Security Ownership of Certain Beneficial Owners and Management and Related Stockholder Matters</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19"/>
        </w:numPr>
        <w:rPr>
          <w:rFonts w:ascii="Arial" w:cs="Arial" w:eastAsia="Arial" w:hAnsi="Arial"/>
          <w:sz w:val="11"/>
          <w:szCs w:val="11"/>
          <w:color w:val="auto"/>
        </w:rPr>
      </w:pPr>
      <w:hyperlink w:anchor="page120">
        <w:r>
          <w:rPr>
            <w:rFonts w:ascii="Arial" w:cs="Arial" w:eastAsia="Arial" w:hAnsi="Arial"/>
            <w:sz w:val="11"/>
            <w:szCs w:val="11"/>
            <w:color w:val="auto"/>
          </w:rPr>
          <w:t>Certain Relationships and Related Transactions, and Director Independence</w:t>
        </w:r>
      </w:hyperlink>
    </w:p>
    <w:p>
      <w:pPr>
        <w:spacing w:after="0" w:line="20" w:lineRule="exact"/>
        <w:rPr>
          <w:rFonts w:ascii="Arial" w:cs="Arial" w:eastAsia="Arial" w:hAnsi="Arial"/>
          <w:sz w:val="11"/>
          <w:szCs w:val="11"/>
          <w:b w:val="1"/>
          <w:bCs w:val="1"/>
          <w:color w:val="D7282F"/>
        </w:rPr>
      </w:pPr>
      <w:r>
        <w:rPr>
          <w:rFonts w:ascii="Arial" w:cs="Arial" w:eastAsia="Arial" w:hAnsi="Arial"/>
          <w:sz w:val="11"/>
          <w:szCs w:val="11"/>
          <w:b w:val="1"/>
          <w:bCs w:val="1"/>
          <w:color w:val="D7282F"/>
        </w:rPr>
        <w:drawing>
          <wp:anchor simplePos="0" relativeHeight="251657728" behindDoc="1" locked="0" layoutInCell="0" allowOverlap="1">
            <wp:simplePos x="0" y="0"/>
            <wp:positionH relativeFrom="column">
              <wp:posOffset>40640</wp:posOffset>
            </wp:positionH>
            <wp:positionV relativeFrom="paragraph">
              <wp:posOffset>4445</wp:posOffset>
            </wp:positionV>
            <wp:extent cx="713232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-92075</wp:posOffset>
            </wp:positionV>
            <wp:extent cx="713232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-189230</wp:posOffset>
            </wp:positionV>
            <wp:extent cx="713232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-286385</wp:posOffset>
            </wp:positionV>
            <wp:extent cx="71323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rFonts w:ascii="Arial" w:cs="Arial" w:eastAsia="Arial" w:hAnsi="Arial"/>
          <w:sz w:val="11"/>
          <w:szCs w:val="11"/>
          <w:b w:val="1"/>
          <w:bCs w:val="1"/>
          <w:color w:val="D7282F"/>
        </w:rPr>
      </w:pPr>
    </w:p>
    <w:p>
      <w:pPr>
        <w:ind w:left="720" w:hanging="281"/>
        <w:spacing w:after="0"/>
        <w:tabs>
          <w:tab w:leader="none" w:pos="720" w:val="left"/>
        </w:tabs>
        <w:numPr>
          <w:ilvl w:val="0"/>
          <w:numId w:val="20"/>
        </w:numPr>
        <w:rPr>
          <w:rFonts w:ascii="Arial" w:cs="Arial" w:eastAsia="Arial" w:hAnsi="Arial"/>
          <w:sz w:val="11"/>
          <w:szCs w:val="11"/>
          <w:color w:val="auto"/>
        </w:rPr>
      </w:pPr>
      <w:hyperlink w:anchor="page121">
        <w:r>
          <w:rPr>
            <w:rFonts w:ascii="Arial" w:cs="Arial" w:eastAsia="Arial" w:hAnsi="Arial"/>
            <w:sz w:val="11"/>
            <w:szCs w:val="11"/>
            <w:color w:val="auto"/>
          </w:rPr>
          <w:t>Principal Accounting Fees and Services</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21"/>
        </w:numPr>
        <w:rPr>
          <w:rFonts w:ascii="Arial" w:cs="Arial" w:eastAsia="Arial" w:hAnsi="Arial"/>
          <w:sz w:val="11"/>
          <w:szCs w:val="11"/>
          <w:color w:val="auto"/>
        </w:rPr>
      </w:pPr>
      <w:hyperlink w:anchor="page121">
        <w:r>
          <w:rPr>
            <w:rFonts w:ascii="Arial" w:cs="Arial" w:eastAsia="Arial" w:hAnsi="Arial"/>
            <w:sz w:val="11"/>
            <w:szCs w:val="11"/>
            <w:color w:val="auto"/>
          </w:rPr>
          <w:t>Exhibits and Financial Statement Schedules</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22"/>
        </w:numPr>
        <w:rPr>
          <w:rFonts w:ascii="Arial" w:cs="Arial" w:eastAsia="Arial" w:hAnsi="Arial"/>
          <w:sz w:val="11"/>
          <w:szCs w:val="11"/>
          <w:color w:val="auto"/>
        </w:rPr>
      </w:pPr>
      <w:hyperlink w:anchor="page121">
        <w:r>
          <w:rPr>
            <w:rFonts w:ascii="Arial" w:cs="Arial" w:eastAsia="Arial" w:hAnsi="Arial"/>
            <w:sz w:val="11"/>
            <w:szCs w:val="11"/>
            <w:color w:val="auto"/>
          </w:rPr>
          <w:t>Form 10-K Summary</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23"/>
        </w:numPr>
        <w:rPr>
          <w:rFonts w:ascii="Arial" w:cs="Arial" w:eastAsia="Arial" w:hAnsi="Arial"/>
          <w:sz w:val="11"/>
          <w:szCs w:val="11"/>
          <w:color w:val="auto"/>
        </w:rPr>
      </w:pPr>
      <w:hyperlink w:anchor="page125">
        <w:r>
          <w:rPr>
            <w:rFonts w:ascii="Arial" w:cs="Arial" w:eastAsia="Arial" w:hAnsi="Arial"/>
            <w:sz w:val="11"/>
            <w:szCs w:val="11"/>
            <w:color w:val="auto"/>
          </w:rPr>
          <w:t>Signatures</w:t>
        </w:r>
      </w:hyperlink>
    </w:p>
    <w:p>
      <w:pPr>
        <w:spacing w:after="0" w:line="26" w:lineRule="exact"/>
        <w:rPr>
          <w:rFonts w:ascii="Arial" w:cs="Arial" w:eastAsia="Arial" w:hAnsi="Arial"/>
          <w:sz w:val="11"/>
          <w:szCs w:val="11"/>
          <w:color w:val="auto"/>
        </w:rPr>
      </w:pPr>
    </w:p>
    <w:p>
      <w:pPr>
        <w:ind w:left="720" w:hanging="281"/>
        <w:spacing w:after="0"/>
        <w:tabs>
          <w:tab w:leader="none" w:pos="720" w:val="left"/>
        </w:tabs>
        <w:numPr>
          <w:ilvl w:val="0"/>
          <w:numId w:val="23"/>
        </w:numPr>
        <w:rPr>
          <w:rFonts w:ascii="Arial" w:cs="Arial" w:eastAsia="Arial" w:hAnsi="Arial"/>
          <w:sz w:val="11"/>
          <w:szCs w:val="11"/>
          <w:color w:val="auto"/>
        </w:rPr>
      </w:pPr>
      <w:hyperlink w:anchor="page126">
        <w:r>
          <w:rPr>
            <w:rFonts w:ascii="Arial" w:cs="Arial" w:eastAsia="Arial" w:hAnsi="Arial"/>
            <w:sz w:val="11"/>
            <w:szCs w:val="11"/>
            <w:color w:val="auto"/>
          </w:rPr>
          <w:t>Form 10-K Cross-Reference Index</w:t>
        </w:r>
      </w:hyperlink>
    </w:p>
    <w:p>
      <w:pPr>
        <w:spacing w:after="0" w:line="20" w:lineRule="exact"/>
        <w:rPr>
          <w:rFonts w:ascii="Arial" w:cs="Arial" w:eastAsia="Arial" w:hAnsi="Arial"/>
          <w:sz w:val="11"/>
          <w:szCs w:val="11"/>
          <w:b w:val="1"/>
          <w:bCs w:val="1"/>
          <w:color w:val="D7282F"/>
        </w:rPr>
      </w:pPr>
      <w:r>
        <w:rPr>
          <w:rFonts w:ascii="Arial" w:cs="Arial" w:eastAsia="Arial" w:hAnsi="Arial"/>
          <w:sz w:val="11"/>
          <w:szCs w:val="11"/>
          <w:b w:val="1"/>
          <w:bCs w:val="1"/>
          <w:color w:val="D7282F"/>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4445</wp:posOffset>
            </wp:positionV>
            <wp:extent cx="71323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-92075</wp:posOffset>
            </wp:positionV>
            <wp:extent cx="713232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-189230</wp:posOffset>
            </wp:positionV>
            <wp:extent cx="713232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-286385</wp:posOffset>
            </wp:positionV>
            <wp:extent cx="71323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-383540</wp:posOffset>
            </wp:positionV>
            <wp:extent cx="71323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2" w:name="page3"/>
    <w:bookmarkEnd w:id="2"/>
    <w:p>
      <w:pPr>
        <w:spacing w:after="0"/>
        <w:rPr>
          <w:sz w:val="20"/>
          <w:szCs w:val="20"/>
          <w:color w:val="auto"/>
        </w:rPr>
      </w:pPr>
      <w:r>
        <w:rPr>
          <w:rFonts w:ascii="Arial" w:cs="Arial" w:eastAsia="Arial" w:hAnsi="Arial"/>
          <w:sz w:val="24"/>
          <w:szCs w:val="24"/>
          <w:b w:val="1"/>
          <w:bCs w:val="1"/>
          <w:color w:val="auto"/>
        </w:rPr>
        <w:t>CAUTIONARY STATEMENT ABOUT</w:t>
      </w:r>
    </w:p>
    <w:p>
      <w:pPr>
        <w:spacing w:after="0" w:line="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FORWARD-LOOKING STATEMENTS</w:t>
      </w:r>
    </w:p>
    <w:p>
      <w:pPr>
        <w:spacing w:after="0" w:line="248" w:lineRule="exact"/>
        <w:rPr>
          <w:sz w:val="20"/>
          <w:szCs w:val="20"/>
          <w:color w:val="auto"/>
        </w:rPr>
      </w:pPr>
    </w:p>
    <w:p>
      <w:pPr>
        <w:jc w:val="both"/>
        <w:spacing w:after="0" w:line="239" w:lineRule="auto"/>
        <w:rPr>
          <w:sz w:val="20"/>
          <w:szCs w:val="20"/>
          <w:color w:val="auto"/>
        </w:rPr>
      </w:pPr>
      <w:r>
        <w:rPr>
          <w:rFonts w:ascii="Arial" w:cs="Arial" w:eastAsia="Arial" w:hAnsi="Arial"/>
          <w:sz w:val="11"/>
          <w:szCs w:val="11"/>
          <w:color w:val="auto"/>
        </w:rPr>
        <w:t>We describe many of the trends and other factors that drive our business and future results in the section titled Management’s Discussion and Analysis of Financial Condition and Results of Operations and in other parts of this report (including under the section titled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risks and uncertainties, including the impact of the COVID-19 pandemic, that can affect our performance in both the near- and long-term. In addition, no assurance can be given that any plan, initiative, projection, goal commitment, expectation, or prospect set forth in this Form 10-K can or will be achieved. These forward-looking statements should be considered in light of the information included in this Form 10-K, including, in particular, the factors discussed within the section titled Risk Factors. Such factors may be revised or supplemented in subsequent reports on Forms 10-Q and 8-K.</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9780"/>
              <w:spacing w:after="0"/>
              <w:rPr>
                <w:sz w:val="20"/>
                <w:szCs w:val="20"/>
                <w:color w:val="auto"/>
              </w:rPr>
            </w:pPr>
            <w:r>
              <w:rPr>
                <w:rFonts w:ascii="Arial" w:cs="Arial" w:eastAsia="Arial" w:hAnsi="Arial"/>
                <w:sz w:val="10"/>
                <w:szCs w:val="10"/>
                <w:color w:val="auto"/>
              </w:rPr>
              <w:t>Honeywell International Inc.</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D7282F"/>
              </w:rPr>
              <w:t>1</w:t>
            </w:r>
          </w:p>
        </w:tc>
      </w:tr>
      <w:tr>
        <w:trPr>
          <w:trHeight w:val="144"/>
        </w:trPr>
        <w:tc>
          <w:tcPr>
            <w:tcW w:w="1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3" w:name="page4"/>
    <w:bookmarkEnd w:id="3"/>
    <w:p>
      <w:pPr>
        <w:ind w:left="8"/>
        <w:spacing w:after="0"/>
        <w:rPr>
          <w:sz w:val="20"/>
          <w:szCs w:val="20"/>
          <w:color w:val="auto"/>
        </w:rPr>
      </w:pPr>
      <w:r>
        <w:rPr>
          <w:rFonts w:ascii="Arial" w:cs="Arial" w:eastAsia="Arial" w:hAnsi="Arial"/>
          <w:sz w:val="24"/>
          <w:szCs w:val="24"/>
          <w:b w:val="1"/>
          <w:bCs w:val="1"/>
          <w:color w:val="auto"/>
        </w:rPr>
        <w:t>ABOUT HONEYWELL</w:t>
      </w:r>
    </w:p>
    <w:p>
      <w:pPr>
        <w:spacing w:after="0" w:line="269" w:lineRule="exact"/>
        <w:rPr>
          <w:sz w:val="20"/>
          <w:szCs w:val="20"/>
          <w:color w:val="auto"/>
        </w:rPr>
      </w:pPr>
    </w:p>
    <w:p>
      <w:pPr>
        <w:jc w:val="both"/>
        <w:ind w:left="8"/>
        <w:spacing w:after="0" w:line="251" w:lineRule="auto"/>
        <w:rPr>
          <w:sz w:val="20"/>
          <w:szCs w:val="20"/>
          <w:color w:val="auto"/>
        </w:rPr>
      </w:pPr>
      <w:r>
        <w:rPr>
          <w:rFonts w:ascii="Arial" w:cs="Arial" w:eastAsia="Arial" w:hAnsi="Arial"/>
          <w:sz w:val="10"/>
          <w:szCs w:val="10"/>
          <w:color w:val="auto"/>
        </w:rPr>
        <w:t>Honeywell International Inc. (Honeywell or the Company) invents and commercializes technologies that address some of the world’s most critical challenges around energy, safety, security, air travel, productivity, and global urbanization. We are a leading software-industrial company committed to introducing state of the art technology solutions to improve efficiency, productivity, sustainability, and safety in high growth businesses in broad-based, attractive industrial end markets.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56" w:lineRule="exact"/>
        <w:rPr>
          <w:sz w:val="20"/>
          <w:szCs w:val="20"/>
          <w:color w:val="auto"/>
        </w:rPr>
      </w:pPr>
    </w:p>
    <w:p>
      <w:pPr>
        <w:jc w:val="both"/>
        <w:ind w:left="8"/>
        <w:spacing w:after="0" w:line="226" w:lineRule="auto"/>
        <w:rPr>
          <w:sz w:val="20"/>
          <w:szCs w:val="20"/>
          <w:color w:val="auto"/>
        </w:rPr>
      </w:pPr>
      <w:r>
        <w:rPr>
          <w:rFonts w:ascii="Arial" w:cs="Arial" w:eastAsia="Arial" w:hAnsi="Arial"/>
          <w:sz w:val="11"/>
          <w:szCs w:val="11"/>
          <w:color w:val="auto"/>
        </w:rPr>
        <w:t>Our Annual Report on Form 10-K, Quarterly Reports on Form 10-Q, Current Reports on Form 8-K and any amendments to those reports, are available free of charge on our website (honeywell.com) under the heading Investors (see SEC Filings) immediately after they are filed with, or furnished to, the SEC. Honeywell uses our Investor Relations website, investor.honeywell.com,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Form 10-K or any other report or document we file with the SEC. Any reference to our website in this Form 10-K is intended to be an inactive textual reference only.</w:t>
      </w:r>
    </w:p>
    <w:p>
      <w:pPr>
        <w:spacing w:after="0" w:line="70"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In addition, in this Form 10-K, the Company incorporates by reference certain information from its definitive Proxy Statement for the 2022 Annual Meeting of Stockholders, which we expect to file with the SEC on or about March 11, 2022 (the Proxy Statement), and which will also be available free of charge on our website.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8" w:hanging="408"/>
        <w:spacing w:after="0"/>
        <w:tabs>
          <w:tab w:leader="none" w:pos="408" w:val="left"/>
        </w:tabs>
        <w:numPr>
          <w:ilvl w:val="0"/>
          <w:numId w:val="2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D7282F"/>
        </w:rPr>
        <w:t>EXECUTIVE SUMMARY</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The COVID-19 pandemic continued to impact the global economy and certain of our business; however, our execution during 2021 allowed us to grow our market share, exceed our financial commitments, and strategically position our business for continued success. In 2021, we delivered sales growth of 5% to $34.4 billion, led by strong demand in our Warehouse and Workflow Solutions, Productivity Solutions and Services, Advanced Materials, and Commercial Aviation businesses.</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We deepened focus on our three transformation initiatives to actively deploy capital to achieve portfolio optimization, drive a culture of innovation enabling growth, and lead in Environmental, Social, and Governance objectives. In executing on these initiatives, we completed four acquisitions, drove growth in sustainable technologies and positively impacted our communities that face continued challenges from the COVID-19 pandemic and other socioeconomic factors. While executing our strategy, we maintained our commitment to create long-term shareowner value by realizing the benefits of operating efficiencies and deploying $8.2 billion to capital expenditures, dividends, share repurchases, and mergers and acquisitions, which was approximately $2.2 billion in excess of our operating cash flow for the year.</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As we look forward, we intend to continue deploying capital to high-return opportunities, including software and services with recurring revenue streams, and sustainable technologies, positioning our business for future growth. Overall, our orders were up 11%, compared to 2020, and we carry a robust backlog of $27.7 billion as of December 31, 2021. We continue to monitor and respond to several ongoing macroeconomic factors, including supply chain constraints accompanied by shortages and rising costs for materials and labor. We implemented and continue to identify actions to mitigate the effect of these factors and reduce the impact on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66610" cy="1194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1194435"/>
                    </a:xfrm>
                    <a:prstGeom prst="rect">
                      <a:avLst/>
                    </a:prstGeom>
                    <a:noFill/>
                  </pic:spPr>
                </pic:pic>
              </a:graphicData>
            </a:graphic>
          </wp:anchor>
        </w:drawing>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YEAR IN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-154940</wp:posOffset>
            </wp:positionV>
            <wp:extent cx="6960870" cy="234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23431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79"/>
        </w:trPr>
        <w:tc>
          <w:tcPr>
            <w:tcW w:w="320" w:type="dxa"/>
            <w:vAlign w:val="bottom"/>
          </w:tcPr>
          <w:p>
            <w:pPr>
              <w:spacing w:after="0"/>
              <w:rPr>
                <w:sz w:val="6"/>
                <w:szCs w:val="6"/>
                <w:color w:val="auto"/>
              </w:rPr>
            </w:pPr>
          </w:p>
        </w:tc>
        <w:tc>
          <w:tcPr>
            <w:tcW w:w="3240" w:type="dxa"/>
            <w:vAlign w:val="bottom"/>
            <w:vMerge w:val="restart"/>
            <w:shd w:val="clear" w:color="auto" w:fill="E7E7E8"/>
          </w:tcPr>
          <w:p>
            <w:pPr>
              <w:spacing w:after="0"/>
              <w:rPr>
                <w:sz w:val="20"/>
                <w:szCs w:val="20"/>
                <w:color w:val="auto"/>
              </w:rPr>
            </w:pPr>
            <w:r>
              <w:rPr>
                <w:rFonts w:ascii="Arial" w:cs="Arial" w:eastAsia="Arial" w:hAnsi="Arial"/>
                <w:sz w:val="11"/>
                <w:szCs w:val="11"/>
                <w:color w:val="auto"/>
              </w:rPr>
              <w:t xml:space="preserve">Sales up by </w:t>
            </w:r>
            <w:r>
              <w:rPr>
                <w:rFonts w:ascii="Arial" w:cs="Arial" w:eastAsia="Arial" w:hAnsi="Arial"/>
                <w:sz w:val="11"/>
                <w:szCs w:val="11"/>
                <w:b w:val="1"/>
                <w:bCs w:val="1"/>
                <w:color w:val="auto"/>
              </w:rPr>
              <w:t>5%</w:t>
            </w:r>
            <w:r>
              <w:rPr>
                <w:rFonts w:ascii="Arial" w:cs="Arial" w:eastAsia="Arial" w:hAnsi="Arial"/>
                <w:sz w:val="11"/>
                <w:szCs w:val="11"/>
                <w:color w:val="auto"/>
              </w:rPr>
              <w:t xml:space="preserve"> to</w:t>
            </w:r>
          </w:p>
        </w:tc>
        <w:tc>
          <w:tcPr>
            <w:tcW w:w="240" w:type="dxa"/>
            <w:vAlign w:val="bottom"/>
          </w:tcPr>
          <w:p>
            <w:pPr>
              <w:spacing w:after="0"/>
              <w:rPr>
                <w:sz w:val="6"/>
                <w:szCs w:val="6"/>
                <w:color w:val="auto"/>
              </w:rPr>
            </w:pPr>
          </w:p>
        </w:tc>
        <w:tc>
          <w:tcPr>
            <w:tcW w:w="370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4"/>
        </w:trPr>
        <w:tc>
          <w:tcPr>
            <w:tcW w:w="320" w:type="dxa"/>
            <w:vAlign w:val="bottom"/>
          </w:tcPr>
          <w:p>
            <w:pPr>
              <w:spacing w:after="0"/>
              <w:rPr>
                <w:sz w:val="24"/>
                <w:szCs w:val="24"/>
                <w:color w:val="auto"/>
              </w:rPr>
            </w:pPr>
          </w:p>
        </w:tc>
        <w:tc>
          <w:tcPr>
            <w:tcW w:w="3240" w:type="dxa"/>
            <w:vAlign w:val="bottom"/>
            <w:vMerge w:val="continue"/>
            <w:shd w:val="clear" w:color="auto" w:fill="E7E7E8"/>
          </w:tcPr>
          <w:p>
            <w:pPr>
              <w:spacing w:after="0"/>
              <w:rPr>
                <w:sz w:val="24"/>
                <w:szCs w:val="24"/>
                <w:color w:val="auto"/>
              </w:rPr>
            </w:pPr>
          </w:p>
        </w:tc>
        <w:tc>
          <w:tcPr>
            <w:tcW w:w="240" w:type="dxa"/>
            <w:vAlign w:val="bottom"/>
            <w:tcBorders>
              <w:right w:val="single" w:sz="8" w:color="D7282F"/>
            </w:tcBorders>
            <w:shd w:val="clear" w:color="auto" w:fill="E7E7E8"/>
          </w:tcPr>
          <w:p>
            <w:pPr>
              <w:spacing w:after="0"/>
              <w:rPr>
                <w:sz w:val="24"/>
                <w:szCs w:val="24"/>
                <w:color w:val="auto"/>
              </w:rPr>
            </w:pPr>
          </w:p>
        </w:tc>
        <w:tc>
          <w:tcPr>
            <w:tcW w:w="3700" w:type="dxa"/>
            <w:vAlign w:val="bottom"/>
            <w:tcBorders>
              <w:right w:val="single" w:sz="8" w:color="D7282F"/>
            </w:tcBorders>
            <w:shd w:val="clear" w:color="auto" w:fill="E7E7E8"/>
          </w:tcPr>
          <w:p>
            <w:pPr>
              <w:ind w:left="200"/>
              <w:spacing w:after="0"/>
              <w:rPr>
                <w:sz w:val="20"/>
                <w:szCs w:val="20"/>
                <w:color w:val="auto"/>
              </w:rPr>
            </w:pPr>
            <w:r>
              <w:rPr>
                <w:rFonts w:ascii="Arial" w:cs="Arial" w:eastAsia="Arial" w:hAnsi="Arial"/>
                <w:sz w:val="11"/>
                <w:szCs w:val="11"/>
                <w:color w:val="auto"/>
              </w:rPr>
              <w:t>Diluted EPS up by</w:t>
            </w:r>
          </w:p>
        </w:tc>
        <w:tc>
          <w:tcPr>
            <w:tcW w:w="3600" w:type="dxa"/>
            <w:vAlign w:val="bottom"/>
            <w:shd w:val="clear" w:color="auto" w:fill="E7E7E8"/>
          </w:tcPr>
          <w:p>
            <w:pPr>
              <w:ind w:left="200"/>
              <w:spacing w:after="0"/>
              <w:rPr>
                <w:sz w:val="20"/>
                <w:szCs w:val="20"/>
                <w:color w:val="auto"/>
              </w:rPr>
            </w:pPr>
            <w:r>
              <w:rPr>
                <w:rFonts w:ascii="Arial" w:cs="Arial" w:eastAsia="Arial" w:hAnsi="Arial"/>
                <w:sz w:val="11"/>
                <w:szCs w:val="11"/>
                <w:color w:val="auto"/>
              </w:rPr>
              <w:t>Operating cash flows of</w:t>
            </w:r>
          </w:p>
        </w:tc>
        <w:tc>
          <w:tcPr>
            <w:tcW w:w="180" w:type="dxa"/>
            <w:vAlign w:val="bottom"/>
            <w:shd w:val="clear" w:color="auto" w:fill="E7E7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3240" w:type="dxa"/>
            <w:vAlign w:val="bottom"/>
            <w:shd w:val="clear" w:color="auto" w:fill="E7E7E8"/>
          </w:tcPr>
          <w:p>
            <w:pPr>
              <w:spacing w:after="0"/>
              <w:rPr>
                <w:sz w:val="20"/>
                <w:szCs w:val="20"/>
                <w:color w:val="auto"/>
              </w:rPr>
            </w:pPr>
            <w:r>
              <w:rPr>
                <w:rFonts w:ascii="Arial" w:cs="Arial" w:eastAsia="Arial" w:hAnsi="Arial"/>
                <w:sz w:val="24"/>
                <w:szCs w:val="24"/>
                <w:b w:val="1"/>
                <w:bCs w:val="1"/>
                <w:color w:val="D7282F"/>
              </w:rPr>
              <w:t>$34.4 BILLION</w:t>
            </w:r>
          </w:p>
        </w:tc>
        <w:tc>
          <w:tcPr>
            <w:tcW w:w="240" w:type="dxa"/>
            <w:vAlign w:val="bottom"/>
            <w:tcBorders>
              <w:right w:val="single" w:sz="8" w:color="D7282F"/>
            </w:tcBorders>
            <w:shd w:val="clear" w:color="auto" w:fill="E7E7E8"/>
          </w:tcPr>
          <w:p>
            <w:pPr>
              <w:spacing w:after="0"/>
              <w:rPr>
                <w:sz w:val="24"/>
                <w:szCs w:val="24"/>
                <w:color w:val="auto"/>
              </w:rPr>
            </w:pPr>
          </w:p>
        </w:tc>
        <w:tc>
          <w:tcPr>
            <w:tcW w:w="3700" w:type="dxa"/>
            <w:vAlign w:val="bottom"/>
            <w:tcBorders>
              <w:right w:val="single" w:sz="8" w:color="D7282F"/>
            </w:tcBorders>
            <w:shd w:val="clear" w:color="auto" w:fill="E7E7E8"/>
          </w:tcPr>
          <w:p>
            <w:pPr>
              <w:ind w:left="200"/>
              <w:spacing w:after="0"/>
              <w:rPr>
                <w:sz w:val="20"/>
                <w:szCs w:val="20"/>
                <w:color w:val="auto"/>
              </w:rPr>
            </w:pPr>
            <w:r>
              <w:rPr>
                <w:rFonts w:ascii="Arial" w:cs="Arial" w:eastAsia="Arial" w:hAnsi="Arial"/>
                <w:sz w:val="24"/>
                <w:szCs w:val="24"/>
                <w:b w:val="1"/>
                <w:bCs w:val="1"/>
                <w:color w:val="D7282F"/>
              </w:rPr>
              <w:t>17.7%</w:t>
            </w:r>
          </w:p>
        </w:tc>
        <w:tc>
          <w:tcPr>
            <w:tcW w:w="3600" w:type="dxa"/>
            <w:vAlign w:val="bottom"/>
            <w:shd w:val="clear" w:color="auto" w:fill="E7E7E8"/>
          </w:tcPr>
          <w:p>
            <w:pPr>
              <w:ind w:left="200"/>
              <w:spacing w:after="0"/>
              <w:rPr>
                <w:sz w:val="20"/>
                <w:szCs w:val="20"/>
                <w:color w:val="auto"/>
              </w:rPr>
            </w:pPr>
            <w:r>
              <w:rPr>
                <w:rFonts w:ascii="Arial" w:cs="Arial" w:eastAsia="Arial" w:hAnsi="Arial"/>
                <w:sz w:val="24"/>
                <w:szCs w:val="24"/>
                <w:b w:val="1"/>
                <w:bCs w:val="1"/>
                <w:color w:val="D7282F"/>
              </w:rPr>
              <w:t>$6 BILLION</w:t>
            </w:r>
          </w:p>
        </w:tc>
        <w:tc>
          <w:tcPr>
            <w:tcW w:w="180" w:type="dxa"/>
            <w:vAlign w:val="bottom"/>
            <w:shd w:val="clear" w:color="auto" w:fill="E7E7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3240" w:type="dxa"/>
            <w:vAlign w:val="bottom"/>
            <w:shd w:val="clear" w:color="auto" w:fill="E7E7E8"/>
          </w:tcPr>
          <w:p>
            <w:pPr>
              <w:spacing w:after="0" w:line="119" w:lineRule="exact"/>
              <w:rPr>
                <w:sz w:val="20"/>
                <w:szCs w:val="20"/>
                <w:color w:val="auto"/>
              </w:rPr>
            </w:pPr>
            <w:r>
              <w:rPr>
                <w:rFonts w:ascii="Arial" w:cs="Arial" w:eastAsia="Arial" w:hAnsi="Arial"/>
                <w:sz w:val="11"/>
                <w:szCs w:val="11"/>
                <w:color w:val="auto"/>
              </w:rPr>
              <w:t>led by strong demand in certain of our businesses as result of the</w:t>
            </w:r>
          </w:p>
        </w:tc>
        <w:tc>
          <w:tcPr>
            <w:tcW w:w="240" w:type="dxa"/>
            <w:vAlign w:val="bottom"/>
            <w:tcBorders>
              <w:right w:val="single" w:sz="8" w:color="D7282F"/>
            </w:tcBorders>
            <w:shd w:val="clear" w:color="auto" w:fill="E7E7E8"/>
          </w:tcPr>
          <w:p>
            <w:pPr>
              <w:spacing w:after="0"/>
              <w:rPr>
                <w:sz w:val="10"/>
                <w:szCs w:val="10"/>
                <w:color w:val="auto"/>
              </w:rPr>
            </w:pPr>
          </w:p>
        </w:tc>
        <w:tc>
          <w:tcPr>
            <w:tcW w:w="3700" w:type="dxa"/>
            <w:vAlign w:val="bottom"/>
            <w:tcBorders>
              <w:right w:val="single" w:sz="8" w:color="D7282F"/>
            </w:tcBorders>
            <w:shd w:val="clear" w:color="auto" w:fill="E7E7E8"/>
          </w:tcPr>
          <w:p>
            <w:pPr>
              <w:ind w:left="200"/>
              <w:spacing w:after="0" w:line="119" w:lineRule="exact"/>
              <w:rPr>
                <w:sz w:val="20"/>
                <w:szCs w:val="20"/>
                <w:color w:val="auto"/>
              </w:rPr>
            </w:pPr>
            <w:r>
              <w:rPr>
                <w:rFonts w:ascii="Arial" w:cs="Arial" w:eastAsia="Arial" w:hAnsi="Arial"/>
                <w:sz w:val="11"/>
                <w:szCs w:val="11"/>
                <w:color w:val="auto"/>
              </w:rPr>
              <w:t>reflecting strong earnings in our core businesses and continued</w:t>
            </w:r>
          </w:p>
        </w:tc>
        <w:tc>
          <w:tcPr>
            <w:tcW w:w="3600" w:type="dxa"/>
            <w:vAlign w:val="bottom"/>
            <w:shd w:val="clear" w:color="auto" w:fill="E7E7E8"/>
          </w:tcPr>
          <w:p>
            <w:pPr>
              <w:ind w:left="200"/>
              <w:spacing w:after="0" w:line="119" w:lineRule="exact"/>
              <w:rPr>
                <w:sz w:val="20"/>
                <w:szCs w:val="20"/>
                <w:color w:val="auto"/>
              </w:rPr>
            </w:pPr>
            <w:r>
              <w:rPr>
                <w:rFonts w:ascii="Arial" w:cs="Arial" w:eastAsia="Arial" w:hAnsi="Arial"/>
                <w:sz w:val="11"/>
                <w:szCs w:val="11"/>
                <w:color w:val="auto"/>
              </w:rPr>
              <w:t>as we remain focused on increasing operating cash flows through</w:t>
            </w:r>
          </w:p>
        </w:tc>
        <w:tc>
          <w:tcPr>
            <w:tcW w:w="180" w:type="dxa"/>
            <w:vAlign w:val="bottom"/>
            <w:shd w:val="clear" w:color="auto" w:fill="E7E7E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3240" w:type="dxa"/>
            <w:vAlign w:val="bottom"/>
            <w:shd w:val="clear" w:color="auto" w:fill="E7E7E8"/>
          </w:tcPr>
          <w:p>
            <w:pPr>
              <w:spacing w:after="0" w:line="108" w:lineRule="exact"/>
              <w:rPr>
                <w:sz w:val="20"/>
                <w:szCs w:val="20"/>
                <w:color w:val="auto"/>
              </w:rPr>
            </w:pPr>
            <w:r>
              <w:rPr>
                <w:rFonts w:ascii="Arial" w:cs="Arial" w:eastAsia="Arial" w:hAnsi="Arial"/>
                <w:sz w:val="11"/>
                <w:szCs w:val="11"/>
                <w:color w:val="auto"/>
              </w:rPr>
              <w:t>recovery from the global recession created by the COVID-19</w:t>
            </w:r>
          </w:p>
        </w:tc>
        <w:tc>
          <w:tcPr>
            <w:tcW w:w="240" w:type="dxa"/>
            <w:vAlign w:val="bottom"/>
            <w:tcBorders>
              <w:right w:val="single" w:sz="8" w:color="D7282F"/>
            </w:tcBorders>
            <w:shd w:val="clear" w:color="auto" w:fill="E7E7E8"/>
          </w:tcPr>
          <w:p>
            <w:pPr>
              <w:spacing w:after="0"/>
              <w:rPr>
                <w:sz w:val="9"/>
                <w:szCs w:val="9"/>
                <w:color w:val="auto"/>
              </w:rPr>
            </w:pPr>
          </w:p>
        </w:tc>
        <w:tc>
          <w:tcPr>
            <w:tcW w:w="3700" w:type="dxa"/>
            <w:vAlign w:val="bottom"/>
            <w:tcBorders>
              <w:right w:val="single" w:sz="8" w:color="D7282F"/>
            </w:tcBorders>
            <w:shd w:val="clear" w:color="auto" w:fill="E7E7E8"/>
          </w:tcPr>
          <w:p>
            <w:pPr>
              <w:ind w:left="200"/>
              <w:spacing w:after="0" w:line="108" w:lineRule="exact"/>
              <w:rPr>
                <w:sz w:val="20"/>
                <w:szCs w:val="20"/>
                <w:color w:val="auto"/>
              </w:rPr>
            </w:pPr>
            <w:r>
              <w:rPr>
                <w:rFonts w:ascii="Arial" w:cs="Arial" w:eastAsia="Arial" w:hAnsi="Arial"/>
                <w:sz w:val="11"/>
                <w:szCs w:val="11"/>
                <w:color w:val="auto"/>
              </w:rPr>
              <w:t>deployment of capital for share repurchases</w:t>
            </w:r>
          </w:p>
        </w:tc>
        <w:tc>
          <w:tcPr>
            <w:tcW w:w="3600" w:type="dxa"/>
            <w:vAlign w:val="bottom"/>
            <w:shd w:val="clear" w:color="auto" w:fill="E7E7E8"/>
          </w:tcPr>
          <w:p>
            <w:pPr>
              <w:ind w:left="200"/>
              <w:spacing w:after="0" w:line="108" w:lineRule="exact"/>
              <w:rPr>
                <w:sz w:val="20"/>
                <w:szCs w:val="20"/>
                <w:color w:val="auto"/>
              </w:rPr>
            </w:pPr>
            <w:r>
              <w:rPr>
                <w:rFonts w:ascii="Arial" w:cs="Arial" w:eastAsia="Arial" w:hAnsi="Arial"/>
                <w:sz w:val="11"/>
                <w:szCs w:val="11"/>
                <w:color w:val="auto"/>
              </w:rPr>
              <w:t>revenue growth, margin expansion, and improved working capital</w:t>
            </w:r>
          </w:p>
        </w:tc>
        <w:tc>
          <w:tcPr>
            <w:tcW w:w="180" w:type="dxa"/>
            <w:vAlign w:val="bottom"/>
            <w:shd w:val="clear" w:color="auto" w:fill="E7E7E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3240" w:type="dxa"/>
            <w:vAlign w:val="bottom"/>
            <w:shd w:val="clear" w:color="auto" w:fill="E7E7E8"/>
          </w:tcPr>
          <w:p>
            <w:pPr>
              <w:spacing w:after="0"/>
              <w:rPr>
                <w:sz w:val="20"/>
                <w:szCs w:val="20"/>
                <w:color w:val="auto"/>
              </w:rPr>
            </w:pPr>
            <w:r>
              <w:rPr>
                <w:rFonts w:ascii="Arial" w:cs="Arial" w:eastAsia="Arial" w:hAnsi="Arial"/>
                <w:sz w:val="11"/>
                <w:szCs w:val="11"/>
                <w:color w:val="auto"/>
              </w:rPr>
              <w:t>pandemic</w:t>
            </w:r>
          </w:p>
        </w:tc>
        <w:tc>
          <w:tcPr>
            <w:tcW w:w="240" w:type="dxa"/>
            <w:vAlign w:val="bottom"/>
            <w:tcBorders>
              <w:right w:val="single" w:sz="8" w:color="D7282F"/>
            </w:tcBorders>
            <w:shd w:val="clear" w:color="auto" w:fill="E7E7E8"/>
          </w:tcPr>
          <w:p>
            <w:pPr>
              <w:spacing w:after="0"/>
              <w:rPr>
                <w:sz w:val="11"/>
                <w:szCs w:val="11"/>
                <w:color w:val="auto"/>
              </w:rPr>
            </w:pPr>
          </w:p>
        </w:tc>
        <w:tc>
          <w:tcPr>
            <w:tcW w:w="3700" w:type="dxa"/>
            <w:vAlign w:val="bottom"/>
            <w:tcBorders>
              <w:right w:val="single" w:sz="8" w:color="D7282F"/>
            </w:tcBorders>
            <w:shd w:val="clear" w:color="auto" w:fill="E7E7E8"/>
          </w:tcPr>
          <w:p>
            <w:pPr>
              <w:spacing w:after="0"/>
              <w:rPr>
                <w:sz w:val="11"/>
                <w:szCs w:val="11"/>
                <w:color w:val="auto"/>
              </w:rPr>
            </w:pPr>
          </w:p>
        </w:tc>
        <w:tc>
          <w:tcPr>
            <w:tcW w:w="3600" w:type="dxa"/>
            <w:vAlign w:val="bottom"/>
            <w:shd w:val="clear" w:color="auto" w:fill="E7E7E8"/>
          </w:tcPr>
          <w:p>
            <w:pPr>
              <w:ind w:left="200"/>
              <w:spacing w:after="0"/>
              <w:rPr>
                <w:sz w:val="20"/>
                <w:szCs w:val="20"/>
                <w:color w:val="auto"/>
              </w:rPr>
            </w:pPr>
            <w:r>
              <w:rPr>
                <w:rFonts w:ascii="Arial" w:cs="Arial" w:eastAsia="Arial" w:hAnsi="Arial"/>
                <w:sz w:val="11"/>
                <w:szCs w:val="11"/>
                <w:color w:val="auto"/>
              </w:rPr>
              <w:t>turnover</w:t>
            </w:r>
          </w:p>
        </w:tc>
        <w:tc>
          <w:tcPr>
            <w:tcW w:w="180" w:type="dxa"/>
            <w:vAlign w:val="bottom"/>
            <w:shd w:val="clear" w:color="auto" w:fill="E7E7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20" w:type="dxa"/>
            <w:vAlign w:val="bottom"/>
          </w:tcPr>
          <w:p>
            <w:pPr>
              <w:spacing w:after="0"/>
              <w:rPr>
                <w:sz w:val="8"/>
                <w:szCs w:val="8"/>
                <w:color w:val="auto"/>
              </w:rPr>
            </w:pPr>
          </w:p>
        </w:tc>
        <w:tc>
          <w:tcPr>
            <w:tcW w:w="3240" w:type="dxa"/>
            <w:vAlign w:val="bottom"/>
            <w:shd w:val="clear" w:color="auto" w:fill="E7E7E8"/>
          </w:tcPr>
          <w:p>
            <w:pPr>
              <w:spacing w:after="0"/>
              <w:rPr>
                <w:sz w:val="8"/>
                <w:szCs w:val="8"/>
                <w:color w:val="auto"/>
              </w:rPr>
            </w:pPr>
          </w:p>
        </w:tc>
        <w:tc>
          <w:tcPr>
            <w:tcW w:w="240" w:type="dxa"/>
            <w:vAlign w:val="bottom"/>
            <w:tcBorders>
              <w:right w:val="single" w:sz="8" w:color="E7E7E8"/>
            </w:tcBorders>
            <w:shd w:val="clear" w:color="auto" w:fill="E7E7E8"/>
          </w:tcPr>
          <w:p>
            <w:pPr>
              <w:spacing w:after="0"/>
              <w:rPr>
                <w:sz w:val="8"/>
                <w:szCs w:val="8"/>
                <w:color w:val="auto"/>
              </w:rPr>
            </w:pPr>
          </w:p>
        </w:tc>
        <w:tc>
          <w:tcPr>
            <w:tcW w:w="3700" w:type="dxa"/>
            <w:vAlign w:val="bottom"/>
            <w:tcBorders>
              <w:right w:val="single" w:sz="8" w:color="E7E7E8"/>
            </w:tcBorders>
            <w:shd w:val="clear" w:color="auto" w:fill="E7E7E8"/>
          </w:tcPr>
          <w:p>
            <w:pPr>
              <w:spacing w:after="0"/>
              <w:rPr>
                <w:sz w:val="8"/>
                <w:szCs w:val="8"/>
                <w:color w:val="auto"/>
              </w:rPr>
            </w:pPr>
          </w:p>
        </w:tc>
        <w:tc>
          <w:tcPr>
            <w:tcW w:w="360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9"/>
        </w:trPr>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00" w:type="dxa"/>
            <w:vAlign w:val="bottom"/>
          </w:tcPr>
          <w:p>
            <w:pPr>
              <w:ind w:left="2280"/>
              <w:spacing w:after="0"/>
              <w:rPr>
                <w:sz w:val="20"/>
                <w:szCs w:val="20"/>
                <w:color w:val="auto"/>
              </w:rPr>
            </w:pPr>
            <w:r>
              <w:rPr>
                <w:rFonts w:ascii="Arial" w:cs="Arial" w:eastAsia="Arial" w:hAnsi="Arial"/>
                <w:sz w:val="10"/>
                <w:szCs w:val="10"/>
                <w:color w:val="auto"/>
              </w:rPr>
              <w:t>Honeywell International Inc.</w:t>
            </w:r>
          </w:p>
        </w:tc>
        <w:tc>
          <w:tcPr>
            <w:tcW w:w="200" w:type="dxa"/>
            <w:vAlign w:val="bottom"/>
            <w:gridSpan w:val="2"/>
          </w:tcPr>
          <w:p>
            <w:pPr>
              <w:jc w:val="right"/>
              <w:spacing w:after="0"/>
              <w:rPr>
                <w:sz w:val="20"/>
                <w:szCs w:val="20"/>
                <w:color w:val="auto"/>
              </w:rPr>
            </w:pPr>
            <w:r>
              <w:rPr>
                <w:rFonts w:ascii="Arial" w:cs="Arial" w:eastAsia="Arial" w:hAnsi="Arial"/>
                <w:sz w:val="12"/>
                <w:szCs w:val="12"/>
                <w:b w:val="1"/>
                <w:bCs w:val="1"/>
                <w:color w:val="D7282F"/>
              </w:rPr>
              <w:t>3</w:t>
            </w:r>
          </w:p>
        </w:tc>
        <w:tc>
          <w:tcPr>
            <w:tcW w:w="0" w:type="dxa"/>
            <w:vAlign w:val="bottom"/>
          </w:tcPr>
          <w:p>
            <w:pPr>
              <w:spacing w:after="0"/>
              <w:rPr>
                <w:sz w:val="1"/>
                <w:szCs w:val="1"/>
                <w:color w:val="auto"/>
              </w:rPr>
            </w:pPr>
          </w:p>
        </w:tc>
      </w:tr>
      <w:tr>
        <w:trPr>
          <w:trHeight w:val="144"/>
        </w:trPr>
        <w:tc>
          <w:tcPr>
            <w:tcW w:w="320" w:type="dxa"/>
            <w:vAlign w:val="bottom"/>
            <w:tcBorders>
              <w:bottom w:val="single" w:sz="8" w:color="9A9A9A"/>
            </w:tcBorders>
          </w:tcPr>
          <w:p>
            <w:pPr>
              <w:spacing w:after="0"/>
              <w:rPr>
                <w:sz w:val="12"/>
                <w:szCs w:val="12"/>
                <w:color w:val="auto"/>
              </w:rPr>
            </w:pPr>
          </w:p>
        </w:tc>
        <w:tc>
          <w:tcPr>
            <w:tcW w:w="3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70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-1445260</wp:posOffset>
            </wp:positionV>
            <wp:extent cx="24574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000000"/>
                        </a:clrFrom>
                        <a:clrTo>
                          <a:srgbClr val="000000">
                            <a:alpha val="0"/>
                          </a:srgbClr>
                        </a:clrTo>
                      </a:clrChange>
                      <a:extLst>
                        <a:ext uri="{28A0092B-C50C-407E-A947-70E740481C1C}"/>
                      </a:extLst>
                    </a:blip>
                    <a:srcRect/>
                    <a:stretch>
                      <a:fillRect/>
                    </a:stretch>
                  </pic:blipFill>
                  <pic:spPr bwMode="auto">
                    <a:xfrm>
                      <a:off x="0" y="0"/>
                      <a:ext cx="245745" cy="24003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-1445260</wp:posOffset>
            </wp:positionV>
            <wp:extent cx="24574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45745" cy="2400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-1445260</wp:posOffset>
            </wp:positionV>
            <wp:extent cx="245745" cy="245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000000"/>
                        </a:clrFrom>
                        <a:clrTo>
                          <a:srgbClr val="000000">
                            <a:alpha val="0"/>
                          </a:srgbClr>
                        </a:clrTo>
                      </a:clrChange>
                      <a:extLst>
                        <a:ext uri="{28A0092B-C50C-407E-A947-70E740481C1C}"/>
                      </a:extLst>
                    </a:blip>
                    <a:srcRect/>
                    <a:stretch>
                      <a:fillRect/>
                    </a:stretch>
                  </pic:blipFill>
                  <pic:spPr bwMode="auto">
                    <a:xfrm>
                      <a:off x="0" y="0"/>
                      <a:ext cx="245745" cy="24574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-1445260</wp:posOffset>
            </wp:positionV>
            <wp:extent cx="245745" cy="245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45745" cy="24574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-1439545</wp:posOffset>
            </wp:positionV>
            <wp:extent cx="228600" cy="228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000000"/>
                        </a:clrFrom>
                        <a:clrTo>
                          <a:srgbClr val="000000">
                            <a:alpha val="0"/>
                          </a:srgbClr>
                        </a:clrTo>
                      </a:clrChange>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-1439545</wp:posOffset>
            </wp:positionV>
            <wp:extent cx="228600" cy="228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28600" cy="22860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5" w:name="page6"/>
    <w:bookmarkEnd w:id="5"/>
    <w:p>
      <w:pPr>
        <w:ind w:left="8"/>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BUSINESS OBJECTIVES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businesses are focused on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60020" cy="160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88" w:lineRule="exact"/>
        <w:rPr>
          <w:sz w:val="20"/>
          <w:szCs w:val="20"/>
          <w:color w:val="auto"/>
        </w:rPr>
      </w:pPr>
    </w:p>
    <w:p>
      <w:pPr>
        <w:ind w:left="768"/>
        <w:spacing w:after="0"/>
        <w:rPr>
          <w:sz w:val="20"/>
          <w:szCs w:val="20"/>
          <w:color w:val="auto"/>
        </w:rPr>
      </w:pPr>
      <w:r>
        <w:rPr>
          <w:rFonts w:ascii="Arial" w:cs="Arial" w:eastAsia="Arial" w:hAnsi="Arial"/>
          <w:sz w:val="11"/>
          <w:szCs w:val="11"/>
          <w:color w:val="auto"/>
        </w:rPr>
        <w:t>Driving profitable growth by delivering innovative products through research and development and technological excellence, and through continued enhancement of our footprint in high growth regions;</w:t>
      </w:r>
    </w:p>
    <w:p>
      <w:pPr>
        <w:spacing w:after="0" w:line="279" w:lineRule="exact"/>
        <w:rPr>
          <w:sz w:val="20"/>
          <w:szCs w:val="20"/>
          <w:color w:val="auto"/>
        </w:rPr>
      </w:pPr>
    </w:p>
    <w:p>
      <w:pPr>
        <w:jc w:val="both"/>
        <w:ind w:left="768" w:right="100"/>
        <w:spacing w:after="0" w:line="230" w:lineRule="auto"/>
        <w:rPr>
          <w:sz w:val="20"/>
          <w:szCs w:val="20"/>
          <w:color w:val="auto"/>
        </w:rPr>
      </w:pPr>
      <w:r>
        <w:rPr>
          <w:rFonts w:ascii="Arial" w:cs="Arial" w:eastAsia="Arial" w:hAnsi="Arial"/>
          <w:sz w:val="11"/>
          <w:szCs w:val="11"/>
          <w:color w:val="auto"/>
        </w:rPr>
        <w:t>Continuing to execute on our strategy to be a premier software-industrial company, including the ongoing expansion of Honeywell Forge connected solutions for aircraft, buildings, cybersecurity, plants, and workers and driving a recurring revenue model across the Company. Honeywell Forge is an enterprise performance management solution for digital transformation of operations. Honeywell Forge includes a mix of software products and enabling services that help companies use operational data to drive insights that improve processes, enhance productivity, support sustainability initiatives, and empower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-213995</wp:posOffset>
            </wp:positionV>
            <wp:extent cx="160020" cy="160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0020" cy="1600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71120</wp:posOffset>
            </wp:positionV>
            <wp:extent cx="160020" cy="160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111" w:lineRule="exact"/>
        <w:rPr>
          <w:sz w:val="20"/>
          <w:szCs w:val="20"/>
          <w:color w:val="auto"/>
        </w:rPr>
      </w:pPr>
    </w:p>
    <w:p>
      <w:pPr>
        <w:ind w:left="768" w:right="220"/>
        <w:spacing w:after="0" w:line="245" w:lineRule="auto"/>
        <w:rPr>
          <w:sz w:val="20"/>
          <w:szCs w:val="20"/>
          <w:color w:val="auto"/>
        </w:rPr>
      </w:pPr>
      <w:r>
        <w:rPr>
          <w:rFonts w:ascii="Arial" w:cs="Arial" w:eastAsia="Arial" w:hAnsi="Arial"/>
          <w:sz w:val="11"/>
          <w:szCs w:val="11"/>
          <w:color w:val="auto"/>
        </w:rPr>
        <w:t>Expanding margins by optimizing the Company’s performance through the Integrated Supply Chain and Honeywell Digital transformation initiatives, commercial excellence, repositioning, and other manufacturing and operational process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86360</wp:posOffset>
            </wp:positionV>
            <wp:extent cx="160020" cy="16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136" w:lineRule="exact"/>
        <w:rPr>
          <w:sz w:val="20"/>
          <w:szCs w:val="20"/>
          <w:color w:val="auto"/>
        </w:rPr>
      </w:pPr>
    </w:p>
    <w:p>
      <w:pPr>
        <w:ind w:left="768"/>
        <w:spacing w:after="0"/>
        <w:rPr>
          <w:sz w:val="20"/>
          <w:szCs w:val="20"/>
          <w:color w:val="auto"/>
        </w:rPr>
      </w:pPr>
      <w:r>
        <w:rPr>
          <w:rFonts w:ascii="Arial" w:cs="Arial" w:eastAsia="Arial" w:hAnsi="Arial"/>
          <w:sz w:val="11"/>
          <w:szCs w:val="11"/>
          <w:color w:val="auto"/>
        </w:rPr>
        <w:t>Executing disciplined portfolio management through rigorous merger and acquisition, divestiture, and integration processes to deliver growth and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170180</wp:posOffset>
            </wp:positionV>
            <wp:extent cx="160020"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268" w:lineRule="exact"/>
        <w:rPr>
          <w:sz w:val="20"/>
          <w:szCs w:val="20"/>
          <w:color w:val="auto"/>
        </w:rPr>
      </w:pPr>
    </w:p>
    <w:p>
      <w:pPr>
        <w:ind w:left="768"/>
        <w:spacing w:after="0"/>
        <w:rPr>
          <w:sz w:val="20"/>
          <w:szCs w:val="20"/>
          <w:color w:val="auto"/>
        </w:rPr>
      </w:pPr>
      <w:r>
        <w:rPr>
          <w:rFonts w:ascii="Arial" w:cs="Arial" w:eastAsia="Arial" w:hAnsi="Arial"/>
          <w:sz w:val="11"/>
          <w:szCs w:val="11"/>
          <w:color w:val="auto"/>
        </w:rPr>
        <w:t>Controlling corporate costs, including costs incurred for asbestos and environmental matters, and 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170180</wp:posOffset>
            </wp:positionV>
            <wp:extent cx="160020" cy="160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268" w:lineRule="exact"/>
        <w:rPr>
          <w:sz w:val="20"/>
          <w:szCs w:val="20"/>
          <w:color w:val="auto"/>
        </w:rPr>
      </w:pPr>
    </w:p>
    <w:p>
      <w:pPr>
        <w:ind w:left="768"/>
        <w:spacing w:after="0" w:line="245" w:lineRule="auto"/>
        <w:rPr>
          <w:sz w:val="20"/>
          <w:szCs w:val="20"/>
          <w:color w:val="auto"/>
        </w:rPr>
      </w:pPr>
      <w:r>
        <w:rPr>
          <w:rFonts w:ascii="Arial" w:cs="Arial" w:eastAsia="Arial" w:hAnsi="Arial"/>
          <w:sz w:val="11"/>
          <w:szCs w:val="11"/>
          <w:color w:val="auto"/>
        </w:rPr>
        <w:t>Increasing availability of capital through strong cash flow generation and conversion from effective working capital management and proactive management of debt to enable the Company to strategically deploy capital for acquisitions, dividends, share repurchases and capital expenditures;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86360</wp:posOffset>
            </wp:positionV>
            <wp:extent cx="160020" cy="160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0020" cy="160020"/>
                    </a:xfrm>
                    <a:prstGeom prst="rect">
                      <a:avLst/>
                    </a:prstGeom>
                    <a:noFill/>
                  </pic:spPr>
                </pic:pic>
              </a:graphicData>
            </a:graphic>
          </wp:anchor>
        </w:drawing>
      </w:r>
    </w:p>
    <w:p>
      <w:pPr>
        <w:spacing w:after="0" w:line="136" w:lineRule="exact"/>
        <w:rPr>
          <w:sz w:val="20"/>
          <w:szCs w:val="20"/>
          <w:color w:val="auto"/>
        </w:rPr>
      </w:pPr>
    </w:p>
    <w:p>
      <w:pPr>
        <w:ind w:left="768"/>
        <w:spacing w:after="0"/>
        <w:rPr>
          <w:sz w:val="20"/>
          <w:szCs w:val="20"/>
          <w:color w:val="auto"/>
        </w:rPr>
      </w:pPr>
      <w:r>
        <w:rPr>
          <w:rFonts w:ascii="Arial" w:cs="Arial" w:eastAsia="Arial" w:hAnsi="Arial"/>
          <w:sz w:val="11"/>
          <w:szCs w:val="11"/>
          <w:color w:val="auto"/>
        </w:rPr>
        <w:t>Committing to uphold our environmental, social, and governance principles, as a leader in responsible corporate citizenship.</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8" w:hanging="408"/>
        <w:spacing w:after="0"/>
        <w:tabs>
          <w:tab w:leader="none" w:pos="408" w:val="left"/>
        </w:tabs>
        <w:numPr>
          <w:ilvl w:val="0"/>
          <w:numId w:val="2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9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D7282F"/>
        </w:rPr>
        <w:t>MAJOR BUSINESSES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We globally manage our business operations through four reportable segments: Aerospace, Honeywell Building Technologies, Performance Materials and Technologies, and Safety and Productivity Solutions. The remainder of Honeywell's operations is presented in Corporate and All Other, which is not a reportable business segment. Financial information related to our segments is included in Note 22 Segment Financial Data of Notes to Consolidated Financial Statements. The major products and services, including Honeywell Forge solutions supported by Honeywell Connected Enterprise, customers, uses and key competitors of each of our reportable segments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53340</wp:posOffset>
            </wp:positionV>
            <wp:extent cx="3989070" cy="1663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89070" cy="1663065"/>
                    </a:xfrm>
                    <a:prstGeom prst="rect">
                      <a:avLst/>
                    </a:prstGeom>
                    <a:noFill/>
                  </pic:spPr>
                </pic:pic>
              </a:graphicData>
            </a:graphic>
          </wp:anchor>
        </w:drawing>
      </w:r>
    </w:p>
    <w:p>
      <w:pPr>
        <w:spacing w:after="0" w:line="333"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shd w:val="clear" w:color="auto" w:fill="EBEBEC"/>
        </w:rPr>
        <w:t>AEROSPACE</w:t>
      </w:r>
    </w:p>
    <w:p>
      <w:pPr>
        <w:spacing w:after="0" w:line="86" w:lineRule="exact"/>
        <w:rPr>
          <w:sz w:val="20"/>
          <w:szCs w:val="20"/>
          <w:color w:val="auto"/>
        </w:rPr>
      </w:pPr>
    </w:p>
    <w:p>
      <w:pPr>
        <w:jc w:val="both"/>
        <w:ind w:left="2620" w:right="4800"/>
        <w:spacing w:after="0" w:line="223" w:lineRule="auto"/>
        <w:rPr>
          <w:sz w:val="20"/>
          <w:szCs w:val="20"/>
          <w:color w:val="auto"/>
        </w:rPr>
      </w:pPr>
      <w:r>
        <w:rPr>
          <w:rFonts w:ascii="Arial" w:cs="Arial" w:eastAsia="Arial" w:hAnsi="Arial"/>
          <w:sz w:val="11"/>
          <w:szCs w:val="11"/>
          <w:color w:val="auto"/>
        </w:rPr>
        <w:t>Aerospace is a leading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our customers as tools to turn data into predictive maintenance and predictive analytics to enable better fleet management and make flight operations more efficient.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216535</wp:posOffset>
            </wp:positionV>
            <wp:extent cx="3989070" cy="130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89070" cy="13030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HONEYWELL BUILDING TECHNOLOGIES</w:t>
      </w:r>
    </w:p>
    <w:p>
      <w:pPr>
        <w:spacing w:after="0" w:line="95" w:lineRule="exact"/>
        <w:rPr>
          <w:sz w:val="20"/>
          <w:szCs w:val="20"/>
          <w:color w:val="auto"/>
        </w:rPr>
      </w:pPr>
    </w:p>
    <w:p>
      <w:pPr>
        <w:jc w:val="both"/>
        <w:ind w:left="2620" w:right="4800"/>
        <w:spacing w:after="0" w:line="266" w:lineRule="auto"/>
        <w:rPr>
          <w:sz w:val="20"/>
          <w:szCs w:val="20"/>
          <w:color w:val="auto"/>
        </w:rPr>
      </w:pPr>
      <w:r>
        <w:rPr>
          <w:rFonts w:ascii="Arial" w:cs="Arial" w:eastAsia="Arial" w:hAnsi="Arial"/>
          <w:sz w:val="10"/>
          <w:szCs w:val="10"/>
          <w:color w:val="auto"/>
        </w:rPr>
        <w:t>Honeywell Building Technologies is a leading global provider of products, software, solutions and technologies that enable building 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our customers to digitally manage buildings, connecting data from different assets to enable smart maintenance, improve building performance and even protect from incoming security threats.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9780"/>
              <w:spacing w:after="0"/>
              <w:rPr>
                <w:sz w:val="20"/>
                <w:szCs w:val="20"/>
                <w:color w:val="auto"/>
              </w:rPr>
            </w:pPr>
            <w:r>
              <w:rPr>
                <w:rFonts w:ascii="Arial" w:cs="Arial" w:eastAsia="Arial" w:hAnsi="Arial"/>
                <w:sz w:val="10"/>
                <w:szCs w:val="10"/>
                <w:color w:val="auto"/>
              </w:rPr>
              <w:t>Honeywell International Inc.</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D7282F"/>
              </w:rPr>
              <w:t>5</w:t>
            </w:r>
          </w:p>
        </w:tc>
      </w:tr>
      <w:tr>
        <w:trPr>
          <w:trHeight w:val="144"/>
        </w:trPr>
        <w:tc>
          <w:tcPr>
            <w:tcW w:w="1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7" w:name="page8"/>
    <w:bookmarkEnd w:id="7"/>
    <w:p>
      <w:pPr>
        <w:ind w:left="8"/>
        <w:spacing w:after="0"/>
        <w:rPr>
          <w:sz w:val="20"/>
          <w:szCs w:val="20"/>
          <w:color w:val="auto"/>
        </w:rPr>
      </w:pPr>
      <w:r>
        <w:rPr>
          <w:rFonts w:ascii="Arial" w:cs="Arial" w:eastAsia="Arial" w:hAnsi="Arial"/>
          <w:sz w:val="8"/>
          <w:szCs w:val="8"/>
          <w:b w:val="1"/>
          <w:bCs w:val="1"/>
          <w:color w:val="D7282F"/>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419100</wp:posOffset>
            </wp:positionV>
            <wp:extent cx="3989070" cy="2217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89070" cy="221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28"/>
        <w:spacing w:after="0"/>
        <w:rPr>
          <w:sz w:val="20"/>
          <w:szCs w:val="20"/>
          <w:color w:val="auto"/>
        </w:rPr>
      </w:pPr>
      <w:r>
        <w:rPr>
          <w:rFonts w:ascii="Arial" w:cs="Arial" w:eastAsia="Arial" w:hAnsi="Arial"/>
          <w:sz w:val="17"/>
          <w:szCs w:val="17"/>
          <w:b w:val="1"/>
          <w:bCs w:val="1"/>
          <w:color w:val="auto"/>
        </w:rPr>
        <w:t>PERFORMANCE MATERIALS AND</w:t>
      </w:r>
    </w:p>
    <w:p>
      <w:pPr>
        <w:spacing w:after="0" w:line="23" w:lineRule="exact"/>
        <w:rPr>
          <w:sz w:val="20"/>
          <w:szCs w:val="20"/>
          <w:color w:val="auto"/>
        </w:rPr>
      </w:pPr>
    </w:p>
    <w:p>
      <w:pPr>
        <w:ind w:left="2628"/>
        <w:spacing w:after="0"/>
        <w:rPr>
          <w:sz w:val="20"/>
          <w:szCs w:val="20"/>
          <w:color w:val="auto"/>
        </w:rPr>
      </w:pPr>
      <w:r>
        <w:rPr>
          <w:rFonts w:ascii="Arial" w:cs="Arial" w:eastAsia="Arial" w:hAnsi="Arial"/>
          <w:sz w:val="17"/>
          <w:szCs w:val="17"/>
          <w:b w:val="1"/>
          <w:bCs w:val="1"/>
          <w:color w:val="auto"/>
        </w:rPr>
        <w:t>TECHNOLOGIES</w:t>
      </w:r>
    </w:p>
    <w:p>
      <w:pPr>
        <w:spacing w:after="0" w:line="66" w:lineRule="exact"/>
        <w:rPr>
          <w:sz w:val="20"/>
          <w:szCs w:val="20"/>
          <w:color w:val="auto"/>
        </w:rPr>
      </w:pPr>
    </w:p>
    <w:p>
      <w:pPr>
        <w:jc w:val="both"/>
        <w:ind w:left="2628" w:right="3659"/>
        <w:spacing w:after="0" w:line="245" w:lineRule="auto"/>
        <w:rPr>
          <w:sz w:val="20"/>
          <w:szCs w:val="20"/>
          <w:color w:val="auto"/>
        </w:rPr>
      </w:pPr>
      <w:r>
        <w:rPr>
          <w:rFonts w:ascii="Arial" w:cs="Arial" w:eastAsia="Arial" w:hAnsi="Arial"/>
          <w:sz w:val="10"/>
          <w:szCs w:val="10"/>
          <w:color w:val="auto"/>
        </w:rPr>
        <w:t>Performance Materials and Technologies is a global leader in developing and manufacturing high-quality performance chemicals and materials, process technologies and automation solutions. The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with enabling improved operations and protecting processes, people, and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297180</wp:posOffset>
            </wp:positionV>
            <wp:extent cx="3989070" cy="1394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89070"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28"/>
        <w:spacing w:after="0"/>
        <w:rPr>
          <w:sz w:val="20"/>
          <w:szCs w:val="20"/>
          <w:color w:val="auto"/>
        </w:rPr>
      </w:pPr>
      <w:r>
        <w:rPr>
          <w:rFonts w:ascii="Arial" w:cs="Arial" w:eastAsia="Arial" w:hAnsi="Arial"/>
          <w:sz w:val="17"/>
          <w:szCs w:val="17"/>
          <w:b w:val="1"/>
          <w:bCs w:val="1"/>
          <w:color w:val="auto"/>
        </w:rPr>
        <w:t>SAFETY AND PRODUCTIVITY SOLUTIONS</w:t>
      </w:r>
    </w:p>
    <w:p>
      <w:pPr>
        <w:spacing w:after="0" w:line="86" w:lineRule="exact"/>
        <w:rPr>
          <w:sz w:val="20"/>
          <w:szCs w:val="20"/>
          <w:color w:val="auto"/>
        </w:rPr>
      </w:pPr>
    </w:p>
    <w:p>
      <w:pPr>
        <w:jc w:val="both"/>
        <w:ind w:left="2628" w:right="3659"/>
        <w:spacing w:after="0" w:line="224" w:lineRule="auto"/>
        <w:rPr>
          <w:sz w:val="20"/>
          <w:szCs w:val="20"/>
          <w:color w:val="auto"/>
        </w:rPr>
      </w:pPr>
      <w:r>
        <w:rPr>
          <w:rFonts w:ascii="Arial" w:cs="Arial" w:eastAsia="Arial" w:hAnsi="Arial"/>
          <w:sz w:val="11"/>
          <w:szCs w:val="11"/>
          <w:color w:val="auto"/>
        </w:rPr>
        <w:t>Safety and Productivity Solutions is a leading global provider of products and software that improve productivity, workplace safety, and asset performance to customers around the globe. Safety products include personal protection equipment (PPE), apparel, gear, and footwear;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 w:hanging="408"/>
        <w:spacing w:after="0"/>
        <w:tabs>
          <w:tab w:leader="none" w:pos="408" w:val="left"/>
        </w:tabs>
        <w:numPr>
          <w:ilvl w:val="0"/>
          <w:numId w:val="2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9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9"/>
          <w:szCs w:val="19"/>
          <w:color w:val="D7282F"/>
        </w:rPr>
        <w:t>COMPETITION</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1"/>
          <w:szCs w:val="11"/>
          <w:color w:val="auto"/>
        </w:rPr>
        <w:t>We are subject to competition in substantially all product and service areas. Some of our key competitors include but are not limited to:</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 w:type="dxa"/>
            <w:vAlign w:val="bottom"/>
          </w:tcPr>
          <w:p>
            <w:pPr>
              <w:spacing w:after="0" w:line="20" w:lineRule="exact"/>
              <w:rPr>
                <w:sz w:val="1"/>
                <w:szCs w:val="1"/>
                <w:color w:val="auto"/>
              </w:rPr>
            </w:pPr>
          </w:p>
        </w:tc>
        <w:tc>
          <w:tcPr>
            <w:tcW w:w="140" w:type="dxa"/>
            <w:vAlign w:val="bottom"/>
            <w:shd w:val="clear" w:color="auto" w:fill="D7282F"/>
          </w:tcPr>
          <w:p>
            <w:pPr>
              <w:spacing w:after="0" w:line="20" w:lineRule="exact"/>
              <w:rPr>
                <w:sz w:val="1"/>
                <w:szCs w:val="1"/>
                <w:color w:val="auto"/>
              </w:rPr>
            </w:pPr>
          </w:p>
        </w:tc>
        <w:tc>
          <w:tcPr>
            <w:tcW w:w="1800" w:type="dxa"/>
            <w:vAlign w:val="bottom"/>
            <w:shd w:val="clear" w:color="auto" w:fill="D7282F"/>
          </w:tcPr>
          <w:p>
            <w:pPr>
              <w:spacing w:after="0" w:line="20" w:lineRule="exact"/>
              <w:rPr>
                <w:sz w:val="1"/>
                <w:szCs w:val="1"/>
                <w:color w:val="auto"/>
              </w:rPr>
            </w:pPr>
          </w:p>
        </w:tc>
        <w:tc>
          <w:tcPr>
            <w:tcW w:w="920" w:type="dxa"/>
            <w:vAlign w:val="bottom"/>
            <w:shd w:val="clear" w:color="auto" w:fill="D7282F"/>
          </w:tcPr>
          <w:p>
            <w:pPr>
              <w:spacing w:after="0" w:line="20" w:lineRule="exact"/>
              <w:rPr>
                <w:sz w:val="1"/>
                <w:szCs w:val="1"/>
                <w:color w:val="auto"/>
              </w:rPr>
            </w:pPr>
          </w:p>
        </w:tc>
        <w:tc>
          <w:tcPr>
            <w:tcW w:w="2620" w:type="dxa"/>
            <w:vAlign w:val="bottom"/>
            <w:tcBorders>
              <w:right w:val="single" w:sz="8" w:color="D7282F"/>
            </w:tcBorders>
            <w:shd w:val="clear" w:color="auto" w:fill="D7282F"/>
          </w:tcPr>
          <w:p>
            <w:pPr>
              <w:spacing w:after="0" w:line="20" w:lineRule="exact"/>
              <w:rPr>
                <w:sz w:val="1"/>
                <w:szCs w:val="1"/>
                <w:color w:val="auto"/>
              </w:rPr>
            </w:pPr>
          </w:p>
        </w:tc>
        <w:tc>
          <w:tcPr>
            <w:tcW w:w="140" w:type="dxa"/>
            <w:vAlign w:val="bottom"/>
            <w:shd w:val="clear" w:color="auto" w:fill="D7282F"/>
          </w:tcPr>
          <w:p>
            <w:pPr>
              <w:spacing w:after="0" w:line="20" w:lineRule="exact"/>
              <w:rPr>
                <w:sz w:val="1"/>
                <w:szCs w:val="1"/>
                <w:color w:val="auto"/>
              </w:rPr>
            </w:pPr>
          </w:p>
        </w:tc>
        <w:tc>
          <w:tcPr>
            <w:tcW w:w="2440" w:type="dxa"/>
            <w:vAlign w:val="bottom"/>
            <w:shd w:val="clear" w:color="auto" w:fill="D7282F"/>
          </w:tcPr>
          <w:p>
            <w:pPr>
              <w:spacing w:after="0" w:line="20" w:lineRule="exact"/>
              <w:rPr>
                <w:sz w:val="1"/>
                <w:szCs w:val="1"/>
                <w:color w:val="auto"/>
              </w:rPr>
            </w:pPr>
          </w:p>
        </w:tc>
        <w:tc>
          <w:tcPr>
            <w:tcW w:w="380" w:type="dxa"/>
            <w:vAlign w:val="bottom"/>
            <w:shd w:val="clear" w:color="auto" w:fill="D7282F"/>
          </w:tcPr>
          <w:p>
            <w:pPr>
              <w:spacing w:after="0" w:line="20" w:lineRule="exact"/>
              <w:rPr>
                <w:sz w:val="1"/>
                <w:szCs w:val="1"/>
                <w:color w:val="auto"/>
              </w:rPr>
            </w:pPr>
          </w:p>
        </w:tc>
        <w:tc>
          <w:tcPr>
            <w:tcW w:w="2680" w:type="dxa"/>
            <w:vAlign w:val="bottom"/>
            <w:shd w:val="clear" w:color="auto" w:fill="D7282F"/>
          </w:tcPr>
          <w:p>
            <w:pPr>
              <w:spacing w:after="0" w:line="20" w:lineRule="exact"/>
              <w:rPr>
                <w:sz w:val="1"/>
                <w:szCs w:val="1"/>
                <w:color w:val="auto"/>
              </w:rPr>
            </w:pPr>
          </w:p>
        </w:tc>
      </w:tr>
      <w:tr>
        <w:trPr>
          <w:trHeight w:val="205"/>
        </w:trPr>
        <w:tc>
          <w:tcPr>
            <w:tcW w:w="2020" w:type="dxa"/>
            <w:vAlign w:val="bottom"/>
            <w:gridSpan w:val="3"/>
          </w:tcPr>
          <w:p>
            <w:pPr>
              <w:spacing w:after="0"/>
              <w:rPr>
                <w:sz w:val="20"/>
                <w:szCs w:val="20"/>
                <w:color w:val="auto"/>
              </w:rPr>
            </w:pPr>
            <w:r>
              <w:rPr>
                <w:rFonts w:ascii="Arial" w:cs="Arial" w:eastAsia="Arial" w:hAnsi="Arial"/>
                <w:sz w:val="12"/>
                <w:szCs w:val="12"/>
                <w:b w:val="1"/>
                <w:bCs w:val="1"/>
                <w:color w:val="auto"/>
              </w:rPr>
              <w:t>AEROSPACE</w:t>
            </w:r>
          </w:p>
        </w:tc>
        <w:tc>
          <w:tcPr>
            <w:tcW w:w="920" w:type="dxa"/>
            <w:vAlign w:val="bottom"/>
          </w:tcPr>
          <w:p>
            <w:pPr>
              <w:spacing w:after="0"/>
              <w:rPr>
                <w:sz w:val="17"/>
                <w:szCs w:val="17"/>
                <w:color w:val="auto"/>
              </w:rPr>
            </w:pPr>
          </w:p>
        </w:tc>
        <w:tc>
          <w:tcPr>
            <w:tcW w:w="2620" w:type="dxa"/>
            <w:vAlign w:val="bottom"/>
            <w:tcBorders>
              <w:right w:val="single" w:sz="8" w:color="D7282F"/>
            </w:tcBorders>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2"/>
                <w:szCs w:val="12"/>
                <w:b w:val="1"/>
                <w:bCs w:val="1"/>
                <w:color w:val="auto"/>
              </w:rPr>
              <w:t>HONEYWELL BUILDING TECHNOLOGIES</w:t>
            </w:r>
          </w:p>
        </w:tc>
        <w:tc>
          <w:tcPr>
            <w:tcW w:w="3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12"/>
        </w:trPr>
        <w:tc>
          <w:tcPr>
            <w:tcW w:w="8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1"/>
                <w:szCs w:val="11"/>
                <w:color w:val="EE2724"/>
              </w:rPr>
              <w:t>•</w:t>
            </w:r>
          </w:p>
        </w:tc>
        <w:tc>
          <w:tcPr>
            <w:tcW w:w="1800" w:type="dxa"/>
            <w:vAlign w:val="bottom"/>
          </w:tcPr>
          <w:p>
            <w:pPr>
              <w:ind w:left="40"/>
              <w:spacing w:after="0"/>
              <w:rPr>
                <w:sz w:val="20"/>
                <w:szCs w:val="20"/>
                <w:color w:val="auto"/>
              </w:rPr>
            </w:pPr>
            <w:r>
              <w:rPr>
                <w:rFonts w:ascii="Arial" w:cs="Arial" w:eastAsia="Arial" w:hAnsi="Arial"/>
                <w:sz w:val="11"/>
                <w:szCs w:val="11"/>
                <w:color w:val="auto"/>
              </w:rPr>
              <w:t>Garmin</w:t>
            </w:r>
          </w:p>
        </w:tc>
        <w:tc>
          <w:tcPr>
            <w:tcW w:w="920" w:type="dxa"/>
            <w:vAlign w:val="bottom"/>
          </w:tcPr>
          <w:p>
            <w:pPr>
              <w:ind w:left="840"/>
              <w:spacing w:after="0"/>
              <w:rPr>
                <w:sz w:val="20"/>
                <w:szCs w:val="20"/>
                <w:color w:val="auto"/>
              </w:rPr>
            </w:pPr>
            <w:r>
              <w:rPr>
                <w:rFonts w:ascii="Arial" w:cs="Arial" w:eastAsia="Arial" w:hAnsi="Arial"/>
                <w:sz w:val="11"/>
                <w:szCs w:val="11"/>
                <w:color w:val="EE2724"/>
              </w:rPr>
              <w:t>•</w:t>
            </w:r>
          </w:p>
        </w:tc>
        <w:tc>
          <w:tcPr>
            <w:tcW w:w="2620" w:type="dxa"/>
            <w:vAlign w:val="bottom"/>
            <w:tcBorders>
              <w:right w:val="single" w:sz="8" w:color="D7282F"/>
            </w:tcBorders>
          </w:tcPr>
          <w:p>
            <w:pPr>
              <w:ind w:left="60"/>
              <w:spacing w:after="0"/>
              <w:rPr>
                <w:sz w:val="20"/>
                <w:szCs w:val="20"/>
                <w:color w:val="auto"/>
              </w:rPr>
            </w:pPr>
            <w:r>
              <w:rPr>
                <w:rFonts w:ascii="Arial" w:cs="Arial" w:eastAsia="Arial" w:hAnsi="Arial"/>
                <w:sz w:val="11"/>
                <w:szCs w:val="11"/>
                <w:color w:val="auto"/>
              </w:rPr>
              <w:t>Raytheon Technologies</w:t>
            </w:r>
          </w:p>
        </w:tc>
        <w:tc>
          <w:tcPr>
            <w:tcW w:w="140" w:type="dxa"/>
            <w:vAlign w:val="bottom"/>
          </w:tcPr>
          <w:p>
            <w:pPr>
              <w:ind w:left="60"/>
              <w:spacing w:after="0"/>
              <w:rPr>
                <w:sz w:val="20"/>
                <w:szCs w:val="20"/>
                <w:color w:val="auto"/>
              </w:rPr>
            </w:pPr>
            <w:r>
              <w:rPr>
                <w:rFonts w:ascii="Arial" w:cs="Arial" w:eastAsia="Arial" w:hAnsi="Arial"/>
                <w:sz w:val="11"/>
                <w:szCs w:val="11"/>
                <w:color w:val="D7282F"/>
              </w:rPr>
              <w:t>•</w:t>
            </w:r>
          </w:p>
        </w:tc>
        <w:tc>
          <w:tcPr>
            <w:tcW w:w="2440" w:type="dxa"/>
            <w:vAlign w:val="bottom"/>
          </w:tcPr>
          <w:p>
            <w:pPr>
              <w:ind w:left="40"/>
              <w:spacing w:after="0"/>
              <w:rPr>
                <w:sz w:val="20"/>
                <w:szCs w:val="20"/>
                <w:color w:val="auto"/>
              </w:rPr>
            </w:pPr>
            <w:r>
              <w:rPr>
                <w:rFonts w:ascii="Arial" w:cs="Arial" w:eastAsia="Arial" w:hAnsi="Arial"/>
                <w:sz w:val="11"/>
                <w:szCs w:val="11"/>
                <w:color w:val="auto"/>
              </w:rPr>
              <w:t>Carrier Global</w:t>
            </w:r>
          </w:p>
        </w:tc>
        <w:tc>
          <w:tcPr>
            <w:tcW w:w="380" w:type="dxa"/>
            <w:vAlign w:val="bottom"/>
          </w:tcPr>
          <w:p>
            <w:pPr>
              <w:ind w:left="280"/>
              <w:spacing w:after="0"/>
              <w:rPr>
                <w:sz w:val="20"/>
                <w:szCs w:val="20"/>
                <w:color w:val="auto"/>
              </w:rPr>
            </w:pPr>
            <w:r>
              <w:rPr>
                <w:rFonts w:ascii="Arial" w:cs="Arial" w:eastAsia="Arial" w:hAnsi="Arial"/>
                <w:sz w:val="11"/>
                <w:szCs w:val="11"/>
                <w:color w:val="D7282F"/>
              </w:rPr>
              <w:t>•</w:t>
            </w:r>
          </w:p>
        </w:tc>
        <w:tc>
          <w:tcPr>
            <w:tcW w:w="2680" w:type="dxa"/>
            <w:vAlign w:val="bottom"/>
          </w:tcPr>
          <w:p>
            <w:pPr>
              <w:ind w:left="40"/>
              <w:spacing w:after="0"/>
              <w:rPr>
                <w:sz w:val="20"/>
                <w:szCs w:val="20"/>
                <w:color w:val="auto"/>
              </w:rPr>
            </w:pPr>
            <w:r>
              <w:rPr>
                <w:rFonts w:ascii="Arial" w:cs="Arial" w:eastAsia="Arial" w:hAnsi="Arial"/>
                <w:sz w:val="11"/>
                <w:szCs w:val="11"/>
                <w:color w:val="auto"/>
              </w:rPr>
              <w:t>Schneider Electric</w:t>
            </w:r>
          </w:p>
        </w:tc>
      </w:tr>
      <w:tr>
        <w:trPr>
          <w:trHeight w:val="171"/>
        </w:trPr>
        <w:tc>
          <w:tcPr>
            <w:tcW w:w="8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1"/>
                <w:szCs w:val="11"/>
                <w:color w:val="EE2724"/>
              </w:rPr>
              <w:t>•</w:t>
            </w:r>
          </w:p>
        </w:tc>
        <w:tc>
          <w:tcPr>
            <w:tcW w:w="1800" w:type="dxa"/>
            <w:vAlign w:val="bottom"/>
          </w:tcPr>
          <w:p>
            <w:pPr>
              <w:ind w:left="40"/>
              <w:spacing w:after="0"/>
              <w:rPr>
                <w:sz w:val="20"/>
                <w:szCs w:val="20"/>
                <w:color w:val="auto"/>
              </w:rPr>
            </w:pPr>
            <w:r>
              <w:rPr>
                <w:rFonts w:ascii="Arial" w:cs="Arial" w:eastAsia="Arial" w:hAnsi="Arial"/>
                <w:sz w:val="11"/>
                <w:szCs w:val="11"/>
                <w:color w:val="auto"/>
              </w:rPr>
              <w:t>L3 Harris</w:t>
            </w:r>
          </w:p>
        </w:tc>
        <w:tc>
          <w:tcPr>
            <w:tcW w:w="920" w:type="dxa"/>
            <w:vAlign w:val="bottom"/>
          </w:tcPr>
          <w:p>
            <w:pPr>
              <w:ind w:left="840"/>
              <w:spacing w:after="0"/>
              <w:rPr>
                <w:sz w:val="20"/>
                <w:szCs w:val="20"/>
                <w:color w:val="auto"/>
              </w:rPr>
            </w:pPr>
            <w:r>
              <w:rPr>
                <w:rFonts w:ascii="Arial" w:cs="Arial" w:eastAsia="Arial" w:hAnsi="Arial"/>
                <w:sz w:val="11"/>
                <w:szCs w:val="11"/>
                <w:color w:val="EE2724"/>
              </w:rPr>
              <w:t>•</w:t>
            </w:r>
          </w:p>
        </w:tc>
        <w:tc>
          <w:tcPr>
            <w:tcW w:w="2620" w:type="dxa"/>
            <w:vAlign w:val="bottom"/>
            <w:tcBorders>
              <w:right w:val="single" w:sz="8" w:color="D7282F"/>
            </w:tcBorders>
          </w:tcPr>
          <w:p>
            <w:pPr>
              <w:ind w:left="60"/>
              <w:spacing w:after="0"/>
              <w:rPr>
                <w:sz w:val="20"/>
                <w:szCs w:val="20"/>
                <w:color w:val="auto"/>
              </w:rPr>
            </w:pPr>
            <w:r>
              <w:rPr>
                <w:rFonts w:ascii="Arial" w:cs="Arial" w:eastAsia="Arial" w:hAnsi="Arial"/>
                <w:sz w:val="11"/>
                <w:szCs w:val="11"/>
                <w:color w:val="auto"/>
              </w:rPr>
              <w:t>Safran</w:t>
            </w:r>
          </w:p>
        </w:tc>
        <w:tc>
          <w:tcPr>
            <w:tcW w:w="140" w:type="dxa"/>
            <w:vAlign w:val="bottom"/>
          </w:tcPr>
          <w:p>
            <w:pPr>
              <w:ind w:left="60"/>
              <w:spacing w:after="0"/>
              <w:rPr>
                <w:sz w:val="20"/>
                <w:szCs w:val="20"/>
                <w:color w:val="auto"/>
              </w:rPr>
            </w:pPr>
            <w:r>
              <w:rPr>
                <w:rFonts w:ascii="Arial" w:cs="Arial" w:eastAsia="Arial" w:hAnsi="Arial"/>
                <w:sz w:val="11"/>
                <w:szCs w:val="11"/>
                <w:color w:val="D7282F"/>
              </w:rPr>
              <w:t>•</w:t>
            </w:r>
          </w:p>
        </w:tc>
        <w:tc>
          <w:tcPr>
            <w:tcW w:w="2440" w:type="dxa"/>
            <w:vAlign w:val="bottom"/>
          </w:tcPr>
          <w:p>
            <w:pPr>
              <w:ind w:left="40"/>
              <w:spacing w:after="0"/>
              <w:rPr>
                <w:sz w:val="20"/>
                <w:szCs w:val="20"/>
                <w:color w:val="auto"/>
              </w:rPr>
            </w:pPr>
            <w:r>
              <w:rPr>
                <w:rFonts w:ascii="Arial" w:cs="Arial" w:eastAsia="Arial" w:hAnsi="Arial"/>
                <w:sz w:val="11"/>
                <w:szCs w:val="11"/>
                <w:color w:val="auto"/>
              </w:rPr>
              <w:t>Johnson Controls</w:t>
            </w:r>
          </w:p>
        </w:tc>
        <w:tc>
          <w:tcPr>
            <w:tcW w:w="380" w:type="dxa"/>
            <w:vAlign w:val="bottom"/>
          </w:tcPr>
          <w:p>
            <w:pPr>
              <w:ind w:left="280"/>
              <w:spacing w:after="0"/>
              <w:rPr>
                <w:sz w:val="20"/>
                <w:szCs w:val="20"/>
                <w:color w:val="auto"/>
              </w:rPr>
            </w:pPr>
            <w:r>
              <w:rPr>
                <w:rFonts w:ascii="Arial" w:cs="Arial" w:eastAsia="Arial" w:hAnsi="Arial"/>
                <w:sz w:val="11"/>
                <w:szCs w:val="11"/>
                <w:color w:val="D7282F"/>
              </w:rPr>
              <w:t>•</w:t>
            </w:r>
          </w:p>
        </w:tc>
        <w:tc>
          <w:tcPr>
            <w:tcW w:w="2680" w:type="dxa"/>
            <w:vAlign w:val="bottom"/>
          </w:tcPr>
          <w:p>
            <w:pPr>
              <w:ind w:left="40"/>
              <w:spacing w:after="0"/>
              <w:rPr>
                <w:sz w:val="20"/>
                <w:szCs w:val="20"/>
                <w:color w:val="auto"/>
              </w:rPr>
            </w:pPr>
            <w:r>
              <w:rPr>
                <w:rFonts w:ascii="Arial" w:cs="Arial" w:eastAsia="Arial" w:hAnsi="Arial"/>
                <w:sz w:val="11"/>
                <w:szCs w:val="11"/>
                <w:color w:val="auto"/>
              </w:rPr>
              <w:t>Siemens</w:t>
            </w:r>
          </w:p>
        </w:tc>
      </w:tr>
      <w:tr>
        <w:trPr>
          <w:trHeight w:val="180"/>
        </w:trPr>
        <w:tc>
          <w:tcPr>
            <w:tcW w:w="8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1"/>
                <w:szCs w:val="11"/>
                <w:color w:val="EE2724"/>
              </w:rPr>
              <w:t>•</w:t>
            </w:r>
          </w:p>
        </w:tc>
        <w:tc>
          <w:tcPr>
            <w:tcW w:w="1800" w:type="dxa"/>
            <w:vAlign w:val="bottom"/>
          </w:tcPr>
          <w:p>
            <w:pPr>
              <w:ind w:left="40"/>
              <w:spacing w:after="0"/>
              <w:rPr>
                <w:sz w:val="20"/>
                <w:szCs w:val="20"/>
                <w:color w:val="auto"/>
              </w:rPr>
            </w:pPr>
            <w:r>
              <w:rPr>
                <w:rFonts w:ascii="Arial" w:cs="Arial" w:eastAsia="Arial" w:hAnsi="Arial"/>
                <w:sz w:val="11"/>
                <w:szCs w:val="11"/>
                <w:color w:val="auto"/>
              </w:rPr>
              <w:t>Northrop Grumman</w:t>
            </w:r>
          </w:p>
        </w:tc>
        <w:tc>
          <w:tcPr>
            <w:tcW w:w="920" w:type="dxa"/>
            <w:vAlign w:val="bottom"/>
          </w:tcPr>
          <w:p>
            <w:pPr>
              <w:ind w:left="8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tcPr>
          <w:p>
            <w:pPr>
              <w:ind w:left="60"/>
              <w:spacing w:after="0"/>
              <w:rPr>
                <w:sz w:val="20"/>
                <w:szCs w:val="20"/>
                <w:color w:val="auto"/>
              </w:rPr>
            </w:pPr>
            <w:r>
              <w:rPr>
                <w:rFonts w:ascii="Arial" w:cs="Arial" w:eastAsia="Arial" w:hAnsi="Arial"/>
                <w:sz w:val="11"/>
                <w:szCs w:val="11"/>
                <w:color w:val="auto"/>
              </w:rPr>
              <w:t>Thales</w:t>
            </w:r>
          </w:p>
        </w:tc>
        <w:tc>
          <w:tcPr>
            <w:tcW w:w="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58"/>
        </w:trPr>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20" w:type="dxa"/>
            <w:vAlign w:val="bottom"/>
            <w:tcBorders>
              <w:right w:val="single" w:sz="8" w:color="D7282F"/>
            </w:tcBorders>
          </w:tcPr>
          <w:p>
            <w:pPr>
              <w:spacing w:after="0"/>
              <w:rPr>
                <w:sz w:val="5"/>
                <w:szCs w:val="5"/>
                <w:color w:val="auto"/>
              </w:rPr>
            </w:pPr>
          </w:p>
        </w:tc>
        <w:tc>
          <w:tcPr>
            <w:tcW w:w="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80" w:type="dxa"/>
            <w:vAlign w:val="bottom"/>
          </w:tcPr>
          <w:p>
            <w:pPr>
              <w:spacing w:after="0"/>
              <w:rPr>
                <w:sz w:val="5"/>
                <w:szCs w:val="5"/>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 w:type="dxa"/>
            <w:vAlign w:val="bottom"/>
          </w:tcPr>
          <w:p>
            <w:pPr>
              <w:spacing w:after="0" w:line="20" w:lineRule="exact"/>
              <w:rPr>
                <w:sz w:val="1"/>
                <w:szCs w:val="1"/>
                <w:color w:val="auto"/>
              </w:rPr>
            </w:pPr>
          </w:p>
        </w:tc>
        <w:tc>
          <w:tcPr>
            <w:tcW w:w="140" w:type="dxa"/>
            <w:vAlign w:val="bottom"/>
            <w:shd w:val="clear" w:color="auto" w:fill="D7282F"/>
          </w:tcPr>
          <w:p>
            <w:pPr>
              <w:spacing w:after="0" w:line="20" w:lineRule="exact"/>
              <w:rPr>
                <w:sz w:val="1"/>
                <w:szCs w:val="1"/>
                <w:color w:val="auto"/>
              </w:rPr>
            </w:pPr>
          </w:p>
        </w:tc>
        <w:tc>
          <w:tcPr>
            <w:tcW w:w="1600" w:type="dxa"/>
            <w:vAlign w:val="bottom"/>
            <w:shd w:val="clear" w:color="auto" w:fill="D7282F"/>
          </w:tcPr>
          <w:p>
            <w:pPr>
              <w:spacing w:after="0" w:line="20" w:lineRule="exact"/>
              <w:rPr>
                <w:sz w:val="1"/>
                <w:szCs w:val="1"/>
                <w:color w:val="auto"/>
              </w:rPr>
            </w:pPr>
          </w:p>
        </w:tc>
        <w:tc>
          <w:tcPr>
            <w:tcW w:w="1160" w:type="dxa"/>
            <w:vAlign w:val="bottom"/>
            <w:shd w:val="clear" w:color="auto" w:fill="D7282F"/>
          </w:tcPr>
          <w:p>
            <w:pPr>
              <w:spacing w:after="0" w:line="20" w:lineRule="exact"/>
              <w:rPr>
                <w:sz w:val="1"/>
                <w:szCs w:val="1"/>
                <w:color w:val="auto"/>
              </w:rPr>
            </w:pPr>
          </w:p>
        </w:tc>
        <w:tc>
          <w:tcPr>
            <w:tcW w:w="2580" w:type="dxa"/>
            <w:vAlign w:val="bottom"/>
            <w:tcBorders>
              <w:right w:val="single" w:sz="8" w:color="D7282F"/>
            </w:tcBorders>
            <w:shd w:val="clear" w:color="auto" w:fill="D7282F"/>
          </w:tcPr>
          <w:p>
            <w:pPr>
              <w:spacing w:after="0" w:line="20" w:lineRule="exact"/>
              <w:rPr>
                <w:sz w:val="1"/>
                <w:szCs w:val="1"/>
                <w:color w:val="auto"/>
              </w:rPr>
            </w:pPr>
          </w:p>
        </w:tc>
        <w:tc>
          <w:tcPr>
            <w:tcW w:w="140" w:type="dxa"/>
            <w:vAlign w:val="bottom"/>
            <w:shd w:val="clear" w:color="auto" w:fill="D7282F"/>
          </w:tcPr>
          <w:p>
            <w:pPr>
              <w:spacing w:after="0" w:line="20" w:lineRule="exact"/>
              <w:rPr>
                <w:sz w:val="1"/>
                <w:szCs w:val="1"/>
                <w:color w:val="auto"/>
              </w:rPr>
            </w:pPr>
          </w:p>
        </w:tc>
        <w:tc>
          <w:tcPr>
            <w:tcW w:w="2460" w:type="dxa"/>
            <w:vAlign w:val="bottom"/>
            <w:shd w:val="clear" w:color="auto" w:fill="D7282F"/>
          </w:tcPr>
          <w:p>
            <w:pPr>
              <w:spacing w:after="0" w:line="20" w:lineRule="exact"/>
              <w:rPr>
                <w:sz w:val="1"/>
                <w:szCs w:val="1"/>
                <w:color w:val="auto"/>
              </w:rPr>
            </w:pPr>
          </w:p>
        </w:tc>
        <w:tc>
          <w:tcPr>
            <w:tcW w:w="300" w:type="dxa"/>
            <w:vAlign w:val="bottom"/>
            <w:shd w:val="clear" w:color="auto" w:fill="D7282F"/>
          </w:tcPr>
          <w:p>
            <w:pPr>
              <w:spacing w:after="0" w:line="20" w:lineRule="exact"/>
              <w:rPr>
                <w:sz w:val="1"/>
                <w:szCs w:val="1"/>
                <w:color w:val="auto"/>
              </w:rPr>
            </w:pPr>
          </w:p>
        </w:tc>
        <w:tc>
          <w:tcPr>
            <w:tcW w:w="2740" w:type="dxa"/>
            <w:vAlign w:val="bottom"/>
            <w:shd w:val="clear" w:color="auto" w:fill="D7282F"/>
          </w:tcPr>
          <w:p>
            <w:pPr>
              <w:spacing w:after="0" w:line="20" w:lineRule="exact"/>
              <w:rPr>
                <w:sz w:val="1"/>
                <w:szCs w:val="1"/>
                <w:color w:val="auto"/>
              </w:rPr>
            </w:pPr>
          </w:p>
        </w:tc>
      </w:tr>
      <w:tr>
        <w:trPr>
          <w:trHeight w:val="205"/>
        </w:trPr>
        <w:tc>
          <w:tcPr>
            <w:tcW w:w="2980" w:type="dxa"/>
            <w:vAlign w:val="bottom"/>
            <w:gridSpan w:val="4"/>
          </w:tcPr>
          <w:p>
            <w:pPr>
              <w:spacing w:after="0"/>
              <w:rPr>
                <w:sz w:val="20"/>
                <w:szCs w:val="20"/>
                <w:color w:val="auto"/>
              </w:rPr>
            </w:pPr>
            <w:r>
              <w:rPr>
                <w:rFonts w:ascii="Arial" w:cs="Arial" w:eastAsia="Arial" w:hAnsi="Arial"/>
                <w:sz w:val="12"/>
                <w:szCs w:val="12"/>
                <w:b w:val="1"/>
                <w:bCs w:val="1"/>
                <w:color w:val="auto"/>
                <w:w w:val="99"/>
              </w:rPr>
              <w:t>PERFORMANCE MATERIALS AND TECHNOLOGIES</w:t>
            </w:r>
          </w:p>
        </w:tc>
        <w:tc>
          <w:tcPr>
            <w:tcW w:w="2580" w:type="dxa"/>
            <w:vAlign w:val="bottom"/>
            <w:tcBorders>
              <w:right w:val="single" w:sz="8" w:color="D7282F"/>
            </w:tcBorders>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2"/>
                <w:szCs w:val="12"/>
                <w:b w:val="1"/>
                <w:bCs w:val="1"/>
                <w:color w:val="auto"/>
              </w:rPr>
              <w:t>SAFETY AND PRODUCTIVITY SOLUTIONS</w:t>
            </w: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12"/>
        </w:trPr>
        <w:tc>
          <w:tcPr>
            <w:tcW w:w="8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1"/>
                <w:szCs w:val="11"/>
                <w:color w:val="EE2724"/>
              </w:rPr>
              <w:t>•</w:t>
            </w:r>
          </w:p>
        </w:tc>
        <w:tc>
          <w:tcPr>
            <w:tcW w:w="1600" w:type="dxa"/>
            <w:vAlign w:val="bottom"/>
          </w:tcPr>
          <w:p>
            <w:pPr>
              <w:ind w:left="40"/>
              <w:spacing w:after="0"/>
              <w:rPr>
                <w:sz w:val="20"/>
                <w:szCs w:val="20"/>
                <w:color w:val="auto"/>
              </w:rPr>
            </w:pPr>
            <w:r>
              <w:rPr>
                <w:rFonts w:ascii="Arial" w:cs="Arial" w:eastAsia="Arial" w:hAnsi="Arial"/>
                <w:sz w:val="11"/>
                <w:szCs w:val="11"/>
                <w:color w:val="auto"/>
              </w:rPr>
              <w:t>Arkema</w:t>
            </w:r>
          </w:p>
        </w:tc>
        <w:tc>
          <w:tcPr>
            <w:tcW w:w="1160" w:type="dxa"/>
            <w:vAlign w:val="bottom"/>
          </w:tcPr>
          <w:p>
            <w:pPr>
              <w:ind w:left="1040"/>
              <w:spacing w:after="0"/>
              <w:rPr>
                <w:sz w:val="20"/>
                <w:szCs w:val="20"/>
                <w:color w:val="auto"/>
              </w:rPr>
            </w:pPr>
            <w:r>
              <w:rPr>
                <w:rFonts w:ascii="Arial" w:cs="Arial" w:eastAsia="Arial" w:hAnsi="Arial"/>
                <w:sz w:val="11"/>
                <w:szCs w:val="11"/>
                <w:b w:val="1"/>
                <w:bCs w:val="1"/>
                <w:color w:val="D7282F"/>
              </w:rPr>
              <w:t>•</w:t>
            </w:r>
          </w:p>
        </w:tc>
        <w:tc>
          <w:tcPr>
            <w:tcW w:w="2580" w:type="dxa"/>
            <w:vAlign w:val="bottom"/>
            <w:tcBorders>
              <w:right w:val="single" w:sz="8" w:color="D7282F"/>
            </w:tcBorders>
          </w:tcPr>
          <w:p>
            <w:pPr>
              <w:ind w:left="20"/>
              <w:spacing w:after="0"/>
              <w:rPr>
                <w:sz w:val="20"/>
                <w:szCs w:val="20"/>
                <w:color w:val="auto"/>
              </w:rPr>
            </w:pPr>
            <w:r>
              <w:rPr>
                <w:rFonts w:ascii="Arial" w:cs="Arial" w:eastAsia="Arial" w:hAnsi="Arial"/>
                <w:sz w:val="11"/>
                <w:szCs w:val="11"/>
                <w:color w:val="auto"/>
              </w:rPr>
              <w:t>Emerson Electric</w:t>
            </w:r>
          </w:p>
        </w:tc>
        <w:tc>
          <w:tcPr>
            <w:tcW w:w="140" w:type="dxa"/>
            <w:vAlign w:val="bottom"/>
          </w:tcPr>
          <w:p>
            <w:pPr>
              <w:ind w:left="60"/>
              <w:spacing w:after="0"/>
              <w:rPr>
                <w:sz w:val="20"/>
                <w:szCs w:val="20"/>
                <w:color w:val="auto"/>
              </w:rPr>
            </w:pPr>
            <w:r>
              <w:rPr>
                <w:rFonts w:ascii="Arial" w:cs="Arial" w:eastAsia="Arial" w:hAnsi="Arial"/>
                <w:sz w:val="11"/>
                <w:szCs w:val="11"/>
                <w:color w:val="D7282F"/>
              </w:rPr>
              <w:t>•</w:t>
            </w:r>
          </w:p>
        </w:tc>
        <w:tc>
          <w:tcPr>
            <w:tcW w:w="2460" w:type="dxa"/>
            <w:vAlign w:val="bottom"/>
          </w:tcPr>
          <w:p>
            <w:pPr>
              <w:ind w:left="40"/>
              <w:spacing w:after="0"/>
              <w:rPr>
                <w:sz w:val="20"/>
                <w:szCs w:val="20"/>
                <w:color w:val="auto"/>
              </w:rPr>
            </w:pPr>
            <w:r>
              <w:rPr>
                <w:rFonts w:ascii="Arial" w:cs="Arial" w:eastAsia="Arial" w:hAnsi="Arial"/>
                <w:sz w:val="11"/>
                <w:szCs w:val="11"/>
                <w:color w:val="auto"/>
              </w:rPr>
              <w:t>3M</w:t>
            </w:r>
          </w:p>
        </w:tc>
        <w:tc>
          <w:tcPr>
            <w:tcW w:w="300" w:type="dxa"/>
            <w:vAlign w:val="bottom"/>
          </w:tcPr>
          <w:p>
            <w:pPr>
              <w:ind w:left="220"/>
              <w:spacing w:after="0"/>
              <w:rPr>
                <w:sz w:val="20"/>
                <w:szCs w:val="20"/>
                <w:color w:val="auto"/>
              </w:rPr>
            </w:pPr>
            <w:r>
              <w:rPr>
                <w:rFonts w:ascii="Arial" w:cs="Arial" w:eastAsia="Arial" w:hAnsi="Arial"/>
                <w:sz w:val="11"/>
                <w:szCs w:val="11"/>
                <w:b w:val="1"/>
                <w:bCs w:val="1"/>
                <w:color w:val="D7282F"/>
              </w:rPr>
              <w:t>•</w:t>
            </w:r>
          </w:p>
        </w:tc>
        <w:tc>
          <w:tcPr>
            <w:tcW w:w="2740" w:type="dxa"/>
            <w:vAlign w:val="bottom"/>
          </w:tcPr>
          <w:p>
            <w:pPr>
              <w:ind w:left="60"/>
              <w:spacing w:after="0"/>
              <w:rPr>
                <w:sz w:val="20"/>
                <w:szCs w:val="20"/>
                <w:color w:val="auto"/>
              </w:rPr>
            </w:pPr>
            <w:r>
              <w:rPr>
                <w:rFonts w:ascii="Arial" w:cs="Arial" w:eastAsia="Arial" w:hAnsi="Arial"/>
                <w:sz w:val="11"/>
                <w:szCs w:val="11"/>
                <w:color w:val="auto"/>
              </w:rPr>
              <w:t>TE Connectivity</w:t>
            </w:r>
          </w:p>
        </w:tc>
      </w:tr>
      <w:tr>
        <w:trPr>
          <w:trHeight w:val="171"/>
        </w:trPr>
        <w:tc>
          <w:tcPr>
            <w:tcW w:w="8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1"/>
                <w:szCs w:val="11"/>
                <w:color w:val="EE2724"/>
              </w:rPr>
              <w:t>•</w:t>
            </w:r>
          </w:p>
        </w:tc>
        <w:tc>
          <w:tcPr>
            <w:tcW w:w="1600" w:type="dxa"/>
            <w:vAlign w:val="bottom"/>
          </w:tcPr>
          <w:p>
            <w:pPr>
              <w:ind w:left="40"/>
              <w:spacing w:after="0"/>
              <w:rPr>
                <w:sz w:val="20"/>
                <w:szCs w:val="20"/>
                <w:color w:val="auto"/>
              </w:rPr>
            </w:pPr>
            <w:r>
              <w:rPr>
                <w:rFonts w:ascii="Arial" w:cs="Arial" w:eastAsia="Arial" w:hAnsi="Arial"/>
                <w:sz w:val="11"/>
                <w:szCs w:val="11"/>
                <w:color w:val="auto"/>
              </w:rPr>
              <w:t>Axens</w:t>
            </w:r>
          </w:p>
        </w:tc>
        <w:tc>
          <w:tcPr>
            <w:tcW w:w="1160" w:type="dxa"/>
            <w:vAlign w:val="bottom"/>
          </w:tcPr>
          <w:p>
            <w:pPr>
              <w:ind w:left="1040"/>
              <w:spacing w:after="0"/>
              <w:rPr>
                <w:sz w:val="20"/>
                <w:szCs w:val="20"/>
                <w:color w:val="auto"/>
              </w:rPr>
            </w:pPr>
            <w:r>
              <w:rPr>
                <w:rFonts w:ascii="Arial" w:cs="Arial" w:eastAsia="Arial" w:hAnsi="Arial"/>
                <w:sz w:val="11"/>
                <w:szCs w:val="11"/>
                <w:b w:val="1"/>
                <w:bCs w:val="1"/>
                <w:color w:val="D7282F"/>
              </w:rPr>
              <w:t>•</w:t>
            </w:r>
          </w:p>
        </w:tc>
        <w:tc>
          <w:tcPr>
            <w:tcW w:w="2580" w:type="dxa"/>
            <w:vAlign w:val="bottom"/>
            <w:tcBorders>
              <w:right w:val="single" w:sz="8" w:color="D7282F"/>
            </w:tcBorders>
          </w:tcPr>
          <w:p>
            <w:pPr>
              <w:ind w:left="20"/>
              <w:spacing w:after="0"/>
              <w:rPr>
                <w:sz w:val="20"/>
                <w:szCs w:val="20"/>
                <w:color w:val="auto"/>
              </w:rPr>
            </w:pPr>
            <w:r>
              <w:rPr>
                <w:rFonts w:ascii="Arial" w:cs="Arial" w:eastAsia="Arial" w:hAnsi="Arial"/>
                <w:sz w:val="11"/>
                <w:szCs w:val="11"/>
                <w:color w:val="auto"/>
              </w:rPr>
              <w:t>Haldor Topsoe</w:t>
            </w:r>
          </w:p>
        </w:tc>
        <w:tc>
          <w:tcPr>
            <w:tcW w:w="140" w:type="dxa"/>
            <w:vAlign w:val="bottom"/>
          </w:tcPr>
          <w:p>
            <w:pPr>
              <w:ind w:left="60"/>
              <w:spacing w:after="0"/>
              <w:rPr>
                <w:sz w:val="20"/>
                <w:szCs w:val="20"/>
                <w:color w:val="auto"/>
              </w:rPr>
            </w:pPr>
            <w:r>
              <w:rPr>
                <w:rFonts w:ascii="Arial" w:cs="Arial" w:eastAsia="Arial" w:hAnsi="Arial"/>
                <w:sz w:val="11"/>
                <w:szCs w:val="11"/>
                <w:b w:val="1"/>
                <w:bCs w:val="1"/>
                <w:color w:val="D7282F"/>
              </w:rPr>
              <w:t>•</w:t>
            </w:r>
          </w:p>
        </w:tc>
        <w:tc>
          <w:tcPr>
            <w:tcW w:w="2460" w:type="dxa"/>
            <w:vAlign w:val="bottom"/>
          </w:tcPr>
          <w:p>
            <w:pPr>
              <w:ind w:left="40"/>
              <w:spacing w:after="0"/>
              <w:rPr>
                <w:sz w:val="20"/>
                <w:szCs w:val="20"/>
                <w:color w:val="auto"/>
              </w:rPr>
            </w:pPr>
            <w:r>
              <w:rPr>
                <w:rFonts w:ascii="Arial" w:cs="Arial" w:eastAsia="Arial" w:hAnsi="Arial"/>
                <w:sz w:val="11"/>
                <w:szCs w:val="11"/>
                <w:color w:val="auto"/>
              </w:rPr>
              <w:t>Kion Group</w:t>
            </w:r>
          </w:p>
        </w:tc>
        <w:tc>
          <w:tcPr>
            <w:tcW w:w="300" w:type="dxa"/>
            <w:vAlign w:val="bottom"/>
          </w:tcPr>
          <w:p>
            <w:pPr>
              <w:ind w:left="220"/>
              <w:spacing w:after="0"/>
              <w:rPr>
                <w:sz w:val="20"/>
                <w:szCs w:val="20"/>
                <w:color w:val="auto"/>
              </w:rPr>
            </w:pPr>
            <w:r>
              <w:rPr>
                <w:rFonts w:ascii="Arial" w:cs="Arial" w:eastAsia="Arial" w:hAnsi="Arial"/>
                <w:sz w:val="11"/>
                <w:szCs w:val="11"/>
                <w:b w:val="1"/>
                <w:bCs w:val="1"/>
                <w:color w:val="D7282F"/>
              </w:rPr>
              <w:t>•</w:t>
            </w:r>
          </w:p>
        </w:tc>
        <w:tc>
          <w:tcPr>
            <w:tcW w:w="2740" w:type="dxa"/>
            <w:vAlign w:val="bottom"/>
          </w:tcPr>
          <w:p>
            <w:pPr>
              <w:ind w:left="60"/>
              <w:spacing w:after="0"/>
              <w:rPr>
                <w:sz w:val="20"/>
                <w:szCs w:val="20"/>
                <w:color w:val="auto"/>
              </w:rPr>
            </w:pPr>
            <w:r>
              <w:rPr>
                <w:rFonts w:ascii="Arial" w:cs="Arial" w:eastAsia="Arial" w:hAnsi="Arial"/>
                <w:sz w:val="11"/>
                <w:szCs w:val="11"/>
                <w:color w:val="auto"/>
              </w:rPr>
              <w:t>Zebra Technologies</w:t>
            </w:r>
          </w:p>
        </w:tc>
      </w:tr>
      <w:tr>
        <w:trPr>
          <w:trHeight w:val="180"/>
        </w:trPr>
        <w:tc>
          <w:tcPr>
            <w:tcW w:w="8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1"/>
                <w:szCs w:val="11"/>
                <w:color w:val="EE2724"/>
              </w:rPr>
              <w:t>•</w:t>
            </w:r>
          </w:p>
        </w:tc>
        <w:tc>
          <w:tcPr>
            <w:tcW w:w="1600" w:type="dxa"/>
            <w:vAlign w:val="bottom"/>
          </w:tcPr>
          <w:p>
            <w:pPr>
              <w:ind w:left="40"/>
              <w:spacing w:after="0"/>
              <w:rPr>
                <w:sz w:val="20"/>
                <w:szCs w:val="20"/>
                <w:color w:val="auto"/>
              </w:rPr>
            </w:pPr>
            <w:r>
              <w:rPr>
                <w:rFonts w:ascii="Arial" w:cs="Arial" w:eastAsia="Arial" w:hAnsi="Arial"/>
                <w:sz w:val="11"/>
                <w:szCs w:val="11"/>
                <w:color w:val="auto"/>
              </w:rPr>
              <w:t>Chemours</w:t>
            </w:r>
          </w:p>
        </w:tc>
        <w:tc>
          <w:tcPr>
            <w:tcW w:w="1160" w:type="dxa"/>
            <w:vAlign w:val="bottom"/>
          </w:tcPr>
          <w:p>
            <w:pPr>
              <w:ind w:left="1040"/>
              <w:spacing w:after="0"/>
              <w:rPr>
                <w:sz w:val="20"/>
                <w:szCs w:val="20"/>
                <w:color w:val="auto"/>
              </w:rPr>
            </w:pPr>
            <w:r>
              <w:rPr>
                <w:rFonts w:ascii="Arial" w:cs="Arial" w:eastAsia="Arial" w:hAnsi="Arial"/>
                <w:sz w:val="11"/>
                <w:szCs w:val="11"/>
                <w:b w:val="1"/>
                <w:bCs w:val="1"/>
                <w:color w:val="D7282F"/>
              </w:rPr>
              <w:t>•</w:t>
            </w:r>
          </w:p>
        </w:tc>
        <w:tc>
          <w:tcPr>
            <w:tcW w:w="2580" w:type="dxa"/>
            <w:vAlign w:val="bottom"/>
            <w:tcBorders>
              <w:right w:val="single" w:sz="8" w:color="D7282F"/>
            </w:tcBorders>
          </w:tcPr>
          <w:p>
            <w:pPr>
              <w:ind w:left="20"/>
              <w:spacing w:after="0"/>
              <w:rPr>
                <w:sz w:val="20"/>
                <w:szCs w:val="20"/>
                <w:color w:val="auto"/>
              </w:rPr>
            </w:pPr>
            <w:r>
              <w:rPr>
                <w:rFonts w:ascii="Arial" w:cs="Arial" w:eastAsia="Arial" w:hAnsi="Arial"/>
                <w:sz w:val="11"/>
                <w:szCs w:val="11"/>
                <w:color w:val="auto"/>
              </w:rPr>
              <w:t>Lummus Technology</w:t>
            </w:r>
          </w:p>
        </w:tc>
        <w:tc>
          <w:tcPr>
            <w:tcW w:w="140" w:type="dxa"/>
            <w:vAlign w:val="bottom"/>
          </w:tcPr>
          <w:p>
            <w:pPr>
              <w:ind w:left="60"/>
              <w:spacing w:after="0"/>
              <w:rPr>
                <w:sz w:val="20"/>
                <w:szCs w:val="20"/>
                <w:color w:val="auto"/>
              </w:rPr>
            </w:pPr>
            <w:r>
              <w:rPr>
                <w:rFonts w:ascii="Arial" w:cs="Arial" w:eastAsia="Arial" w:hAnsi="Arial"/>
                <w:sz w:val="11"/>
                <w:szCs w:val="11"/>
                <w:b w:val="1"/>
                <w:bCs w:val="1"/>
                <w:color w:val="D7282F"/>
              </w:rPr>
              <w:t>•</w:t>
            </w:r>
          </w:p>
        </w:tc>
        <w:tc>
          <w:tcPr>
            <w:tcW w:w="2460" w:type="dxa"/>
            <w:vAlign w:val="bottom"/>
          </w:tcPr>
          <w:p>
            <w:pPr>
              <w:ind w:left="40"/>
              <w:spacing w:after="0"/>
              <w:rPr>
                <w:sz w:val="20"/>
                <w:szCs w:val="20"/>
                <w:color w:val="auto"/>
              </w:rPr>
            </w:pPr>
            <w:r>
              <w:rPr>
                <w:rFonts w:ascii="Arial" w:cs="Arial" w:eastAsia="Arial" w:hAnsi="Arial"/>
                <w:sz w:val="11"/>
                <w:szCs w:val="11"/>
                <w:color w:val="auto"/>
              </w:rPr>
              <w:t>MSA Safety Incorporated</w:t>
            </w:r>
          </w:p>
        </w:tc>
        <w:tc>
          <w:tcPr>
            <w:tcW w:w="30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71"/>
        </w:trPr>
        <w:tc>
          <w:tcPr>
            <w:tcW w:w="8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Arial" w:cs="Arial" w:eastAsia="Arial" w:hAnsi="Arial"/>
                <w:sz w:val="11"/>
                <w:szCs w:val="11"/>
                <w:color w:val="EE2724"/>
              </w:rPr>
              <w:t>•</w:t>
            </w:r>
          </w:p>
        </w:tc>
        <w:tc>
          <w:tcPr>
            <w:tcW w:w="1600" w:type="dxa"/>
            <w:vAlign w:val="bottom"/>
          </w:tcPr>
          <w:p>
            <w:pPr>
              <w:ind w:left="40"/>
              <w:spacing w:after="0"/>
              <w:rPr>
                <w:sz w:val="20"/>
                <w:szCs w:val="20"/>
                <w:color w:val="auto"/>
              </w:rPr>
            </w:pPr>
            <w:r>
              <w:rPr>
                <w:rFonts w:ascii="Arial" w:cs="Arial" w:eastAsia="Arial" w:hAnsi="Arial"/>
                <w:sz w:val="11"/>
                <w:szCs w:val="11"/>
                <w:color w:val="auto"/>
              </w:rPr>
              <w:t>DSM</w:t>
            </w:r>
          </w:p>
        </w:tc>
        <w:tc>
          <w:tcPr>
            <w:tcW w:w="1160" w:type="dxa"/>
            <w:vAlign w:val="bottom"/>
          </w:tcPr>
          <w:p>
            <w:pPr>
              <w:ind w:left="1040"/>
              <w:spacing w:after="0"/>
              <w:rPr>
                <w:sz w:val="20"/>
                <w:szCs w:val="20"/>
                <w:color w:val="auto"/>
              </w:rPr>
            </w:pPr>
            <w:r>
              <w:rPr>
                <w:rFonts w:ascii="Arial" w:cs="Arial" w:eastAsia="Arial" w:hAnsi="Arial"/>
                <w:sz w:val="11"/>
                <w:szCs w:val="11"/>
                <w:b w:val="1"/>
                <w:bCs w:val="1"/>
                <w:color w:val="D7282F"/>
              </w:rPr>
              <w:t>•</w:t>
            </w:r>
          </w:p>
        </w:tc>
        <w:tc>
          <w:tcPr>
            <w:tcW w:w="2580" w:type="dxa"/>
            <w:vAlign w:val="bottom"/>
            <w:tcBorders>
              <w:right w:val="single" w:sz="8" w:color="D7282F"/>
            </w:tcBorders>
          </w:tcPr>
          <w:p>
            <w:pPr>
              <w:ind w:left="20"/>
              <w:spacing w:after="0"/>
              <w:rPr>
                <w:sz w:val="20"/>
                <w:szCs w:val="20"/>
                <w:color w:val="auto"/>
              </w:rPr>
            </w:pPr>
            <w:r>
              <w:rPr>
                <w:rFonts w:ascii="Arial" w:cs="Arial" w:eastAsia="Arial" w:hAnsi="Arial"/>
                <w:sz w:val="11"/>
                <w:szCs w:val="11"/>
                <w:color w:val="auto"/>
              </w:rPr>
              <w:t>Rockwell Automation</w:t>
            </w:r>
          </w:p>
        </w:tc>
        <w:tc>
          <w:tcPr>
            <w:tcW w:w="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67"/>
        </w:trPr>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Borders>
              <w:right w:val="single" w:sz="8" w:color="D7282F"/>
            </w:tcBorders>
          </w:tcPr>
          <w:p>
            <w:pPr>
              <w:spacing w:after="0"/>
              <w:rPr>
                <w:sz w:val="5"/>
                <w:szCs w:val="5"/>
                <w:color w:val="auto"/>
              </w:rPr>
            </w:pPr>
          </w:p>
        </w:tc>
        <w:tc>
          <w:tcPr>
            <w:tcW w:w="1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740" w:type="dxa"/>
            <w:vAlign w:val="bottom"/>
          </w:tcPr>
          <w:p>
            <w:pPr>
              <w:spacing w:after="0"/>
              <w:rPr>
                <w:sz w:val="5"/>
                <w:szCs w:val="5"/>
                <w:color w:val="auto"/>
              </w:rPr>
            </w:pPr>
          </w:p>
        </w:tc>
      </w:tr>
    </w:tbl>
    <w:p>
      <w:pPr>
        <w:spacing w:after="0" w:line="118" w:lineRule="exact"/>
        <w:rPr>
          <w:sz w:val="20"/>
          <w:szCs w:val="20"/>
          <w:color w:val="auto"/>
        </w:rPr>
      </w:pPr>
    </w:p>
    <w:p>
      <w:pPr>
        <w:jc w:val="both"/>
        <w:ind w:left="40"/>
        <w:spacing w:after="0" w:line="230" w:lineRule="auto"/>
        <w:rPr>
          <w:sz w:val="20"/>
          <w:szCs w:val="20"/>
          <w:color w:val="auto"/>
        </w:rPr>
      </w:pPr>
      <w:r>
        <w:rPr>
          <w:rFonts w:ascii="Arial" w:cs="Arial" w:eastAsia="Arial" w:hAnsi="Arial"/>
          <w:sz w:val="11"/>
          <w:szCs w:val="11"/>
          <w:color w:val="auto"/>
        </w:rPr>
        <w:t>Our businesses compete on a variety of factors such as performance, applied technology, product innovation, product recognition, quality, reliability, customer service, delivery, and price. Brand identity, service to customers, and quality are important competitive factors for our products and services. Our products face considerable price competition. While our competitive position varies among our products and services, we are a significant competitor in each of our major product and service classes.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9"/>
          <w:szCs w:val="19"/>
          <w:color w:val="D7282F"/>
        </w:rPr>
        <w:t>BACKLOG</w:t>
      </w:r>
    </w:p>
    <w:p>
      <w:pPr>
        <w:spacing w:after="0" w:line="191" w:lineRule="exact"/>
        <w:rPr>
          <w:sz w:val="20"/>
          <w:szCs w:val="20"/>
          <w:color w:val="auto"/>
        </w:rPr>
      </w:pPr>
    </w:p>
    <w:p>
      <w:pPr>
        <w:jc w:val="both"/>
        <w:ind w:left="40"/>
        <w:spacing w:after="0" w:line="228" w:lineRule="auto"/>
        <w:rPr>
          <w:sz w:val="20"/>
          <w:szCs w:val="20"/>
          <w:color w:val="auto"/>
        </w:rPr>
      </w:pPr>
      <w:r>
        <w:rPr>
          <w:rFonts w:ascii="Arial" w:cs="Arial" w:eastAsia="Arial" w:hAnsi="Arial"/>
          <w:sz w:val="11"/>
          <w:szCs w:val="11"/>
          <w:color w:val="auto"/>
        </w:rPr>
        <w:t>Our backlog represents the estimated remaining value of work to be performed under firm contracts. Backlog is equal to our remaining performance obligations under the contracts that meet the guidance on revenue from contracts with customers as discussed in Note 3 Revenue Recognition and Contracts with Customers of Notes to Consolidated Financial Statements. Backlog was $27,682 million and $25,769 million at December 31, 2021 and 2020. The backlog previously disclosed as of December 31, 2020, is revised to reflect a prior period correction, which had no impact on our results of operations. We expect to recognize approximately 59% of our remaining performance obligations as revenue in 2022, and the remaining balance thereafter.</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9"/>
          <w:szCs w:val="19"/>
          <w:color w:val="D7282F"/>
        </w:rPr>
        <w:t>U.S. GOVERNMENT SALES</w:t>
      </w:r>
    </w:p>
    <w:p>
      <w:pPr>
        <w:spacing w:after="0" w:line="200" w:lineRule="exact"/>
        <w:rPr>
          <w:sz w:val="20"/>
          <w:szCs w:val="20"/>
          <w:color w:val="auto"/>
        </w:rPr>
      </w:pPr>
    </w:p>
    <w:p>
      <w:pPr>
        <w:jc w:val="both"/>
        <w:ind w:left="40"/>
        <w:spacing w:after="0" w:line="230" w:lineRule="auto"/>
        <w:rPr>
          <w:sz w:val="20"/>
          <w:szCs w:val="20"/>
          <w:color w:val="auto"/>
        </w:rPr>
      </w:pPr>
      <w:r>
        <w:rPr>
          <w:rFonts w:ascii="Arial" w:cs="Arial" w:eastAsia="Arial" w:hAnsi="Arial"/>
          <w:sz w:val="11"/>
          <w:szCs w:val="11"/>
          <w:color w:val="auto"/>
        </w:rPr>
        <w:t>The Company, principally through our Aerospace segment, sells to the U.S. government acting through its various departments and agencies and through prime contractors, including the U.S. Department of Defense (as both a prime contractor and subcontractor). We do not expect our overall operating results to be significantly affected by any proposed changes in 2022 federal defense spending due to the varied mix of the government programs which impact us (OEM production, engineering development programs, aftermarket spares and repairs, and overhaul programs), as well as our diversified customer base.</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8580" w:type="dxa"/>
            <w:vAlign w:val="bottom"/>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spacing w:after="0"/>
              <w:rPr>
                <w:sz w:val="10"/>
                <w:szCs w:val="10"/>
                <w:color w:val="auto"/>
              </w:rPr>
            </w:pPr>
          </w:p>
        </w:tc>
        <w:tc>
          <w:tcPr>
            <w:tcW w:w="1380" w:type="dxa"/>
            <w:vAlign w:val="bottom"/>
            <w:tcBorders>
              <w:bottom w:val="single" w:sz="8" w:color="DC202E"/>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2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r>
      <w:tr>
        <w:trPr>
          <w:trHeight w:val="151"/>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U.S. Government Sales ($ in millions)</w:t>
            </w:r>
          </w:p>
        </w:tc>
        <w:tc>
          <w:tcPr>
            <w:tcW w:w="180" w:type="dxa"/>
            <w:vAlign w:val="bottom"/>
            <w:tcBorders>
              <w:bottom w:val="single" w:sz="8" w:color="DC202E"/>
            </w:tcBorders>
          </w:tcPr>
          <w:p>
            <w:pPr>
              <w:spacing w:after="0"/>
              <w:rPr>
                <w:sz w:val="13"/>
                <w:szCs w:val="13"/>
                <w:color w:val="auto"/>
              </w:rPr>
            </w:pPr>
          </w:p>
        </w:tc>
        <w:tc>
          <w:tcPr>
            <w:tcW w:w="56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gridSpan w:val="2"/>
          </w:tcPr>
          <w:p>
            <w:pPr>
              <w:jc w:val="right"/>
              <w:ind w:right="229"/>
              <w:spacing w:after="0"/>
              <w:rPr>
                <w:sz w:val="20"/>
                <w:szCs w:val="20"/>
                <w:color w:val="auto"/>
              </w:rPr>
            </w:pPr>
            <w:r>
              <w:rPr>
                <w:rFonts w:ascii="Arial" w:cs="Arial" w:eastAsia="Arial" w:hAnsi="Arial"/>
                <w:sz w:val="10"/>
                <w:szCs w:val="10"/>
                <w:b w:val="1"/>
                <w:bCs w:val="1"/>
                <w:color w:val="auto"/>
              </w:rPr>
              <w:t>2019</w:t>
            </w: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Sales to the U.S. Department of Defense</w:t>
            </w:r>
          </w:p>
        </w:tc>
        <w:tc>
          <w:tcPr>
            <w:tcW w:w="18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3,219</w:t>
            </w:r>
          </w:p>
        </w:tc>
        <w:tc>
          <w:tcPr>
            <w:tcW w:w="38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3,661</w:t>
            </w:r>
          </w:p>
        </w:tc>
        <w:tc>
          <w:tcPr>
            <w:tcW w:w="3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3,491</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Sales to other U.S. government departments and agencies</w:t>
            </w:r>
          </w:p>
        </w:tc>
        <w:tc>
          <w:tcPr>
            <w:tcW w:w="18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703</w:t>
            </w:r>
          </w:p>
        </w:tc>
        <w:tc>
          <w:tcPr>
            <w:tcW w:w="38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557</w:t>
            </w:r>
          </w:p>
        </w:tc>
        <w:tc>
          <w:tcPr>
            <w:tcW w:w="3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566</w:t>
            </w:r>
          </w:p>
        </w:tc>
      </w:tr>
      <w:tr>
        <w:trPr>
          <w:trHeight w:val="115"/>
        </w:trPr>
        <w:tc>
          <w:tcPr>
            <w:tcW w:w="858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Total Sales to the U.S. Government</w:t>
            </w:r>
          </w:p>
        </w:tc>
        <w:tc>
          <w:tcPr>
            <w:tcW w:w="1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3,922</w:t>
            </w:r>
          </w:p>
        </w:tc>
        <w:tc>
          <w:tcPr>
            <w:tcW w:w="38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4,218</w:t>
            </w:r>
          </w:p>
        </w:tc>
        <w:tc>
          <w:tcPr>
            <w:tcW w:w="3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4,057</w:t>
            </w:r>
          </w:p>
        </w:tc>
      </w:tr>
      <w:tr>
        <w:trPr>
          <w:trHeight w:val="475"/>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0"/>
                <w:szCs w:val="10"/>
                <w:color w:val="auto"/>
                <w:w w:val="96"/>
              </w:rPr>
              <w:t>Honeywell International Inc.</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D7282F"/>
              </w:rPr>
              <w:t>7</w:t>
            </w:r>
          </w:p>
        </w:tc>
      </w:tr>
      <w:tr>
        <w:trPr>
          <w:trHeight w:val="144"/>
        </w:trPr>
        <w:tc>
          <w:tcPr>
            <w:tcW w:w="85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7179945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40"/>
          </w:cols>
          <w:pgMar w:left="260" w:top="19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INTERNATIONAL OPERATIONS</w:t>
      </w:r>
    </w:p>
    <w:p>
      <w:pPr>
        <w:spacing w:after="0" w:line="200" w:lineRule="exact"/>
        <w:rPr>
          <w:sz w:val="20"/>
          <w:szCs w:val="20"/>
          <w:color w:val="auto"/>
        </w:rPr>
      </w:pPr>
    </w:p>
    <w:p>
      <w:pPr>
        <w:jc w:val="both"/>
        <w:ind w:left="8"/>
        <w:spacing w:after="0" w:line="234" w:lineRule="auto"/>
        <w:rPr>
          <w:sz w:val="20"/>
          <w:szCs w:val="20"/>
          <w:color w:val="auto"/>
        </w:rPr>
      </w:pPr>
      <w:r>
        <w:rPr>
          <w:rFonts w:ascii="Arial" w:cs="Arial" w:eastAsia="Arial" w:hAnsi="Arial"/>
          <w:sz w:val="11"/>
          <w:szCs w:val="11"/>
          <w:color w:val="auto"/>
        </w:rPr>
        <w:t>We engage in manufacturing, sales, service and research and development globally. U.S. exports and non-U.S. manufactured products are significant to our operations. U.S. exports represented 12% of our total sales in in 2021 and 2020, and 15% in 2019. Non-U.S. manufactured products and services, mainly in Europe and Asia, were 40% of our total sales in 2021, 2020, and 2019.</w:t>
      </w:r>
    </w:p>
    <w:p>
      <w:pPr>
        <w:spacing w:after="0" w:line="13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900" w:type="dxa"/>
            <w:vAlign w:val="bottom"/>
          </w:tcPr>
          <w:p>
            <w:pPr>
              <w:spacing w:after="0"/>
              <w:rPr>
                <w:sz w:val="10"/>
                <w:szCs w:val="10"/>
                <w:color w:val="auto"/>
              </w:rPr>
            </w:pPr>
          </w:p>
        </w:tc>
        <w:tc>
          <w:tcPr>
            <w:tcW w:w="860" w:type="dxa"/>
            <w:vAlign w:val="bottom"/>
            <w:tcBorders>
              <w:bottom w:val="single" w:sz="8" w:color="DC202E"/>
            </w:tcBorders>
          </w:tcPr>
          <w:p>
            <w:pPr>
              <w:spacing w:after="0"/>
              <w:rPr>
                <w:sz w:val="10"/>
                <w:szCs w:val="10"/>
                <w:color w:val="auto"/>
              </w:rPr>
            </w:pPr>
          </w:p>
        </w:tc>
        <w:tc>
          <w:tcPr>
            <w:tcW w:w="2920" w:type="dxa"/>
            <w:vAlign w:val="bottom"/>
            <w:tcBorders>
              <w:bottom w:val="single" w:sz="8" w:color="DC202E"/>
            </w:tcBorders>
            <w:gridSpan w:val="2"/>
          </w:tcPr>
          <w:p>
            <w:pPr>
              <w:jc w:val="right"/>
              <w:ind w:right="332"/>
              <w:spacing w:after="0"/>
              <w:rPr>
                <w:sz w:val="20"/>
                <w:szCs w:val="20"/>
                <w:color w:val="auto"/>
              </w:rPr>
            </w:pPr>
            <w:r>
              <w:rPr>
                <w:rFonts w:ascii="Arial" w:cs="Arial" w:eastAsia="Arial" w:hAnsi="Arial"/>
                <w:sz w:val="10"/>
                <w:szCs w:val="10"/>
                <w:b w:val="1"/>
                <w:bCs w:val="1"/>
                <w:color w:val="auto"/>
              </w:rPr>
              <w:t>Year Ended December 31, 2021</w:t>
            </w:r>
          </w:p>
        </w:tc>
        <w:tc>
          <w:tcPr>
            <w:tcW w:w="52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00" w:type="dxa"/>
            <w:vAlign w:val="bottom"/>
            <w:vMerge w:val="restart"/>
          </w:tcPr>
          <w:p>
            <w:pPr>
              <w:spacing w:after="0"/>
              <w:rPr>
                <w:sz w:val="20"/>
                <w:szCs w:val="20"/>
                <w:color w:val="auto"/>
              </w:rPr>
            </w:pPr>
            <w:r>
              <w:rPr>
                <w:rFonts w:ascii="Arial" w:cs="Arial" w:eastAsia="Arial" w:hAnsi="Arial"/>
                <w:sz w:val="10"/>
                <w:szCs w:val="10"/>
                <w:b w:val="1"/>
                <w:bCs w:val="1"/>
                <w:color w:val="auto"/>
              </w:rPr>
              <w:t>Manufactured Products and Systems and</w:t>
            </w:r>
          </w:p>
        </w:tc>
        <w:tc>
          <w:tcPr>
            <w:tcW w:w="860" w:type="dxa"/>
            <w:vAlign w:val="bottom"/>
          </w:tcPr>
          <w:p>
            <w:pPr>
              <w:spacing w:after="0"/>
              <w:rPr>
                <w:sz w:val="11"/>
                <w:szCs w:val="11"/>
                <w:color w:val="auto"/>
              </w:rPr>
            </w:pPr>
          </w:p>
        </w:tc>
        <w:tc>
          <w:tcPr>
            <w:tcW w:w="1460" w:type="dxa"/>
            <w:vAlign w:val="bottom"/>
          </w:tcPr>
          <w:p>
            <w:pPr>
              <w:jc w:val="center"/>
              <w:ind w:left="732"/>
              <w:spacing w:after="0"/>
              <w:rPr>
                <w:sz w:val="20"/>
                <w:szCs w:val="20"/>
                <w:color w:val="auto"/>
              </w:rPr>
            </w:pPr>
            <w:r>
              <w:rPr>
                <w:rFonts w:ascii="Arial" w:cs="Arial" w:eastAsia="Arial" w:hAnsi="Arial"/>
                <w:sz w:val="10"/>
                <w:szCs w:val="10"/>
                <w:b w:val="1"/>
                <w:bCs w:val="1"/>
                <w:color w:val="auto"/>
                <w:w w:val="96"/>
              </w:rPr>
              <w:t>Honeywell</w:t>
            </w:r>
          </w:p>
        </w:tc>
        <w:tc>
          <w:tcPr>
            <w:tcW w:w="1460" w:type="dxa"/>
            <w:vAlign w:val="bottom"/>
          </w:tcPr>
          <w:p>
            <w:pPr>
              <w:jc w:val="right"/>
              <w:ind w:right="12"/>
              <w:spacing w:after="0"/>
              <w:rPr>
                <w:sz w:val="20"/>
                <w:szCs w:val="20"/>
                <w:color w:val="auto"/>
              </w:rPr>
            </w:pPr>
            <w:r>
              <w:rPr>
                <w:rFonts w:ascii="Arial" w:cs="Arial" w:eastAsia="Arial" w:hAnsi="Arial"/>
                <w:sz w:val="10"/>
                <w:szCs w:val="10"/>
                <w:b w:val="1"/>
                <w:bCs w:val="1"/>
                <w:color w:val="auto"/>
              </w:rPr>
              <w:t>Performance</w:t>
            </w:r>
          </w:p>
        </w:tc>
        <w:tc>
          <w:tcPr>
            <w:tcW w:w="52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4"/>
              </w:rPr>
              <w:t>Safety and</w:t>
            </w:r>
          </w:p>
        </w:tc>
        <w:tc>
          <w:tcPr>
            <w:tcW w:w="0" w:type="dxa"/>
            <w:vAlign w:val="bottom"/>
          </w:tcPr>
          <w:p>
            <w:pPr>
              <w:spacing w:after="0"/>
              <w:rPr>
                <w:sz w:val="1"/>
                <w:szCs w:val="1"/>
                <w:color w:val="auto"/>
              </w:rPr>
            </w:pPr>
          </w:p>
        </w:tc>
      </w:tr>
      <w:tr>
        <w:trPr>
          <w:trHeight w:val="90"/>
        </w:trPr>
        <w:tc>
          <w:tcPr>
            <w:tcW w:w="5900" w:type="dxa"/>
            <w:vAlign w:val="bottom"/>
            <w:vMerge w:val="continue"/>
          </w:tcPr>
          <w:p>
            <w:pPr>
              <w:spacing w:after="0"/>
              <w:rPr>
                <w:sz w:val="7"/>
                <w:szCs w:val="7"/>
                <w:color w:val="auto"/>
              </w:rPr>
            </w:pPr>
          </w:p>
        </w:tc>
        <w:tc>
          <w:tcPr>
            <w:tcW w:w="86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Aerospace</w:t>
            </w:r>
          </w:p>
        </w:tc>
        <w:tc>
          <w:tcPr>
            <w:tcW w:w="1460" w:type="dxa"/>
            <w:vAlign w:val="bottom"/>
          </w:tcPr>
          <w:p>
            <w:pPr>
              <w:jc w:val="center"/>
              <w:ind w:left="732"/>
              <w:spacing w:after="0" w:line="90" w:lineRule="exact"/>
              <w:rPr>
                <w:sz w:val="20"/>
                <w:szCs w:val="20"/>
                <w:color w:val="auto"/>
              </w:rPr>
            </w:pPr>
            <w:r>
              <w:rPr>
                <w:rFonts w:ascii="Arial" w:cs="Arial" w:eastAsia="Arial" w:hAnsi="Arial"/>
                <w:sz w:val="10"/>
                <w:szCs w:val="10"/>
                <w:b w:val="1"/>
                <w:bCs w:val="1"/>
                <w:color w:val="auto"/>
                <w:w w:val="99"/>
              </w:rPr>
              <w:t>Building</w:t>
            </w:r>
          </w:p>
        </w:tc>
        <w:tc>
          <w:tcPr>
            <w:tcW w:w="1460" w:type="dxa"/>
            <w:vAlign w:val="bottom"/>
          </w:tcPr>
          <w:p>
            <w:pPr>
              <w:jc w:val="right"/>
              <w:spacing w:after="0" w:line="90" w:lineRule="exact"/>
              <w:rPr>
                <w:sz w:val="20"/>
                <w:szCs w:val="20"/>
                <w:color w:val="auto"/>
              </w:rPr>
            </w:pPr>
            <w:r>
              <w:rPr>
                <w:rFonts w:ascii="Arial" w:cs="Arial" w:eastAsia="Arial" w:hAnsi="Arial"/>
                <w:sz w:val="10"/>
                <w:szCs w:val="10"/>
                <w:b w:val="1"/>
                <w:bCs w:val="1"/>
                <w:color w:val="auto"/>
              </w:rPr>
              <w:t>Materials and</w:t>
            </w:r>
          </w:p>
        </w:tc>
        <w:tc>
          <w:tcPr>
            <w:tcW w:w="520" w:type="dxa"/>
            <w:vAlign w:val="bottom"/>
          </w:tcPr>
          <w:p>
            <w:pPr>
              <w:spacing w:after="0"/>
              <w:rPr>
                <w:sz w:val="7"/>
                <w:szCs w:val="7"/>
                <w:color w:val="auto"/>
              </w:rPr>
            </w:pPr>
          </w:p>
        </w:tc>
        <w:tc>
          <w:tcPr>
            <w:tcW w:w="110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6"/>
              </w:rPr>
              <w:t>Productivity</w:t>
            </w:r>
          </w:p>
        </w:tc>
        <w:tc>
          <w:tcPr>
            <w:tcW w:w="0" w:type="dxa"/>
            <w:vAlign w:val="bottom"/>
          </w:tcPr>
          <w:p>
            <w:pPr>
              <w:spacing w:after="0"/>
              <w:rPr>
                <w:sz w:val="1"/>
                <w:szCs w:val="1"/>
                <w:color w:val="auto"/>
              </w:rPr>
            </w:pPr>
          </w:p>
        </w:tc>
      </w:tr>
      <w:tr>
        <w:trPr>
          <w:trHeight w:val="117"/>
        </w:trPr>
        <w:tc>
          <w:tcPr>
            <w:tcW w:w="59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Performance of Services</w:t>
            </w:r>
          </w:p>
        </w:tc>
        <w:tc>
          <w:tcPr>
            <w:tcW w:w="860" w:type="dxa"/>
            <w:vAlign w:val="bottom"/>
            <w:tcBorders>
              <w:bottom w:val="single" w:sz="8" w:color="DC202E"/>
            </w:tcBorders>
            <w:vMerge w:val="continue"/>
          </w:tcPr>
          <w:p>
            <w:pPr>
              <w:spacing w:after="0"/>
              <w:rPr>
                <w:sz w:val="10"/>
                <w:szCs w:val="10"/>
                <w:color w:val="auto"/>
              </w:rPr>
            </w:pPr>
          </w:p>
        </w:tc>
        <w:tc>
          <w:tcPr>
            <w:tcW w:w="1460" w:type="dxa"/>
            <w:vAlign w:val="bottom"/>
            <w:tcBorders>
              <w:bottom w:val="single" w:sz="8" w:color="DC202E"/>
            </w:tcBorders>
          </w:tcPr>
          <w:p>
            <w:pPr>
              <w:jc w:val="center"/>
              <w:ind w:left="732"/>
              <w:spacing w:after="0"/>
              <w:rPr>
                <w:sz w:val="20"/>
                <w:szCs w:val="20"/>
                <w:color w:val="auto"/>
              </w:rPr>
            </w:pPr>
            <w:r>
              <w:rPr>
                <w:rFonts w:ascii="Arial" w:cs="Arial" w:eastAsia="Arial" w:hAnsi="Arial"/>
                <w:sz w:val="10"/>
                <w:szCs w:val="10"/>
                <w:b w:val="1"/>
                <w:bCs w:val="1"/>
                <w:color w:val="auto"/>
                <w:w w:val="93"/>
              </w:rPr>
              <w:t>Technologies</w:t>
            </w:r>
          </w:p>
        </w:tc>
        <w:tc>
          <w:tcPr>
            <w:tcW w:w="14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Technologies</w:t>
            </w:r>
          </w:p>
        </w:tc>
        <w:tc>
          <w:tcPr>
            <w:tcW w:w="52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jc w:val="center"/>
              <w:spacing w:after="0"/>
              <w:rPr>
                <w:sz w:val="20"/>
                <w:szCs w:val="20"/>
                <w:color w:val="auto"/>
              </w:rPr>
            </w:pPr>
            <w:r>
              <w:rPr>
                <w:rFonts w:ascii="Arial" w:cs="Arial" w:eastAsia="Arial" w:hAnsi="Arial"/>
                <w:sz w:val="10"/>
                <w:szCs w:val="10"/>
                <w:b w:val="1"/>
                <w:bCs w:val="1"/>
                <w:color w:val="auto"/>
                <w:w w:val="96"/>
              </w:rPr>
              <w:t>Solutions</w:t>
            </w:r>
          </w:p>
        </w:tc>
        <w:tc>
          <w:tcPr>
            <w:tcW w:w="0" w:type="dxa"/>
            <w:vAlign w:val="bottom"/>
          </w:tcPr>
          <w:p>
            <w:pPr>
              <w:spacing w:after="0"/>
              <w:rPr>
                <w:sz w:val="1"/>
                <w:szCs w:val="1"/>
                <w:color w:val="auto"/>
              </w:rPr>
            </w:pPr>
          </w:p>
        </w:tc>
      </w:tr>
      <w:tr>
        <w:trPr>
          <w:trHeight w:val="115"/>
        </w:trPr>
        <w:tc>
          <w:tcPr>
            <w:tcW w:w="590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2920" w:type="dxa"/>
            <w:vAlign w:val="bottom"/>
            <w:tcBorders>
              <w:bottom w:val="single" w:sz="8" w:color="939598"/>
            </w:tcBorders>
            <w:gridSpan w:val="2"/>
          </w:tcPr>
          <w:p>
            <w:pPr>
              <w:jc w:val="right"/>
              <w:ind w:right="552"/>
              <w:spacing w:after="0"/>
              <w:rPr>
                <w:sz w:val="20"/>
                <w:szCs w:val="20"/>
                <w:color w:val="auto"/>
              </w:rPr>
            </w:pPr>
            <w:r>
              <w:rPr>
                <w:rFonts w:ascii="Arial" w:cs="Arial" w:eastAsia="Arial" w:hAnsi="Arial"/>
                <w:sz w:val="10"/>
                <w:szCs w:val="10"/>
                <w:b w:val="1"/>
                <w:bCs w:val="1"/>
                <w:color w:val="auto"/>
              </w:rPr>
              <w:t>(% of Segment Sales)</w:t>
            </w:r>
          </w:p>
        </w:tc>
        <w:tc>
          <w:tcPr>
            <w:tcW w:w="520" w:type="dxa"/>
            <w:vAlign w:val="bottom"/>
            <w:tcBorders>
              <w:bottom w:val="single" w:sz="8" w:color="939598"/>
            </w:tcBorders>
          </w:tcPr>
          <w:p>
            <w:pPr>
              <w:spacing w:after="0"/>
              <w:rPr>
                <w:sz w:val="10"/>
                <w:szCs w:val="10"/>
                <w:color w:val="auto"/>
              </w:rPr>
            </w:pPr>
          </w:p>
        </w:tc>
        <w:tc>
          <w:tcPr>
            <w:tcW w:w="11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9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U.S. exports</w:t>
            </w:r>
          </w:p>
        </w:tc>
        <w:tc>
          <w:tcPr>
            <w:tcW w:w="860" w:type="dxa"/>
            <w:vAlign w:val="bottom"/>
            <w:tcBorders>
              <w:bottom w:val="single" w:sz="8" w:color="939598"/>
            </w:tcBorders>
          </w:tcPr>
          <w:p>
            <w:pPr>
              <w:spacing w:after="0"/>
              <w:rPr>
                <w:sz w:val="10"/>
                <w:szCs w:val="10"/>
                <w:color w:val="auto"/>
              </w:rPr>
            </w:pPr>
          </w:p>
        </w:tc>
        <w:tc>
          <w:tcPr>
            <w:tcW w:w="1460" w:type="dxa"/>
            <w:vAlign w:val="bottom"/>
            <w:tcBorders>
              <w:bottom w:val="single" w:sz="8" w:color="939598"/>
            </w:tcBorders>
          </w:tcPr>
          <w:p>
            <w:pPr>
              <w:jc w:val="right"/>
              <w:ind w:right="1132"/>
              <w:spacing w:after="0"/>
              <w:rPr>
                <w:sz w:val="20"/>
                <w:szCs w:val="20"/>
                <w:color w:val="auto"/>
              </w:rPr>
            </w:pPr>
            <w:r>
              <w:rPr>
                <w:rFonts w:ascii="Arial" w:cs="Arial" w:eastAsia="Arial" w:hAnsi="Arial"/>
                <w:sz w:val="10"/>
                <w:szCs w:val="10"/>
                <w:color w:val="auto"/>
              </w:rPr>
              <w:t>23 %</w:t>
            </w:r>
          </w:p>
        </w:tc>
        <w:tc>
          <w:tcPr>
            <w:tcW w:w="1460" w:type="dxa"/>
            <w:vAlign w:val="bottom"/>
            <w:tcBorders>
              <w:bottom w:val="single" w:sz="8" w:color="939598"/>
            </w:tcBorders>
          </w:tcPr>
          <w:p>
            <w:pPr>
              <w:jc w:val="right"/>
              <w:ind w:right="1152"/>
              <w:spacing w:after="0"/>
              <w:rPr>
                <w:sz w:val="20"/>
                <w:szCs w:val="20"/>
                <w:color w:val="auto"/>
              </w:rPr>
            </w:pPr>
            <w:r>
              <w:rPr>
                <w:rFonts w:ascii="Arial" w:cs="Arial" w:eastAsia="Arial" w:hAnsi="Arial"/>
                <w:sz w:val="10"/>
                <w:szCs w:val="10"/>
                <w:color w:val="auto"/>
              </w:rPr>
              <w:t>2 %</w:t>
            </w:r>
          </w:p>
        </w:tc>
        <w:tc>
          <w:tcPr>
            <w:tcW w:w="52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13 %</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15"/>
        </w:trPr>
        <w:tc>
          <w:tcPr>
            <w:tcW w:w="59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Non-U.S. manufactured products/services</w:t>
            </w:r>
          </w:p>
        </w:tc>
        <w:tc>
          <w:tcPr>
            <w:tcW w:w="860" w:type="dxa"/>
            <w:vAlign w:val="bottom"/>
            <w:tcBorders>
              <w:bottom w:val="single" w:sz="8" w:color="DC202E"/>
            </w:tcBorders>
          </w:tcPr>
          <w:p>
            <w:pPr>
              <w:spacing w:after="0"/>
              <w:rPr>
                <w:sz w:val="10"/>
                <w:szCs w:val="10"/>
                <w:color w:val="auto"/>
              </w:rPr>
            </w:pPr>
          </w:p>
        </w:tc>
        <w:tc>
          <w:tcPr>
            <w:tcW w:w="1460" w:type="dxa"/>
            <w:vAlign w:val="bottom"/>
            <w:tcBorders>
              <w:bottom w:val="single" w:sz="8" w:color="DC202E"/>
            </w:tcBorders>
          </w:tcPr>
          <w:p>
            <w:pPr>
              <w:jc w:val="right"/>
              <w:ind w:right="1132"/>
              <w:spacing w:after="0"/>
              <w:rPr>
                <w:sz w:val="20"/>
                <w:szCs w:val="20"/>
                <w:color w:val="auto"/>
              </w:rPr>
            </w:pPr>
            <w:r>
              <w:rPr>
                <w:rFonts w:ascii="Arial" w:cs="Arial" w:eastAsia="Arial" w:hAnsi="Arial"/>
                <w:sz w:val="10"/>
                <w:szCs w:val="10"/>
                <w:color w:val="auto"/>
              </w:rPr>
              <w:t>15 %</w:t>
            </w:r>
          </w:p>
        </w:tc>
        <w:tc>
          <w:tcPr>
            <w:tcW w:w="1460" w:type="dxa"/>
            <w:vAlign w:val="bottom"/>
            <w:tcBorders>
              <w:bottom w:val="single" w:sz="8" w:color="DC202E"/>
            </w:tcBorders>
          </w:tcPr>
          <w:p>
            <w:pPr>
              <w:jc w:val="right"/>
              <w:ind w:right="1152"/>
              <w:spacing w:after="0"/>
              <w:rPr>
                <w:sz w:val="20"/>
                <w:szCs w:val="20"/>
                <w:color w:val="auto"/>
              </w:rPr>
            </w:pPr>
            <w:r>
              <w:rPr>
                <w:rFonts w:ascii="Arial" w:cs="Arial" w:eastAsia="Arial" w:hAnsi="Arial"/>
                <w:sz w:val="10"/>
                <w:szCs w:val="10"/>
                <w:color w:val="auto"/>
              </w:rPr>
              <w:t>66 %</w:t>
            </w:r>
          </w:p>
        </w:tc>
        <w:tc>
          <w:tcPr>
            <w:tcW w:w="52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57 %</w:t>
            </w:r>
          </w:p>
        </w:tc>
        <w:tc>
          <w:tcPr>
            <w:tcW w:w="11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35 %</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related to risks related to our foreign operations is included in the section titled Risk Factors under the caption “Macroeconomic and Industry Risks.”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RAW MATERIALS</w:t>
      </w:r>
    </w:p>
    <w:p>
      <w:pPr>
        <w:spacing w:after="0" w:line="15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vast majority of principal raw materials used in our operations are readily available; however, during 2021, we experienced supply chain constraints for certain raw materials. While the current supply chain constraints have not significantly impacted our business, to reduce the impact of current and future disruptions we have implemented short-term and long-term strategies to reduce the impact of current and future disruptions, and digital solutions to manage shortages and prioritize mitigation actions. We continue to leverage existing supplier relationships, and are not dependent on any one supplier for a material amount of our raw materials.</w:t>
      </w:r>
    </w:p>
    <w:p>
      <w:pPr>
        <w:spacing w:after="0" w:line="67"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Prices of certain key raw materials, including copper, fluorspar, tungsten salts, ethylene, aluminum, and molybdenum in Performance Materials and Technologies and nickel, steel, titanium, and other metals in Aerospace, are expected to fluctuate. We offset raw material cost increases with formula-driven or long-term supply agreements, price increases and hedging activities where feasible. We anticipate that supply chain constraints for certain raw materials will continue into 2022; however, we believe our short-term and long-term strategies position us well to mitigate and reduce the impact these factors may have on our businesses. As such, we do not presently anticipate that a shortage of raw materials will cause any material adverse impacts during 2022.</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PATENTS, TRADEMARKS, LICENSES AND DISTRIBUTION RIGHTS</w:t>
      </w:r>
    </w:p>
    <w:p>
      <w:pPr>
        <w:spacing w:after="0" w:line="15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Our segments are not dependent upon any single patent or related group of patents, trademarks, or any licenses or distribution rights. In our judgment, our intellectual property rights are adequate for the conduct of our business. We believe that, in the aggregate, the rights under our patents, trademarks, licenses and distribution rights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REGULATIONS</w:t>
      </w:r>
    </w:p>
    <w:p>
      <w:pPr>
        <w:spacing w:after="0" w:line="15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Company’s operations are subject to various federal, state, local, and foreign government regulations, including requirements regarding the protection of human health and the environment. Our policies, practices and procedures are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67"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We engage in the handling, manufacturing, use, and disposal of many substances classified as hazardous by one or more regulatory agencies. Our policies, practices and procedures are designed to prevent unreasonable risk of environmental damage and personal injury, and to ensure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281" w:lineRule="exact"/>
        <w:rPr>
          <w:sz w:val="20"/>
          <w:szCs w:val="20"/>
          <w:color w:val="auto"/>
        </w:rPr>
      </w:pPr>
    </w:p>
    <w:p>
      <w:pPr>
        <w:ind w:left="408" w:hanging="408"/>
        <w:spacing w:after="0"/>
        <w:tabs>
          <w:tab w:leader="none" w:pos="408" w:val="left"/>
        </w:tabs>
        <w:numPr>
          <w:ilvl w:val="0"/>
          <w:numId w:val="2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42" w:lineRule="auto"/>
        <w:rPr>
          <w:sz w:val="20"/>
          <w:szCs w:val="20"/>
          <w:color w:val="auto"/>
        </w:rPr>
      </w:pPr>
      <w:r>
        <w:rPr>
          <w:rFonts w:ascii="Arial" w:cs="Arial" w:eastAsia="Arial" w:hAnsi="Arial"/>
          <w:sz w:val="11"/>
          <w:szCs w:val="11"/>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spacing w:after="0" w:line="67"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effect in the foreseeable future on the Company’s business and we will continue to monitor emerging developments in this area.</w:t>
      </w:r>
    </w:p>
    <w:p>
      <w:pPr>
        <w:spacing w:after="0" w:line="6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Beyond our compliance requirements with environmental regulations, compliance with other government regulations has not had, and based on laws and regulations currently in effect, is not expected to have a material effect on the Company's capital expenditures, earnings or competitive position. See section titled Risk Factors for additional information on government regulation that could impact our business.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9780"/>
              <w:spacing w:after="0"/>
              <w:rPr>
                <w:sz w:val="20"/>
                <w:szCs w:val="20"/>
                <w:color w:val="auto"/>
              </w:rPr>
            </w:pPr>
            <w:r>
              <w:rPr>
                <w:rFonts w:ascii="Arial" w:cs="Arial" w:eastAsia="Arial" w:hAnsi="Arial"/>
                <w:sz w:val="10"/>
                <w:szCs w:val="10"/>
                <w:color w:val="auto"/>
              </w:rPr>
              <w:t>Honeywell International Inc.</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D7282F"/>
              </w:rPr>
              <w:t>9</w:t>
            </w:r>
          </w:p>
        </w:tc>
      </w:tr>
      <w:tr>
        <w:trPr>
          <w:trHeight w:val="144"/>
        </w:trPr>
        <w:tc>
          <w:tcPr>
            <w:tcW w:w="11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SUSTAINABLE COMMITMENTS AND SOLUTIONS</w:t>
      </w:r>
    </w:p>
    <w:p>
      <w:pPr>
        <w:spacing w:after="0" w:line="15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In April 2021, we committed to become carbon neutral in our operations and facilities by 2035. We plan to accomplish this through a combination of innovative investments in energy savings projects, conversion to renewable energy sources, completion of capital improvement projects at our sites, upgrading our fleet of vehicles, and, if necessary, using credible carbon credits. Our greenhouse gas reduction program initially began in 2004, in our view setting us well on our way to achieving this commitment.</w:t>
      </w:r>
    </w:p>
    <w:p>
      <w:pPr>
        <w:spacing w:after="0" w:line="67"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We see ourselves as a responsible corporate citizen, leading sustainable change within the global marketplace. While we focus on our own sustainability commitments, we seek to partner as an agent of change with our customers around the world through sustainable products, services,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40640</wp:posOffset>
            </wp:positionV>
            <wp:extent cx="3977640" cy="28803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7764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8" w:hanging="188"/>
        <w:spacing w:after="0"/>
        <w:tabs>
          <w:tab w:leader="none" w:pos="188"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Available through the Honeywell Partnership Ecosystem.</w:t>
      </w:r>
    </w:p>
    <w:p>
      <w:pPr>
        <w:spacing w:after="0" w:line="76"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Additional information regarding our sustainability initiatives and strategy is included in our 2021 Corporate Citizenship Report, which can be found on our website (honeywell.com); this report is not incorporated into this Form 10-K by reference and should not be considered part of this Form 10-K.</w:t>
      </w:r>
    </w:p>
    <w:p>
      <w:pPr>
        <w:spacing w:after="0" w:line="279" w:lineRule="exact"/>
        <w:rPr>
          <w:sz w:val="20"/>
          <w:szCs w:val="20"/>
          <w:color w:val="auto"/>
        </w:rPr>
      </w:pPr>
    </w:p>
    <w:p>
      <w:pPr>
        <w:ind w:left="468" w:hanging="468"/>
        <w:spacing w:after="0"/>
        <w:tabs>
          <w:tab w:leader="none" w:pos="468" w:val="left"/>
        </w:tabs>
        <w:numPr>
          <w:ilvl w:val="0"/>
          <w:numId w:val="2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HUMAN CAPITAL MANAGEMENT</w:t>
      </w:r>
    </w:p>
    <w:p>
      <w:pPr>
        <w:spacing w:after="0" w:line="155" w:lineRule="exact"/>
        <w:rPr>
          <w:sz w:val="20"/>
          <w:szCs w:val="20"/>
          <w:color w:val="auto"/>
        </w:rPr>
      </w:pPr>
    </w:p>
    <w:p>
      <w:pPr>
        <w:jc w:val="both"/>
        <w:ind w:left="8"/>
        <w:spacing w:after="0" w:line="225" w:lineRule="auto"/>
        <w:rPr>
          <w:sz w:val="20"/>
          <w:szCs w:val="20"/>
          <w:color w:val="auto"/>
        </w:rPr>
      </w:pPr>
      <w:r>
        <w:rPr>
          <w:rFonts w:ascii="Arial" w:cs="Arial" w:eastAsia="Arial" w:hAnsi="Arial"/>
          <w:sz w:val="11"/>
          <w:szCs w:val="11"/>
          <w:color w:val="auto"/>
        </w:rPr>
        <w:t>We believe a commitment to and investment in human capital management enables better decision making, helps us build competitive advantage, and furthers our long-term success. As of December 31, 2021, we employed approximately 99,000</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employees across 82 countries, 34,000</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of whom are in the United States. Human capital management is the key driver of our performance culture, which enables our workforce to respond to the fast-changing needs of our customers. Our performance culture is defined by a set of eight Honeywell Behaviors, which reflect the bold, entrepreneurial spirit we seek to foster while emphasizing our goal to operate with speed and precision. At their foundation is a commitment to Integrity and Ethics, Inclusion and Diversity, and Workplace Respect, fundamental values that underlie everything we do.</w:t>
      </w:r>
    </w:p>
    <w:p>
      <w:pPr>
        <w:spacing w:after="0" w:line="8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20" w:type="dxa"/>
            <w:vAlign w:val="bottom"/>
            <w:shd w:val="clear" w:color="auto" w:fill="EBEBEC"/>
          </w:tcPr>
          <w:p>
            <w:pPr>
              <w:spacing w:after="0"/>
              <w:rPr>
                <w:sz w:val="12"/>
                <w:szCs w:val="12"/>
                <w:color w:val="auto"/>
              </w:rPr>
            </w:pPr>
          </w:p>
        </w:tc>
        <w:tc>
          <w:tcPr>
            <w:tcW w:w="3440" w:type="dxa"/>
            <w:vAlign w:val="bottom"/>
            <w:vMerge w:val="restart"/>
            <w:shd w:val="clear" w:color="auto" w:fill="EBEBEC"/>
          </w:tcPr>
          <w:p>
            <w:pPr>
              <w:spacing w:after="0"/>
              <w:rPr>
                <w:sz w:val="20"/>
                <w:szCs w:val="20"/>
                <w:color w:val="auto"/>
              </w:rPr>
            </w:pPr>
            <w:r>
              <w:rPr>
                <w:rFonts w:ascii="Arial" w:cs="Arial" w:eastAsia="Arial" w:hAnsi="Arial"/>
                <w:sz w:val="11"/>
                <w:szCs w:val="11"/>
                <w:color w:val="auto"/>
              </w:rPr>
              <w:t xml:space="preserve">As of </w:t>
            </w:r>
            <w:r>
              <w:rPr>
                <w:rFonts w:ascii="Arial" w:cs="Arial" w:eastAsia="Arial" w:hAnsi="Arial"/>
                <w:sz w:val="11"/>
                <w:szCs w:val="11"/>
                <w:b w:val="1"/>
                <w:bCs w:val="1"/>
                <w:color w:val="auto"/>
              </w:rPr>
              <w:t>December 31, 2021</w:t>
            </w:r>
            <w:r>
              <w:rPr>
                <w:rFonts w:ascii="Arial" w:cs="Arial" w:eastAsia="Arial" w:hAnsi="Arial"/>
                <w:sz w:val="11"/>
                <w:szCs w:val="11"/>
                <w:color w:val="auto"/>
              </w:rPr>
              <w:t>, we employed approximately</w:t>
            </w:r>
          </w:p>
        </w:tc>
        <w:tc>
          <w:tcPr>
            <w:tcW w:w="220" w:type="dxa"/>
            <w:vAlign w:val="bottom"/>
            <w:tcBorders>
              <w:left w:val="single" w:sz="8" w:color="EBEBEC"/>
            </w:tcBorders>
            <w:shd w:val="clear" w:color="auto" w:fill="EBEBEC"/>
          </w:tcPr>
          <w:p>
            <w:pPr>
              <w:spacing w:after="0"/>
              <w:rPr>
                <w:sz w:val="12"/>
                <w:szCs w:val="12"/>
                <w:color w:val="auto"/>
              </w:rPr>
            </w:pPr>
          </w:p>
        </w:tc>
        <w:tc>
          <w:tcPr>
            <w:tcW w:w="3460" w:type="dxa"/>
            <w:vAlign w:val="bottom"/>
            <w:vMerge w:val="restart"/>
            <w:shd w:val="clear" w:color="auto" w:fill="EBEBEC"/>
          </w:tcPr>
          <w:p>
            <w:pPr>
              <w:ind w:left="20"/>
              <w:spacing w:after="0"/>
              <w:rPr>
                <w:sz w:val="20"/>
                <w:szCs w:val="20"/>
                <w:color w:val="auto"/>
              </w:rPr>
            </w:pPr>
            <w:r>
              <w:rPr>
                <w:rFonts w:ascii="Arial" w:cs="Arial" w:eastAsia="Arial" w:hAnsi="Arial"/>
                <w:sz w:val="11"/>
                <w:szCs w:val="11"/>
                <w:color w:val="auto"/>
              </w:rPr>
              <w:t>Across</w:t>
            </w:r>
          </w:p>
        </w:tc>
        <w:tc>
          <w:tcPr>
            <w:tcW w:w="220" w:type="dxa"/>
            <w:vAlign w:val="bottom"/>
            <w:tcBorders>
              <w:left w:val="single" w:sz="8" w:color="EBEBEC"/>
            </w:tcBorders>
            <w:shd w:val="clear" w:color="auto" w:fill="EBEBEC"/>
          </w:tcPr>
          <w:p>
            <w:pPr>
              <w:spacing w:after="0"/>
              <w:rPr>
                <w:sz w:val="12"/>
                <w:szCs w:val="12"/>
                <w:color w:val="auto"/>
              </w:rPr>
            </w:pPr>
          </w:p>
        </w:tc>
        <w:tc>
          <w:tcPr>
            <w:tcW w:w="3560" w:type="dxa"/>
            <w:vAlign w:val="bottom"/>
            <w:vMerge w:val="restart"/>
            <w:shd w:val="clear" w:color="auto" w:fill="EBEBEC"/>
          </w:tcPr>
          <w:p>
            <w:pPr>
              <w:spacing w:after="0"/>
              <w:rPr>
                <w:sz w:val="20"/>
                <w:szCs w:val="20"/>
                <w:color w:val="auto"/>
              </w:rPr>
            </w:pPr>
            <w:r>
              <w:rPr>
                <w:rFonts w:ascii="Arial" w:cs="Arial" w:eastAsia="Arial" w:hAnsi="Arial"/>
                <w:sz w:val="24"/>
                <w:szCs w:val="24"/>
                <w:b w:val="1"/>
                <w:bCs w:val="1"/>
                <w:color w:val="D7282F"/>
              </w:rPr>
              <w:t>34,000</w:t>
            </w:r>
            <w:r>
              <w:rPr>
                <w:rFonts w:ascii="Arial" w:cs="Arial" w:eastAsia="Arial" w:hAnsi="Arial"/>
                <w:sz w:val="31"/>
                <w:szCs w:val="31"/>
                <w:b w:val="1"/>
                <w:bCs w:val="1"/>
                <w:color w:val="D7282F"/>
                <w:vertAlign w:val="superscript"/>
              </w:rPr>
              <w:t>(1)</w:t>
            </w:r>
          </w:p>
        </w:tc>
        <w:tc>
          <w:tcPr>
            <w:tcW w:w="0" w:type="dxa"/>
            <w:vAlign w:val="bottom"/>
          </w:tcPr>
          <w:p>
            <w:pPr>
              <w:spacing w:after="0"/>
              <w:rPr>
                <w:sz w:val="1"/>
                <w:szCs w:val="1"/>
                <w:color w:val="auto"/>
              </w:rPr>
            </w:pPr>
          </w:p>
        </w:tc>
      </w:tr>
      <w:tr>
        <w:trPr>
          <w:trHeight w:val="662"/>
        </w:trPr>
        <w:tc>
          <w:tcPr>
            <w:tcW w:w="320" w:type="dxa"/>
            <w:vAlign w:val="bottom"/>
            <w:shd w:val="clear" w:color="auto" w:fill="EBEBEC"/>
          </w:tcPr>
          <w:p>
            <w:pPr>
              <w:spacing w:after="0"/>
              <w:rPr>
                <w:sz w:val="24"/>
                <w:szCs w:val="24"/>
                <w:color w:val="auto"/>
              </w:rPr>
            </w:pPr>
          </w:p>
        </w:tc>
        <w:tc>
          <w:tcPr>
            <w:tcW w:w="3440" w:type="dxa"/>
            <w:vAlign w:val="bottom"/>
            <w:vMerge w:val="continue"/>
            <w:shd w:val="clear" w:color="auto" w:fill="EBEBEC"/>
          </w:tcPr>
          <w:p>
            <w:pPr>
              <w:spacing w:after="0"/>
              <w:rPr>
                <w:sz w:val="24"/>
                <w:szCs w:val="24"/>
                <w:color w:val="auto"/>
              </w:rPr>
            </w:pPr>
          </w:p>
        </w:tc>
        <w:tc>
          <w:tcPr>
            <w:tcW w:w="220" w:type="dxa"/>
            <w:vAlign w:val="bottom"/>
            <w:tcBorders>
              <w:left w:val="single" w:sz="8" w:color="D7282F"/>
            </w:tcBorders>
            <w:shd w:val="clear" w:color="auto" w:fill="EBEBEC"/>
          </w:tcPr>
          <w:p>
            <w:pPr>
              <w:spacing w:after="0"/>
              <w:rPr>
                <w:sz w:val="24"/>
                <w:szCs w:val="24"/>
                <w:color w:val="auto"/>
              </w:rPr>
            </w:pPr>
          </w:p>
        </w:tc>
        <w:tc>
          <w:tcPr>
            <w:tcW w:w="3460" w:type="dxa"/>
            <w:vAlign w:val="bottom"/>
            <w:vMerge w:val="continue"/>
            <w:shd w:val="clear" w:color="auto" w:fill="EBEBEC"/>
          </w:tcPr>
          <w:p>
            <w:pPr>
              <w:spacing w:after="0"/>
              <w:rPr>
                <w:sz w:val="24"/>
                <w:szCs w:val="24"/>
                <w:color w:val="auto"/>
              </w:rPr>
            </w:pPr>
          </w:p>
        </w:tc>
        <w:tc>
          <w:tcPr>
            <w:tcW w:w="220" w:type="dxa"/>
            <w:vAlign w:val="bottom"/>
            <w:tcBorders>
              <w:left w:val="single" w:sz="8" w:color="D7282F"/>
            </w:tcBorders>
            <w:shd w:val="clear" w:color="auto" w:fill="EBEBEC"/>
          </w:tcPr>
          <w:p>
            <w:pPr>
              <w:spacing w:after="0"/>
              <w:rPr>
                <w:sz w:val="24"/>
                <w:szCs w:val="24"/>
                <w:color w:val="auto"/>
              </w:rPr>
            </w:pPr>
          </w:p>
        </w:tc>
        <w:tc>
          <w:tcPr>
            <w:tcW w:w="3560" w:type="dxa"/>
            <w:vAlign w:val="bottom"/>
            <w:vMerge w:val="continue"/>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EBEBEC"/>
          </w:tcPr>
          <w:p>
            <w:pPr>
              <w:spacing w:after="0"/>
              <w:rPr>
                <w:sz w:val="20"/>
                <w:szCs w:val="20"/>
                <w:color w:val="auto"/>
              </w:rPr>
            </w:pPr>
          </w:p>
        </w:tc>
        <w:tc>
          <w:tcPr>
            <w:tcW w:w="3440" w:type="dxa"/>
            <w:vAlign w:val="bottom"/>
            <w:vMerge w:val="restart"/>
            <w:shd w:val="clear" w:color="auto" w:fill="EBEBEC"/>
          </w:tcPr>
          <w:p>
            <w:pPr>
              <w:spacing w:after="0"/>
              <w:rPr>
                <w:sz w:val="20"/>
                <w:szCs w:val="20"/>
                <w:color w:val="auto"/>
              </w:rPr>
            </w:pPr>
            <w:r>
              <w:rPr>
                <w:rFonts w:ascii="Arial" w:cs="Arial" w:eastAsia="Arial" w:hAnsi="Arial"/>
                <w:sz w:val="24"/>
                <w:szCs w:val="24"/>
                <w:b w:val="1"/>
                <w:bCs w:val="1"/>
                <w:color w:val="D7282F"/>
              </w:rPr>
              <w:t>99,000 EMPLOYEES</w:t>
            </w:r>
            <w:r>
              <w:rPr>
                <w:rFonts w:ascii="Arial" w:cs="Arial" w:eastAsia="Arial" w:hAnsi="Arial"/>
                <w:sz w:val="31"/>
                <w:szCs w:val="31"/>
                <w:b w:val="1"/>
                <w:bCs w:val="1"/>
                <w:color w:val="D7282F"/>
                <w:vertAlign w:val="superscript"/>
              </w:rPr>
              <w:t>(1)</w:t>
            </w:r>
          </w:p>
        </w:tc>
        <w:tc>
          <w:tcPr>
            <w:tcW w:w="220" w:type="dxa"/>
            <w:vAlign w:val="bottom"/>
            <w:tcBorders>
              <w:left w:val="single" w:sz="8" w:color="D7282F"/>
            </w:tcBorders>
            <w:shd w:val="clear" w:color="auto" w:fill="EBEBEC"/>
          </w:tcPr>
          <w:p>
            <w:pPr>
              <w:spacing w:after="0"/>
              <w:rPr>
                <w:sz w:val="20"/>
                <w:szCs w:val="20"/>
                <w:color w:val="auto"/>
              </w:rPr>
            </w:pPr>
          </w:p>
        </w:tc>
        <w:tc>
          <w:tcPr>
            <w:tcW w:w="3460" w:type="dxa"/>
            <w:vAlign w:val="bottom"/>
            <w:vMerge w:val="restart"/>
            <w:shd w:val="clear" w:color="auto" w:fill="EBEBEC"/>
          </w:tcPr>
          <w:p>
            <w:pPr>
              <w:ind w:left="20"/>
              <w:spacing w:after="0"/>
              <w:rPr>
                <w:sz w:val="20"/>
                <w:szCs w:val="20"/>
                <w:color w:val="auto"/>
              </w:rPr>
            </w:pPr>
            <w:r>
              <w:rPr>
                <w:rFonts w:ascii="Arial" w:cs="Arial" w:eastAsia="Arial" w:hAnsi="Arial"/>
                <w:sz w:val="24"/>
                <w:szCs w:val="24"/>
                <w:b w:val="1"/>
                <w:bCs w:val="1"/>
                <w:color w:val="D7282F"/>
              </w:rPr>
              <w:t>82 COUNTRIES</w:t>
            </w:r>
          </w:p>
        </w:tc>
        <w:tc>
          <w:tcPr>
            <w:tcW w:w="220" w:type="dxa"/>
            <w:vAlign w:val="bottom"/>
            <w:tcBorders>
              <w:left w:val="single" w:sz="8" w:color="D7282F"/>
            </w:tcBorders>
            <w:shd w:val="clear" w:color="auto" w:fill="EBEBEC"/>
          </w:tcPr>
          <w:p>
            <w:pPr>
              <w:spacing w:after="0"/>
              <w:rPr>
                <w:sz w:val="20"/>
                <w:szCs w:val="20"/>
                <w:color w:val="auto"/>
              </w:rPr>
            </w:pPr>
          </w:p>
        </w:tc>
        <w:tc>
          <w:tcPr>
            <w:tcW w:w="3560" w:type="dxa"/>
            <w:vAlign w:val="bottom"/>
            <w:vMerge w:val="continue"/>
            <w:shd w:val="clear" w:color="auto" w:fill="EBEBE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20" w:type="dxa"/>
            <w:vAlign w:val="bottom"/>
            <w:shd w:val="clear" w:color="auto" w:fill="EBEBEC"/>
          </w:tcPr>
          <w:p>
            <w:pPr>
              <w:spacing w:after="0"/>
              <w:rPr>
                <w:sz w:val="19"/>
                <w:szCs w:val="19"/>
                <w:color w:val="auto"/>
              </w:rPr>
            </w:pPr>
          </w:p>
        </w:tc>
        <w:tc>
          <w:tcPr>
            <w:tcW w:w="3440" w:type="dxa"/>
            <w:vAlign w:val="bottom"/>
            <w:vMerge w:val="continue"/>
            <w:shd w:val="clear" w:color="auto" w:fill="EBEBEC"/>
          </w:tcPr>
          <w:p>
            <w:pPr>
              <w:spacing w:after="0"/>
              <w:rPr>
                <w:sz w:val="19"/>
                <w:szCs w:val="19"/>
                <w:color w:val="auto"/>
              </w:rPr>
            </w:pPr>
          </w:p>
        </w:tc>
        <w:tc>
          <w:tcPr>
            <w:tcW w:w="220" w:type="dxa"/>
            <w:vAlign w:val="bottom"/>
            <w:tcBorders>
              <w:left w:val="single" w:sz="8" w:color="D7282F"/>
            </w:tcBorders>
            <w:shd w:val="clear" w:color="auto" w:fill="EBEBEC"/>
          </w:tcPr>
          <w:p>
            <w:pPr>
              <w:spacing w:after="0"/>
              <w:rPr>
                <w:sz w:val="19"/>
                <w:szCs w:val="19"/>
                <w:color w:val="auto"/>
              </w:rPr>
            </w:pPr>
          </w:p>
        </w:tc>
        <w:tc>
          <w:tcPr>
            <w:tcW w:w="3460" w:type="dxa"/>
            <w:vAlign w:val="bottom"/>
            <w:vMerge w:val="continue"/>
            <w:shd w:val="clear" w:color="auto" w:fill="EBEBEC"/>
          </w:tcPr>
          <w:p>
            <w:pPr>
              <w:spacing w:after="0"/>
              <w:rPr>
                <w:sz w:val="19"/>
                <w:szCs w:val="19"/>
                <w:color w:val="auto"/>
              </w:rPr>
            </w:pPr>
          </w:p>
        </w:tc>
        <w:tc>
          <w:tcPr>
            <w:tcW w:w="220" w:type="dxa"/>
            <w:vAlign w:val="bottom"/>
            <w:tcBorders>
              <w:left w:val="single" w:sz="8" w:color="D7282F"/>
            </w:tcBorders>
            <w:shd w:val="clear" w:color="auto" w:fill="EBEBEC"/>
          </w:tcPr>
          <w:p>
            <w:pPr>
              <w:spacing w:after="0"/>
              <w:rPr>
                <w:sz w:val="19"/>
                <w:szCs w:val="19"/>
                <w:color w:val="auto"/>
              </w:rPr>
            </w:pPr>
          </w:p>
        </w:tc>
        <w:tc>
          <w:tcPr>
            <w:tcW w:w="3560" w:type="dxa"/>
            <w:vAlign w:val="bottom"/>
            <w:shd w:val="clear" w:color="auto" w:fill="EBEBEC"/>
          </w:tcPr>
          <w:p>
            <w:pPr>
              <w:spacing w:after="0"/>
              <w:rPr>
                <w:sz w:val="20"/>
                <w:szCs w:val="20"/>
                <w:color w:val="auto"/>
              </w:rPr>
            </w:pPr>
            <w:r>
              <w:rPr>
                <w:rFonts w:ascii="Arial" w:cs="Arial" w:eastAsia="Arial" w:hAnsi="Arial"/>
                <w:sz w:val="11"/>
                <w:szCs w:val="11"/>
                <w:color w:val="auto"/>
              </w:rPr>
              <w:t>of whom are in the United States.</w:t>
            </w:r>
          </w:p>
        </w:tc>
        <w:tc>
          <w:tcPr>
            <w:tcW w:w="0" w:type="dxa"/>
            <w:vAlign w:val="bottom"/>
          </w:tcPr>
          <w:p>
            <w:pPr>
              <w:spacing w:after="0"/>
              <w:rPr>
                <w:sz w:val="1"/>
                <w:szCs w:val="1"/>
                <w:color w:val="auto"/>
              </w:rPr>
            </w:pPr>
          </w:p>
        </w:tc>
      </w:tr>
      <w:tr>
        <w:trPr>
          <w:trHeight w:val="91"/>
        </w:trPr>
        <w:tc>
          <w:tcPr>
            <w:tcW w:w="320" w:type="dxa"/>
            <w:vAlign w:val="bottom"/>
            <w:tcBorders>
              <w:bottom w:val="single" w:sz="8" w:color="EBEBEC"/>
            </w:tcBorders>
            <w:shd w:val="clear" w:color="auto" w:fill="EBEBEC"/>
          </w:tcPr>
          <w:p>
            <w:pPr>
              <w:spacing w:after="0"/>
              <w:rPr>
                <w:sz w:val="7"/>
                <w:szCs w:val="7"/>
                <w:color w:val="auto"/>
              </w:rPr>
            </w:pPr>
          </w:p>
        </w:tc>
        <w:tc>
          <w:tcPr>
            <w:tcW w:w="3440" w:type="dxa"/>
            <w:vAlign w:val="bottom"/>
            <w:tcBorders>
              <w:bottom w:val="single" w:sz="8" w:color="EBEBEC"/>
            </w:tcBorders>
            <w:shd w:val="clear" w:color="auto" w:fill="EBEBEC"/>
          </w:tcPr>
          <w:p>
            <w:pPr>
              <w:spacing w:after="0"/>
              <w:rPr>
                <w:sz w:val="7"/>
                <w:szCs w:val="7"/>
                <w:color w:val="auto"/>
              </w:rPr>
            </w:pPr>
          </w:p>
        </w:tc>
        <w:tc>
          <w:tcPr>
            <w:tcW w:w="220" w:type="dxa"/>
            <w:vAlign w:val="bottom"/>
            <w:tcBorders>
              <w:left w:val="single" w:sz="8" w:color="D7282F"/>
              <w:bottom w:val="single" w:sz="8" w:color="EBEBEC"/>
            </w:tcBorders>
            <w:shd w:val="clear" w:color="auto" w:fill="EBEBEC"/>
          </w:tcPr>
          <w:p>
            <w:pPr>
              <w:spacing w:after="0"/>
              <w:rPr>
                <w:sz w:val="7"/>
                <w:szCs w:val="7"/>
                <w:color w:val="auto"/>
              </w:rPr>
            </w:pPr>
          </w:p>
        </w:tc>
        <w:tc>
          <w:tcPr>
            <w:tcW w:w="3460" w:type="dxa"/>
            <w:vAlign w:val="bottom"/>
            <w:tcBorders>
              <w:bottom w:val="single" w:sz="8" w:color="EBEBEC"/>
            </w:tcBorders>
            <w:shd w:val="clear" w:color="auto" w:fill="EBEBEC"/>
          </w:tcPr>
          <w:p>
            <w:pPr>
              <w:spacing w:after="0"/>
              <w:rPr>
                <w:sz w:val="7"/>
                <w:szCs w:val="7"/>
                <w:color w:val="auto"/>
              </w:rPr>
            </w:pPr>
          </w:p>
        </w:tc>
        <w:tc>
          <w:tcPr>
            <w:tcW w:w="220" w:type="dxa"/>
            <w:vAlign w:val="bottom"/>
            <w:tcBorders>
              <w:left w:val="single" w:sz="8" w:color="D7282F"/>
              <w:bottom w:val="single" w:sz="8" w:color="EBEBEC"/>
            </w:tcBorders>
            <w:shd w:val="clear" w:color="auto" w:fill="EBEBEC"/>
          </w:tcPr>
          <w:p>
            <w:pPr>
              <w:spacing w:after="0"/>
              <w:rPr>
                <w:sz w:val="7"/>
                <w:szCs w:val="7"/>
                <w:color w:val="auto"/>
              </w:rPr>
            </w:pPr>
          </w:p>
        </w:tc>
        <w:tc>
          <w:tcPr>
            <w:tcW w:w="3560" w:type="dxa"/>
            <w:vAlign w:val="bottom"/>
            <w:tcBorders>
              <w:bottom w:val="single" w:sz="8" w:color="EBEBEC"/>
            </w:tcBorders>
            <w:shd w:val="clear" w:color="auto" w:fill="EBEBEC"/>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-730885</wp:posOffset>
            </wp:positionV>
            <wp:extent cx="320040" cy="1943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040" cy="194310"/>
                    </a:xfrm>
                    <a:prstGeom prst="rect">
                      <a:avLst/>
                    </a:prstGeom>
                    <a:noFill/>
                  </pic:spPr>
                </pic:pic>
              </a:graphicData>
            </a:graphic>
          </wp:anchor>
        </w:drawing>
        <w:drawing>
          <wp:anchor simplePos="0" relativeHeight="251657728" behindDoc="1" locked="0" layoutInCell="0" allowOverlap="1">
            <wp:simplePos x="0" y="0"/>
            <wp:positionH relativeFrom="column">
              <wp:posOffset>2537460</wp:posOffset>
            </wp:positionH>
            <wp:positionV relativeFrom="paragraph">
              <wp:posOffset>-742315</wp:posOffset>
            </wp:positionV>
            <wp:extent cx="217170" cy="2171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7170" cy="217170"/>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-736600</wp:posOffset>
            </wp:positionV>
            <wp:extent cx="320040" cy="211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040" cy="211455"/>
                    </a:xfrm>
                    <a:prstGeom prst="rect">
                      <a:avLst/>
                    </a:prstGeom>
                    <a:noFill/>
                  </pic:spPr>
                </pic:pic>
              </a:graphicData>
            </a:graphic>
          </wp:anchor>
        </w:drawing>
      </w:r>
    </w:p>
    <w:p>
      <w:pPr>
        <w:spacing w:after="0" w:line="111" w:lineRule="exact"/>
        <w:rPr>
          <w:sz w:val="20"/>
          <w:szCs w:val="20"/>
          <w:color w:val="auto"/>
        </w:rPr>
      </w:pPr>
    </w:p>
    <w:p>
      <w:pPr>
        <w:ind w:left="208" w:hanging="208"/>
        <w:spacing w:after="0"/>
        <w:tabs>
          <w:tab w:leader="none" w:pos="74" w:val="left"/>
        </w:tabs>
        <w:numPr>
          <w:ilvl w:val="0"/>
          <w:numId w:val="30"/>
        </w:numPr>
        <w:rPr>
          <w:rFonts w:ascii="Arial" w:cs="Arial" w:eastAsia="Arial" w:hAnsi="Arial"/>
          <w:sz w:val="9"/>
          <w:szCs w:val="9"/>
          <w:color w:val="auto"/>
          <w:vertAlign w:val="superscript"/>
        </w:rPr>
      </w:pPr>
      <w:r>
        <w:rPr>
          <w:rFonts w:ascii="Arial" w:cs="Arial" w:eastAsia="Arial" w:hAnsi="Arial"/>
          <w:sz w:val="7"/>
          <w:szCs w:val="7"/>
          <w:color w:val="auto"/>
        </w:rPr>
        <w:t>Excludes Sandia National Laboratories (Sandia) and Kansas City National Security Campus (KCNSC) work forces of approximately 21,000 employees. Sandia and KCNSC are U.S. Department of Energy facilities. Honeywell manages these facilities as a contract operator and does not establish or control their human resource policies.</w:t>
      </w:r>
    </w:p>
    <w:p>
      <w:pPr>
        <w:spacing w:after="0" w:line="26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HONEYWELL BEHAVIORS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151130</wp:posOffset>
            </wp:positionV>
            <wp:extent cx="32575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205740"/>
                    </a:xfrm>
                    <a:prstGeom prst="rect">
                      <a:avLst/>
                    </a:prstGeom>
                    <a:noFill/>
                  </pic:spPr>
                </pic:pic>
              </a:graphicData>
            </a:graphic>
          </wp:anchor>
        </w:drawing>
        <w:drawing>
          <wp:anchor simplePos="0" relativeHeight="251657728" behindDoc="1" locked="0" layoutInCell="0" allowOverlap="1">
            <wp:simplePos x="0" y="0"/>
            <wp:positionH relativeFrom="column">
              <wp:posOffset>6823710</wp:posOffset>
            </wp:positionH>
            <wp:positionV relativeFrom="paragraph">
              <wp:posOffset>151130</wp:posOffset>
            </wp:positionV>
            <wp:extent cx="32575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218" w:lineRule="exact"/>
        <w:rPr>
          <w:sz w:val="20"/>
          <w:szCs w:val="20"/>
          <w:color w:val="auto"/>
        </w:rPr>
      </w:pPr>
    </w:p>
    <w:tbl>
      <w:tblPr>
        <w:tblLayout w:type="fixed"/>
        <w:tblInd w:w="8" w:type="dxa"/>
        <w:tblCellMar>
          <w:top w:w="0" w:type="dxa"/>
          <w:left w:w="0" w:type="dxa"/>
          <w:bottom w:w="0" w:type="dxa"/>
          <w:right w:w="0" w:type="dxa"/>
        </w:tblCellMar>
      </w:tblPr>
      <w:tr>
        <w:trPr>
          <w:trHeight w:val="276"/>
        </w:trPr>
        <w:tc>
          <w:tcPr>
            <w:tcW w:w="5200" w:type="dxa"/>
            <w:vAlign w:val="bottom"/>
            <w:shd w:val="clear" w:color="auto" w:fill="EBEBEC"/>
          </w:tcPr>
          <w:p>
            <w:pPr>
              <w:ind w:left="220"/>
              <w:spacing w:after="0"/>
              <w:rPr>
                <w:sz w:val="20"/>
                <w:szCs w:val="20"/>
                <w:color w:val="auto"/>
              </w:rPr>
            </w:pPr>
            <w:r>
              <w:rPr>
                <w:rFonts w:ascii="Arial" w:cs="Arial" w:eastAsia="Arial" w:hAnsi="Arial"/>
                <w:sz w:val="14"/>
                <w:szCs w:val="14"/>
                <w:color w:val="auto"/>
              </w:rPr>
              <w:t>HAVE A PASSION FOR WINNING</w:t>
            </w:r>
          </w:p>
        </w:tc>
        <w:tc>
          <w:tcPr>
            <w:tcW w:w="660" w:type="dxa"/>
            <w:vAlign w:val="bottom"/>
          </w:tcPr>
          <w:p>
            <w:pPr>
              <w:spacing w:after="0"/>
              <w:rPr>
                <w:sz w:val="24"/>
                <w:szCs w:val="24"/>
                <w:color w:val="auto"/>
              </w:rPr>
            </w:pPr>
          </w:p>
        </w:tc>
        <w:tc>
          <w:tcPr>
            <w:tcW w:w="5400" w:type="dxa"/>
            <w:vAlign w:val="bottom"/>
            <w:shd w:val="clear" w:color="auto" w:fill="EBEBEC"/>
          </w:tcPr>
          <w:p>
            <w:pPr>
              <w:ind w:left="220"/>
              <w:spacing w:after="0"/>
              <w:rPr>
                <w:sz w:val="20"/>
                <w:szCs w:val="20"/>
                <w:color w:val="auto"/>
              </w:rPr>
            </w:pPr>
            <w:r>
              <w:rPr>
                <w:rFonts w:ascii="Arial" w:cs="Arial" w:eastAsia="Arial" w:hAnsi="Arial"/>
                <w:sz w:val="14"/>
                <w:szCs w:val="14"/>
                <w:color w:val="auto"/>
              </w:rPr>
              <w:t>BE COURAGEOUS</w:t>
            </w:r>
          </w:p>
        </w:tc>
        <w:tc>
          <w:tcPr>
            <w:tcW w:w="0" w:type="dxa"/>
            <w:vAlign w:val="bottom"/>
          </w:tcPr>
          <w:p>
            <w:pPr>
              <w:spacing w:after="0"/>
              <w:rPr>
                <w:sz w:val="1"/>
                <w:szCs w:val="1"/>
                <w:color w:val="auto"/>
              </w:rPr>
            </w:pPr>
          </w:p>
        </w:tc>
      </w:tr>
      <w:tr>
        <w:trPr>
          <w:trHeight w:val="111"/>
        </w:trPr>
        <w:tc>
          <w:tcPr>
            <w:tcW w:w="5200" w:type="dxa"/>
            <w:vAlign w:val="bottom"/>
            <w:shd w:val="clear" w:color="auto" w:fill="EBEBEC"/>
          </w:tcPr>
          <w:p>
            <w:pPr>
              <w:spacing w:after="0"/>
              <w:rPr>
                <w:sz w:val="9"/>
                <w:szCs w:val="9"/>
                <w:color w:val="auto"/>
              </w:rPr>
            </w:pPr>
          </w:p>
        </w:tc>
        <w:tc>
          <w:tcPr>
            <w:tcW w:w="660" w:type="dxa"/>
            <w:vAlign w:val="bottom"/>
          </w:tcPr>
          <w:p>
            <w:pPr>
              <w:spacing w:after="0"/>
              <w:rPr>
                <w:sz w:val="9"/>
                <w:szCs w:val="9"/>
                <w:color w:val="auto"/>
              </w:rPr>
            </w:pPr>
          </w:p>
        </w:tc>
        <w:tc>
          <w:tcPr>
            <w:tcW w:w="540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5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200" w:type="dxa"/>
            <w:vAlign w:val="bottom"/>
            <w:shd w:val="clear" w:color="auto" w:fill="EBEBEC"/>
          </w:tcPr>
          <w:p>
            <w:pPr>
              <w:ind w:left="220"/>
              <w:spacing w:after="0"/>
              <w:rPr>
                <w:sz w:val="20"/>
                <w:szCs w:val="20"/>
                <w:color w:val="auto"/>
              </w:rPr>
            </w:pPr>
            <w:r>
              <w:rPr>
                <w:rFonts w:ascii="Arial" w:cs="Arial" w:eastAsia="Arial" w:hAnsi="Arial"/>
                <w:sz w:val="14"/>
                <w:szCs w:val="14"/>
                <w:color w:val="auto"/>
              </w:rPr>
              <w:t>BE A ZEALOT FOR GROWTH</w:t>
            </w:r>
          </w:p>
        </w:tc>
        <w:tc>
          <w:tcPr>
            <w:tcW w:w="660" w:type="dxa"/>
            <w:vAlign w:val="bottom"/>
          </w:tcPr>
          <w:p>
            <w:pPr>
              <w:spacing w:after="0"/>
              <w:rPr>
                <w:sz w:val="24"/>
                <w:szCs w:val="24"/>
                <w:color w:val="auto"/>
              </w:rPr>
            </w:pPr>
          </w:p>
        </w:tc>
        <w:tc>
          <w:tcPr>
            <w:tcW w:w="5400" w:type="dxa"/>
            <w:vAlign w:val="bottom"/>
            <w:shd w:val="clear" w:color="auto" w:fill="EBEBEC"/>
          </w:tcPr>
          <w:p>
            <w:pPr>
              <w:ind w:left="220"/>
              <w:spacing w:after="0"/>
              <w:rPr>
                <w:sz w:val="20"/>
                <w:szCs w:val="20"/>
                <w:color w:val="auto"/>
              </w:rPr>
            </w:pPr>
            <w:r>
              <w:rPr>
                <w:rFonts w:ascii="Arial" w:cs="Arial" w:eastAsia="Arial" w:hAnsi="Arial"/>
                <w:sz w:val="14"/>
                <w:szCs w:val="14"/>
                <w:color w:val="auto"/>
              </w:rPr>
              <w:t>BECOME YOUR BEST</w:t>
            </w:r>
          </w:p>
        </w:tc>
        <w:tc>
          <w:tcPr>
            <w:tcW w:w="0" w:type="dxa"/>
            <w:vAlign w:val="bottom"/>
          </w:tcPr>
          <w:p>
            <w:pPr>
              <w:spacing w:after="0"/>
              <w:rPr>
                <w:sz w:val="1"/>
                <w:szCs w:val="1"/>
                <w:color w:val="auto"/>
              </w:rPr>
            </w:pPr>
          </w:p>
        </w:tc>
      </w:tr>
      <w:tr>
        <w:trPr>
          <w:trHeight w:val="111"/>
        </w:trPr>
        <w:tc>
          <w:tcPr>
            <w:tcW w:w="5200" w:type="dxa"/>
            <w:vAlign w:val="bottom"/>
            <w:shd w:val="clear" w:color="auto" w:fill="EBEBEC"/>
          </w:tcPr>
          <w:p>
            <w:pPr>
              <w:spacing w:after="0"/>
              <w:rPr>
                <w:sz w:val="9"/>
                <w:szCs w:val="9"/>
                <w:color w:val="auto"/>
              </w:rPr>
            </w:pPr>
          </w:p>
        </w:tc>
        <w:tc>
          <w:tcPr>
            <w:tcW w:w="660" w:type="dxa"/>
            <w:vAlign w:val="bottom"/>
          </w:tcPr>
          <w:p>
            <w:pPr>
              <w:spacing w:after="0"/>
              <w:rPr>
                <w:sz w:val="9"/>
                <w:szCs w:val="9"/>
                <w:color w:val="auto"/>
              </w:rPr>
            </w:pPr>
          </w:p>
        </w:tc>
        <w:tc>
          <w:tcPr>
            <w:tcW w:w="540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5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EBEBEC"/>
          </w:tcPr>
          <w:p>
            <w:pPr>
              <w:ind w:left="220"/>
              <w:spacing w:after="0"/>
              <w:rPr>
                <w:sz w:val="20"/>
                <w:szCs w:val="20"/>
                <w:color w:val="auto"/>
              </w:rPr>
            </w:pPr>
            <w:r>
              <w:rPr>
                <w:rFonts w:ascii="Arial" w:cs="Arial" w:eastAsia="Arial" w:hAnsi="Arial"/>
                <w:sz w:val="14"/>
                <w:szCs w:val="14"/>
                <w:color w:val="auto"/>
              </w:rPr>
              <w:t>THINK BIG...</w:t>
            </w:r>
          </w:p>
        </w:tc>
        <w:tc>
          <w:tcPr>
            <w:tcW w:w="660" w:type="dxa"/>
            <w:vAlign w:val="bottom"/>
          </w:tcPr>
          <w:p>
            <w:pPr>
              <w:spacing w:after="0"/>
              <w:rPr>
                <w:sz w:val="15"/>
                <w:szCs w:val="15"/>
                <w:color w:val="auto"/>
              </w:rPr>
            </w:pPr>
          </w:p>
        </w:tc>
        <w:tc>
          <w:tcPr>
            <w:tcW w:w="5400" w:type="dxa"/>
            <w:vAlign w:val="bottom"/>
            <w:vMerge w:val="restart"/>
            <w:shd w:val="clear" w:color="auto" w:fill="EBEBEC"/>
          </w:tcPr>
          <w:p>
            <w:pPr>
              <w:ind w:left="220"/>
              <w:spacing w:after="0"/>
              <w:rPr>
                <w:sz w:val="20"/>
                <w:szCs w:val="20"/>
                <w:color w:val="auto"/>
              </w:rPr>
            </w:pPr>
            <w:r>
              <w:rPr>
                <w:rFonts w:ascii="Arial" w:cs="Arial" w:eastAsia="Arial" w:hAnsi="Arial"/>
                <w:sz w:val="14"/>
                <w:szCs w:val="14"/>
                <w:color w:val="auto"/>
              </w:rPr>
              <w:t>BE COMMITTED</w:t>
            </w:r>
          </w:p>
        </w:tc>
        <w:tc>
          <w:tcPr>
            <w:tcW w:w="0" w:type="dxa"/>
            <w:vAlign w:val="bottom"/>
          </w:tcPr>
          <w:p>
            <w:pPr>
              <w:spacing w:after="0"/>
              <w:rPr>
                <w:sz w:val="1"/>
                <w:szCs w:val="1"/>
                <w:color w:val="auto"/>
              </w:rPr>
            </w:pPr>
          </w:p>
        </w:tc>
      </w:tr>
      <w:tr>
        <w:trPr>
          <w:trHeight w:val="100"/>
        </w:trPr>
        <w:tc>
          <w:tcPr>
            <w:tcW w:w="5200" w:type="dxa"/>
            <w:vAlign w:val="bottom"/>
            <w:vMerge w:val="restart"/>
            <w:shd w:val="clear" w:color="auto" w:fill="EBEBEC"/>
          </w:tcPr>
          <w:p>
            <w:pPr>
              <w:ind w:left="220"/>
              <w:spacing w:after="0"/>
              <w:rPr>
                <w:sz w:val="20"/>
                <w:szCs w:val="20"/>
                <w:color w:val="auto"/>
              </w:rPr>
            </w:pPr>
            <w:r>
              <w:rPr>
                <w:rFonts w:ascii="Arial" w:cs="Arial" w:eastAsia="Arial" w:hAnsi="Arial"/>
                <w:sz w:val="14"/>
                <w:szCs w:val="14"/>
                <w:color w:val="auto"/>
              </w:rPr>
              <w:t>THEN MAKE IT HAPPEN</w:t>
            </w:r>
          </w:p>
        </w:tc>
        <w:tc>
          <w:tcPr>
            <w:tcW w:w="660" w:type="dxa"/>
            <w:vAlign w:val="bottom"/>
          </w:tcPr>
          <w:p>
            <w:pPr>
              <w:spacing w:after="0"/>
              <w:rPr>
                <w:sz w:val="8"/>
                <w:szCs w:val="8"/>
                <w:color w:val="auto"/>
              </w:rPr>
            </w:pPr>
          </w:p>
        </w:tc>
        <w:tc>
          <w:tcPr>
            <w:tcW w:w="5400" w:type="dxa"/>
            <w:vAlign w:val="bottom"/>
            <w:vMerge w:val="continue"/>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200" w:type="dxa"/>
            <w:vAlign w:val="bottom"/>
            <w:tcBorders>
              <w:bottom w:val="single" w:sz="8" w:color="EBEBEC"/>
            </w:tcBorders>
            <w:vMerge w:val="continue"/>
            <w:shd w:val="clear" w:color="auto" w:fill="EBEBEC"/>
          </w:tcPr>
          <w:p>
            <w:pPr>
              <w:spacing w:after="0"/>
              <w:rPr>
                <w:sz w:val="7"/>
                <w:szCs w:val="7"/>
                <w:color w:val="auto"/>
              </w:rPr>
            </w:pPr>
          </w:p>
        </w:tc>
        <w:tc>
          <w:tcPr>
            <w:tcW w:w="660" w:type="dxa"/>
            <w:vAlign w:val="bottom"/>
          </w:tcPr>
          <w:p>
            <w:pPr>
              <w:spacing w:after="0"/>
              <w:rPr>
                <w:sz w:val="7"/>
                <w:szCs w:val="7"/>
                <w:color w:val="auto"/>
              </w:rPr>
            </w:pPr>
          </w:p>
        </w:tc>
        <w:tc>
          <w:tcPr>
            <w:tcW w:w="5400" w:type="dxa"/>
            <w:vAlign w:val="bottom"/>
            <w:tcBorders>
              <w:bottom w:val="single" w:sz="8" w:color="EBEBEC"/>
            </w:tcBorders>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5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200" w:type="dxa"/>
            <w:vAlign w:val="bottom"/>
            <w:shd w:val="clear" w:color="auto" w:fill="EBEBEC"/>
          </w:tcPr>
          <w:p>
            <w:pPr>
              <w:ind w:left="220"/>
              <w:spacing w:after="0"/>
              <w:rPr>
                <w:sz w:val="20"/>
                <w:szCs w:val="20"/>
                <w:color w:val="auto"/>
              </w:rPr>
            </w:pPr>
            <w:r>
              <w:rPr>
                <w:rFonts w:ascii="Arial" w:cs="Arial" w:eastAsia="Arial" w:hAnsi="Arial"/>
                <w:sz w:val="14"/>
                <w:szCs w:val="14"/>
                <w:color w:val="auto"/>
              </w:rPr>
              <w:t>ACT WITH URGENCY</w:t>
            </w:r>
          </w:p>
        </w:tc>
        <w:tc>
          <w:tcPr>
            <w:tcW w:w="660" w:type="dxa"/>
            <w:vAlign w:val="bottom"/>
          </w:tcPr>
          <w:p>
            <w:pPr>
              <w:spacing w:after="0"/>
              <w:rPr>
                <w:sz w:val="24"/>
                <w:szCs w:val="24"/>
                <w:color w:val="auto"/>
              </w:rPr>
            </w:pPr>
          </w:p>
        </w:tc>
        <w:tc>
          <w:tcPr>
            <w:tcW w:w="5400" w:type="dxa"/>
            <w:vAlign w:val="bottom"/>
            <w:shd w:val="clear" w:color="auto" w:fill="EBEBEC"/>
          </w:tcPr>
          <w:p>
            <w:pPr>
              <w:ind w:left="220"/>
              <w:spacing w:after="0"/>
              <w:rPr>
                <w:sz w:val="20"/>
                <w:szCs w:val="20"/>
                <w:color w:val="auto"/>
              </w:rPr>
            </w:pPr>
            <w:r>
              <w:rPr>
                <w:rFonts w:ascii="Arial" w:cs="Arial" w:eastAsia="Arial" w:hAnsi="Arial"/>
                <w:sz w:val="14"/>
                <w:szCs w:val="14"/>
                <w:color w:val="auto"/>
              </w:rPr>
              <w:t>BUILD EXCEPTIONAL TALENT</w:t>
            </w:r>
          </w:p>
        </w:tc>
        <w:tc>
          <w:tcPr>
            <w:tcW w:w="0" w:type="dxa"/>
            <w:vAlign w:val="bottom"/>
          </w:tcPr>
          <w:p>
            <w:pPr>
              <w:spacing w:after="0"/>
              <w:rPr>
                <w:sz w:val="1"/>
                <w:szCs w:val="1"/>
                <w:color w:val="auto"/>
              </w:rPr>
            </w:pPr>
          </w:p>
        </w:tc>
      </w:tr>
      <w:tr>
        <w:trPr>
          <w:trHeight w:val="111"/>
        </w:trPr>
        <w:tc>
          <w:tcPr>
            <w:tcW w:w="5200" w:type="dxa"/>
            <w:vAlign w:val="bottom"/>
            <w:shd w:val="clear" w:color="auto" w:fill="EBEBEC"/>
          </w:tcPr>
          <w:p>
            <w:pPr>
              <w:spacing w:after="0"/>
              <w:rPr>
                <w:sz w:val="9"/>
                <w:szCs w:val="9"/>
                <w:color w:val="auto"/>
              </w:rPr>
            </w:pPr>
          </w:p>
        </w:tc>
        <w:tc>
          <w:tcPr>
            <w:tcW w:w="660" w:type="dxa"/>
            <w:vAlign w:val="bottom"/>
          </w:tcPr>
          <w:p>
            <w:pPr>
              <w:spacing w:after="0"/>
              <w:rPr>
                <w:sz w:val="9"/>
                <w:szCs w:val="9"/>
                <w:color w:val="auto"/>
              </w:rPr>
            </w:pPr>
          </w:p>
        </w:tc>
        <w:tc>
          <w:tcPr>
            <w:tcW w:w="540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-816610</wp:posOffset>
            </wp:positionV>
            <wp:extent cx="325755"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755" cy="205740"/>
                    </a:xfrm>
                    <a:prstGeom prst="rect">
                      <a:avLst/>
                    </a:prstGeom>
                    <a:noFill/>
                  </pic:spPr>
                </pic:pic>
              </a:graphicData>
            </a:graphic>
          </wp:anchor>
        </w:drawing>
        <w:drawing>
          <wp:anchor simplePos="0" relativeHeight="251657728" behindDoc="1" locked="0" layoutInCell="0" allowOverlap="1">
            <wp:simplePos x="0" y="0"/>
            <wp:positionH relativeFrom="column">
              <wp:posOffset>6823710</wp:posOffset>
            </wp:positionH>
            <wp:positionV relativeFrom="paragraph">
              <wp:posOffset>-816610</wp:posOffset>
            </wp:positionV>
            <wp:extent cx="32575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20574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-530860</wp:posOffset>
            </wp:positionV>
            <wp:extent cx="32575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755" cy="205740"/>
                    </a:xfrm>
                    <a:prstGeom prst="rect">
                      <a:avLst/>
                    </a:prstGeom>
                    <a:noFill/>
                  </pic:spPr>
                </pic:pic>
              </a:graphicData>
            </a:graphic>
          </wp:anchor>
        </w:drawing>
        <w:drawing>
          <wp:anchor simplePos="0" relativeHeight="251657728" behindDoc="1" locked="0" layoutInCell="0" allowOverlap="1">
            <wp:simplePos x="0" y="0"/>
            <wp:positionH relativeFrom="column">
              <wp:posOffset>6823710</wp:posOffset>
            </wp:positionH>
            <wp:positionV relativeFrom="paragraph">
              <wp:posOffset>-530860</wp:posOffset>
            </wp:positionV>
            <wp:extent cx="32575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20574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-245110</wp:posOffset>
            </wp:positionV>
            <wp:extent cx="32575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205740"/>
                    </a:xfrm>
                    <a:prstGeom prst="rect">
                      <a:avLst/>
                    </a:prstGeom>
                    <a:noFill/>
                  </pic:spPr>
                </pic:pic>
              </a:graphicData>
            </a:graphic>
          </wp:anchor>
        </w:drawing>
        <w:drawing>
          <wp:anchor simplePos="0" relativeHeight="251657728" behindDoc="1" locked="0" layoutInCell="0" allowOverlap="1">
            <wp:simplePos x="0" y="0"/>
            <wp:positionH relativeFrom="column">
              <wp:posOffset>6823710</wp:posOffset>
            </wp:positionH>
            <wp:positionV relativeFrom="paragraph">
              <wp:posOffset>-245110</wp:posOffset>
            </wp:positionV>
            <wp:extent cx="32575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205740"/>
                    </a:xfrm>
                    <a:prstGeom prst="rect">
                      <a:avLst/>
                    </a:prstGeom>
                    <a:noFill/>
                  </pic:spPr>
                </pic:pic>
              </a:graphicData>
            </a:graphic>
          </wp:anchor>
        </w:drawing>
      </w:r>
    </w:p>
    <w:p>
      <w:pPr>
        <w:spacing w:after="0" w:line="107"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2021, we furthered our foundational principles of Inclusion and Diversity by appointing a Chief Inclusion and Diversity Officer and Inclusion and Diversity leaders for each business unit focusing on three key priorities:</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3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Representation</w:t>
            </w:r>
          </w:p>
        </w:tc>
        <w:tc>
          <w:tcPr>
            <w:tcW w:w="3840" w:type="dxa"/>
            <w:vAlign w:val="bottom"/>
            <w:tcBorders>
              <w:bottom w:val="single" w:sz="8" w:color="DC202E"/>
            </w:tcBorders>
          </w:tcPr>
          <w:p>
            <w:pPr>
              <w:ind w:left="560"/>
              <w:spacing w:after="0"/>
              <w:rPr>
                <w:sz w:val="20"/>
                <w:szCs w:val="20"/>
                <w:color w:val="auto"/>
              </w:rPr>
            </w:pPr>
            <w:r>
              <w:rPr>
                <w:rFonts w:ascii="Arial" w:cs="Arial" w:eastAsia="Arial" w:hAnsi="Arial"/>
                <w:sz w:val="10"/>
                <w:szCs w:val="10"/>
                <w:b w:val="1"/>
                <w:bCs w:val="1"/>
                <w:color w:val="auto"/>
              </w:rPr>
              <w:t>Retention</w:t>
            </w:r>
          </w:p>
        </w:tc>
        <w:tc>
          <w:tcPr>
            <w:tcW w:w="4120" w:type="dxa"/>
            <w:vAlign w:val="bottom"/>
            <w:tcBorders>
              <w:bottom w:val="single" w:sz="8" w:color="DC202E"/>
            </w:tcBorders>
          </w:tcPr>
          <w:p>
            <w:pPr>
              <w:ind w:left="600"/>
              <w:spacing w:after="0"/>
              <w:rPr>
                <w:sz w:val="20"/>
                <w:szCs w:val="20"/>
                <w:color w:val="auto"/>
              </w:rPr>
            </w:pPr>
            <w:r>
              <w:rPr>
                <w:rFonts w:ascii="Arial" w:cs="Arial" w:eastAsia="Arial" w:hAnsi="Arial"/>
                <w:sz w:val="10"/>
                <w:szCs w:val="10"/>
                <w:b w:val="1"/>
                <w:bCs w:val="1"/>
                <w:color w:val="auto"/>
              </w:rPr>
              <w:t>Recognition</w:t>
            </w:r>
          </w:p>
        </w:tc>
      </w:tr>
      <w:tr>
        <w:trPr>
          <w:trHeight w:val="115"/>
        </w:trPr>
        <w:tc>
          <w:tcPr>
            <w:tcW w:w="33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Cultivate a workforce that reflects our communities and the world</w:t>
            </w:r>
          </w:p>
        </w:tc>
        <w:tc>
          <w:tcPr>
            <w:tcW w:w="3840" w:type="dxa"/>
            <w:vAlign w:val="bottom"/>
            <w:tcBorders>
              <w:bottom w:val="single" w:sz="8" w:color="939598"/>
            </w:tcBorders>
          </w:tcPr>
          <w:p>
            <w:pPr>
              <w:ind w:left="560"/>
              <w:spacing w:after="0"/>
              <w:rPr>
                <w:sz w:val="20"/>
                <w:szCs w:val="20"/>
                <w:color w:val="auto"/>
              </w:rPr>
            </w:pPr>
            <w:r>
              <w:rPr>
                <w:rFonts w:ascii="Arial" w:cs="Arial" w:eastAsia="Arial" w:hAnsi="Arial"/>
                <w:sz w:val="10"/>
                <w:szCs w:val="10"/>
                <w:color w:val="auto"/>
              </w:rPr>
              <w:t>Create employee development and advancement opportunities</w:t>
            </w:r>
          </w:p>
        </w:tc>
        <w:tc>
          <w:tcPr>
            <w:tcW w:w="4120" w:type="dxa"/>
            <w:vAlign w:val="bottom"/>
            <w:tcBorders>
              <w:bottom w:val="single" w:sz="8" w:color="939598"/>
            </w:tcBorders>
          </w:tcPr>
          <w:p>
            <w:pPr>
              <w:ind w:left="600"/>
              <w:spacing w:after="0"/>
              <w:rPr>
                <w:sz w:val="20"/>
                <w:szCs w:val="20"/>
                <w:color w:val="auto"/>
              </w:rPr>
            </w:pPr>
            <w:r>
              <w:rPr>
                <w:rFonts w:ascii="Arial" w:cs="Arial" w:eastAsia="Arial" w:hAnsi="Arial"/>
                <w:sz w:val="10"/>
                <w:szCs w:val="10"/>
                <w:color w:val="auto"/>
              </w:rPr>
              <w:t>Be a global employer of choice for Inclusion and Diversity</w:t>
            </w:r>
          </w:p>
        </w:tc>
      </w:tr>
      <w:tr>
        <w:trPr>
          <w:trHeight w:val="115"/>
        </w:trPr>
        <w:tc>
          <w:tcPr>
            <w:tcW w:w="33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Sustain a pipeline of diverse talent from campus to the C-Suite</w:t>
            </w:r>
          </w:p>
        </w:tc>
        <w:tc>
          <w:tcPr>
            <w:tcW w:w="3840" w:type="dxa"/>
            <w:vAlign w:val="bottom"/>
            <w:tcBorders>
              <w:bottom w:val="single" w:sz="8" w:color="939598"/>
            </w:tcBorders>
          </w:tcPr>
          <w:p>
            <w:pPr>
              <w:ind w:left="560"/>
              <w:spacing w:after="0"/>
              <w:rPr>
                <w:sz w:val="20"/>
                <w:szCs w:val="20"/>
                <w:color w:val="auto"/>
              </w:rPr>
            </w:pPr>
            <w:r>
              <w:rPr>
                <w:rFonts w:ascii="Arial" w:cs="Arial" w:eastAsia="Arial" w:hAnsi="Arial"/>
                <w:sz w:val="10"/>
                <w:szCs w:val="10"/>
                <w:color w:val="auto"/>
              </w:rPr>
              <w:t>Foster community engagement and belonging</w:t>
            </w:r>
          </w:p>
        </w:tc>
        <w:tc>
          <w:tcPr>
            <w:tcW w:w="4120" w:type="dxa"/>
            <w:vAlign w:val="bottom"/>
            <w:tcBorders>
              <w:bottom w:val="single" w:sz="8" w:color="939598"/>
            </w:tcBorders>
          </w:tcPr>
          <w:p>
            <w:pPr>
              <w:ind w:left="600"/>
              <w:spacing w:after="0"/>
              <w:rPr>
                <w:sz w:val="20"/>
                <w:szCs w:val="20"/>
                <w:color w:val="auto"/>
              </w:rPr>
            </w:pPr>
            <w:r>
              <w:rPr>
                <w:rFonts w:ascii="Arial" w:cs="Arial" w:eastAsia="Arial" w:hAnsi="Arial"/>
                <w:sz w:val="10"/>
                <w:szCs w:val="10"/>
                <w:color w:val="auto"/>
              </w:rPr>
              <w:t>Leverage our culture as a competitive advantage</w:t>
            </w:r>
          </w:p>
        </w:tc>
      </w:tr>
      <w:tr>
        <w:trPr>
          <w:trHeight w:val="115"/>
        </w:trPr>
        <w:tc>
          <w:tcPr>
            <w:tcW w:w="33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Promote a culture of inclusion, accessibility, and respect</w:t>
            </w:r>
          </w:p>
        </w:tc>
        <w:tc>
          <w:tcPr>
            <w:tcW w:w="3840" w:type="dxa"/>
            <w:vAlign w:val="bottom"/>
            <w:tcBorders>
              <w:bottom w:val="single" w:sz="8" w:color="D7282F"/>
            </w:tcBorders>
          </w:tcPr>
          <w:p>
            <w:pPr>
              <w:ind w:left="560"/>
              <w:spacing w:after="0"/>
              <w:rPr>
                <w:sz w:val="20"/>
                <w:szCs w:val="20"/>
                <w:color w:val="auto"/>
              </w:rPr>
            </w:pPr>
            <w:r>
              <w:rPr>
                <w:rFonts w:ascii="Arial" w:cs="Arial" w:eastAsia="Arial" w:hAnsi="Arial"/>
                <w:sz w:val="10"/>
                <w:szCs w:val="10"/>
                <w:color w:val="auto"/>
              </w:rPr>
              <w:t>Offer competitive compensation, rewards, and recognition</w:t>
            </w:r>
          </w:p>
        </w:tc>
        <w:tc>
          <w:tcPr>
            <w:tcW w:w="4120" w:type="dxa"/>
            <w:vAlign w:val="bottom"/>
            <w:tcBorders>
              <w:bottom w:val="single" w:sz="8" w:color="D7282F"/>
            </w:tcBorders>
          </w:tcPr>
          <w:p>
            <w:pPr>
              <w:ind w:left="600"/>
              <w:spacing w:after="0"/>
              <w:rPr>
                <w:sz w:val="20"/>
                <w:szCs w:val="20"/>
                <w:color w:val="auto"/>
              </w:rPr>
            </w:pPr>
            <w:r>
              <w:rPr>
                <w:rFonts w:ascii="Arial" w:cs="Arial" w:eastAsia="Arial" w:hAnsi="Arial"/>
                <w:sz w:val="10"/>
                <w:szCs w:val="10"/>
                <w:color w:val="auto"/>
              </w:rPr>
              <w:t>Lead on Inclusion and Diversity practices</w:t>
            </w:r>
          </w:p>
        </w:tc>
      </w:tr>
    </w:tbl>
    <w:p>
      <w:pPr>
        <w:spacing w:after="0" w:line="136"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Our commitment to these fundamental values and the Honeywell Behaviors starts at the top with a diverse Board of Directors and executive management team, who represent a broad spectrum of backgrounds and perspectives. We believe that the diversity of our current Board of Directors (four women, and two Hispanic, two African American, and one Asian American director) and the diversity of Honeywell’s executive leadership (more than half of the Company’s nine executive officers are diverse by ethnic background, non-U.S. place of birth or gender) supports our evolving business strategy and is a testament to Honeywell’s ongoing commitment to hiring, developing, and retaining diverse talent. The Company’s commitment to Inclusion and Diversity enables better decision-making, helps build competitive advantages, and furthers long-term success.</w:t>
      </w:r>
    </w:p>
    <w:p>
      <w:pPr>
        <w:spacing w:after="0" w:line="26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11</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13" w:name="page14"/>
    <w:bookmarkEnd w:id="13"/>
    <w:p>
      <w:pPr>
        <w:ind w:left="8"/>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In 2020, we established a Global Inclusion and Diversity Steering Committee co-sponsored by our Chairman and CEO, Senior Vice President and General Counsel, and Senior Vice President and Chief Human Resources Officer and fortified our inclusion and diversity governance structure by embedding Inclusion and Diversity Councils in each of our business groups. The governance structure provides a scalable model that supports our seven affinity group employee networks and facilitates the introduction of new networks to reflect the diverse characteristics of our workforce. These networks are designed to provide training and development opportunities and expand internal networks for promotional opportunities.</w:t>
      </w:r>
    </w:p>
    <w:p>
      <w:pPr>
        <w:spacing w:after="0" w:line="83" w:lineRule="exact"/>
        <w:rPr>
          <w:sz w:val="20"/>
          <w:szCs w:val="20"/>
          <w:color w:val="auto"/>
        </w:rPr>
      </w:pPr>
    </w:p>
    <w:tbl>
      <w:tblPr>
        <w:tblLayout w:type="fixed"/>
        <w:tblInd w:w="2548" w:type="dxa"/>
        <w:tblCellMar>
          <w:top w:w="0" w:type="dxa"/>
          <w:left w:w="0" w:type="dxa"/>
          <w:bottom w:w="0" w:type="dxa"/>
          <w:right w:w="0" w:type="dxa"/>
        </w:tblCellMar>
      </w:tblPr>
      <w:tr>
        <w:trPr>
          <w:trHeight w:val="142"/>
        </w:trPr>
        <w:tc>
          <w:tcPr>
            <w:tcW w:w="2600" w:type="dxa"/>
            <w:vAlign w:val="bottom"/>
            <w:gridSpan w:val="2"/>
          </w:tcPr>
          <w:p>
            <w:pPr>
              <w:spacing w:after="0"/>
              <w:rPr>
                <w:sz w:val="20"/>
                <w:szCs w:val="20"/>
                <w:color w:val="auto"/>
              </w:rPr>
            </w:pPr>
            <w:r>
              <w:rPr>
                <w:rFonts w:ascii="Arial" w:cs="Arial" w:eastAsia="Arial" w:hAnsi="Arial"/>
                <w:sz w:val="11"/>
                <w:szCs w:val="11"/>
                <w:b w:val="1"/>
                <w:bCs w:val="1"/>
                <w:color w:val="auto"/>
              </w:rPr>
              <w:t>Employee Networks</w:t>
            </w:r>
          </w:p>
        </w:tc>
        <w:tc>
          <w:tcPr>
            <w:tcW w:w="58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97"/>
        </w:trPr>
        <w:tc>
          <w:tcPr>
            <w:tcW w:w="2600" w:type="dxa"/>
            <w:vAlign w:val="bottom"/>
            <w:gridSpan w:val="2"/>
          </w:tcPr>
          <w:p>
            <w:pPr>
              <w:spacing w:after="0"/>
              <w:rPr>
                <w:sz w:val="20"/>
                <w:szCs w:val="20"/>
                <w:color w:val="auto"/>
              </w:rPr>
            </w:pPr>
            <w:r>
              <w:rPr>
                <w:rFonts w:ascii="Arial" w:cs="Arial" w:eastAsia="Arial" w:hAnsi="Arial"/>
                <w:sz w:val="11"/>
                <w:szCs w:val="11"/>
                <w:b w:val="1"/>
                <w:bCs w:val="1"/>
                <w:color w:val="D7282F"/>
              </w:rPr>
              <w:t xml:space="preserve">•  </w:t>
            </w:r>
            <w:r>
              <w:rPr>
                <w:rFonts w:ascii="Arial" w:cs="Arial" w:eastAsia="Arial" w:hAnsi="Arial"/>
                <w:sz w:val="11"/>
                <w:szCs w:val="11"/>
                <w:color w:val="000000"/>
              </w:rPr>
              <w:t>Honeywell AllAbilities Employee Network</w:t>
            </w:r>
          </w:p>
        </w:tc>
        <w:tc>
          <w:tcPr>
            <w:tcW w:w="2520" w:type="dxa"/>
            <w:vAlign w:val="bottom"/>
            <w:gridSpan w:val="2"/>
          </w:tcPr>
          <w:p>
            <w:pPr>
              <w:ind w:left="500"/>
              <w:spacing w:after="0"/>
              <w:rPr>
                <w:sz w:val="20"/>
                <w:szCs w:val="20"/>
                <w:color w:val="auto"/>
              </w:rPr>
            </w:pPr>
            <w:r>
              <w:rPr>
                <w:rFonts w:ascii="Arial" w:cs="Arial" w:eastAsia="Arial" w:hAnsi="Arial"/>
                <w:sz w:val="11"/>
                <w:szCs w:val="11"/>
                <w:b w:val="1"/>
                <w:bCs w:val="1"/>
                <w:color w:val="D7282F"/>
                <w:w w:val="98"/>
              </w:rPr>
              <w:t xml:space="preserve">•  </w:t>
            </w:r>
            <w:r>
              <w:rPr>
                <w:rFonts w:ascii="Arial" w:cs="Arial" w:eastAsia="Arial" w:hAnsi="Arial"/>
                <w:sz w:val="11"/>
                <w:szCs w:val="11"/>
                <w:color w:val="000000"/>
                <w:w w:val="98"/>
              </w:rPr>
              <w:t>Honeywell LGBTQ+ Employee Network</w:t>
            </w:r>
          </w:p>
        </w:tc>
      </w:tr>
      <w:tr>
        <w:trPr>
          <w:trHeight w:val="180"/>
        </w:trPr>
        <w:tc>
          <w:tcPr>
            <w:tcW w:w="80" w:type="dxa"/>
            <w:vAlign w:val="bottom"/>
          </w:tcPr>
          <w:p>
            <w:pPr>
              <w:spacing w:after="0"/>
              <w:rPr>
                <w:sz w:val="20"/>
                <w:szCs w:val="20"/>
                <w:color w:val="auto"/>
              </w:rPr>
            </w:pPr>
            <w:r>
              <w:rPr>
                <w:rFonts w:ascii="Arial" w:cs="Arial" w:eastAsia="Arial" w:hAnsi="Arial"/>
                <w:sz w:val="11"/>
                <w:szCs w:val="11"/>
                <w:b w:val="1"/>
                <w:bCs w:val="1"/>
                <w:color w:val="D7282F"/>
              </w:rPr>
              <w:t>•</w:t>
            </w:r>
          </w:p>
        </w:tc>
        <w:tc>
          <w:tcPr>
            <w:tcW w:w="2520" w:type="dxa"/>
            <w:vAlign w:val="bottom"/>
          </w:tcPr>
          <w:p>
            <w:pPr>
              <w:ind w:left="40"/>
              <w:spacing w:after="0"/>
              <w:rPr>
                <w:sz w:val="20"/>
                <w:szCs w:val="20"/>
                <w:color w:val="auto"/>
              </w:rPr>
            </w:pPr>
            <w:r>
              <w:rPr>
                <w:rFonts w:ascii="Arial" w:cs="Arial" w:eastAsia="Arial" w:hAnsi="Arial"/>
                <w:sz w:val="11"/>
                <w:szCs w:val="11"/>
                <w:color w:val="auto"/>
              </w:rPr>
              <w:t>Honeywell Asian Employee Network</w:t>
            </w:r>
          </w:p>
        </w:tc>
        <w:tc>
          <w:tcPr>
            <w:tcW w:w="580" w:type="dxa"/>
            <w:vAlign w:val="bottom"/>
          </w:tcPr>
          <w:p>
            <w:pPr>
              <w:ind w:left="500"/>
              <w:spacing w:after="0"/>
              <w:rPr>
                <w:sz w:val="20"/>
                <w:szCs w:val="20"/>
                <w:color w:val="auto"/>
              </w:rPr>
            </w:pPr>
            <w:r>
              <w:rPr>
                <w:rFonts w:ascii="Arial" w:cs="Arial" w:eastAsia="Arial" w:hAnsi="Arial"/>
                <w:sz w:val="11"/>
                <w:szCs w:val="11"/>
                <w:b w:val="1"/>
                <w:bCs w:val="1"/>
                <w:color w:val="D7282F"/>
              </w:rPr>
              <w:t>•</w:t>
            </w:r>
          </w:p>
        </w:tc>
        <w:tc>
          <w:tcPr>
            <w:tcW w:w="1940" w:type="dxa"/>
            <w:vAlign w:val="bottom"/>
          </w:tcPr>
          <w:p>
            <w:pPr>
              <w:ind w:left="60"/>
              <w:spacing w:after="0"/>
              <w:rPr>
                <w:sz w:val="20"/>
                <w:szCs w:val="20"/>
                <w:color w:val="auto"/>
              </w:rPr>
            </w:pPr>
            <w:r>
              <w:rPr>
                <w:rFonts w:ascii="Arial" w:cs="Arial" w:eastAsia="Arial" w:hAnsi="Arial"/>
                <w:sz w:val="11"/>
                <w:szCs w:val="11"/>
                <w:color w:val="auto"/>
                <w:w w:val="96"/>
              </w:rPr>
              <w:t>Honeywell Veterans Employee Network</w:t>
            </w:r>
          </w:p>
        </w:tc>
      </w:tr>
      <w:tr>
        <w:trPr>
          <w:trHeight w:val="171"/>
        </w:trPr>
        <w:tc>
          <w:tcPr>
            <w:tcW w:w="80" w:type="dxa"/>
            <w:vAlign w:val="bottom"/>
          </w:tcPr>
          <w:p>
            <w:pPr>
              <w:spacing w:after="0"/>
              <w:rPr>
                <w:sz w:val="20"/>
                <w:szCs w:val="20"/>
                <w:color w:val="auto"/>
              </w:rPr>
            </w:pPr>
            <w:r>
              <w:rPr>
                <w:rFonts w:ascii="Arial" w:cs="Arial" w:eastAsia="Arial" w:hAnsi="Arial"/>
                <w:sz w:val="11"/>
                <w:szCs w:val="11"/>
                <w:b w:val="1"/>
                <w:bCs w:val="1"/>
                <w:color w:val="D7282F"/>
              </w:rPr>
              <w:t>•</w:t>
            </w:r>
          </w:p>
        </w:tc>
        <w:tc>
          <w:tcPr>
            <w:tcW w:w="2520" w:type="dxa"/>
            <w:vAlign w:val="bottom"/>
          </w:tcPr>
          <w:p>
            <w:pPr>
              <w:ind w:left="40"/>
              <w:spacing w:after="0"/>
              <w:rPr>
                <w:sz w:val="20"/>
                <w:szCs w:val="20"/>
                <w:color w:val="auto"/>
              </w:rPr>
            </w:pPr>
            <w:r>
              <w:rPr>
                <w:rFonts w:ascii="Arial" w:cs="Arial" w:eastAsia="Arial" w:hAnsi="Arial"/>
                <w:sz w:val="11"/>
                <w:szCs w:val="11"/>
                <w:color w:val="auto"/>
              </w:rPr>
              <w:t>Honeywell Black Employee Network</w:t>
            </w:r>
          </w:p>
        </w:tc>
        <w:tc>
          <w:tcPr>
            <w:tcW w:w="580" w:type="dxa"/>
            <w:vAlign w:val="bottom"/>
          </w:tcPr>
          <w:p>
            <w:pPr>
              <w:ind w:left="500"/>
              <w:spacing w:after="0"/>
              <w:rPr>
                <w:sz w:val="20"/>
                <w:szCs w:val="20"/>
                <w:color w:val="auto"/>
              </w:rPr>
            </w:pPr>
            <w:r>
              <w:rPr>
                <w:rFonts w:ascii="Arial" w:cs="Arial" w:eastAsia="Arial" w:hAnsi="Arial"/>
                <w:sz w:val="11"/>
                <w:szCs w:val="11"/>
                <w:b w:val="1"/>
                <w:bCs w:val="1"/>
                <w:color w:val="D7282F"/>
              </w:rPr>
              <w:t>•</w:t>
            </w:r>
          </w:p>
        </w:tc>
        <w:tc>
          <w:tcPr>
            <w:tcW w:w="1940" w:type="dxa"/>
            <w:vAlign w:val="bottom"/>
          </w:tcPr>
          <w:p>
            <w:pPr>
              <w:ind w:left="60"/>
              <w:spacing w:after="0"/>
              <w:rPr>
                <w:sz w:val="20"/>
                <w:szCs w:val="20"/>
                <w:color w:val="auto"/>
              </w:rPr>
            </w:pPr>
            <w:r>
              <w:rPr>
                <w:rFonts w:ascii="Arial" w:cs="Arial" w:eastAsia="Arial" w:hAnsi="Arial"/>
                <w:sz w:val="11"/>
                <w:szCs w:val="11"/>
                <w:color w:val="auto"/>
                <w:w w:val="97"/>
              </w:rPr>
              <w:t>Honeywell Hispanic Employee Network</w:t>
            </w:r>
          </w:p>
        </w:tc>
      </w:tr>
    </w:tbl>
    <w:p>
      <w:pPr>
        <w:spacing w:after="0" w:line="41" w:lineRule="exact"/>
        <w:rPr>
          <w:sz w:val="20"/>
          <w:szCs w:val="20"/>
          <w:color w:val="auto"/>
        </w:rPr>
      </w:pPr>
    </w:p>
    <w:p>
      <w:pPr>
        <w:ind w:left="2668" w:hanging="127"/>
        <w:spacing w:after="0"/>
        <w:tabs>
          <w:tab w:leader="none" w:pos="2668" w:val="left"/>
        </w:tabs>
        <w:numPr>
          <w:ilvl w:val="0"/>
          <w:numId w:val="31"/>
        </w:numPr>
        <w:rPr>
          <w:rFonts w:ascii="Arial" w:cs="Arial" w:eastAsia="Arial" w:hAnsi="Arial"/>
          <w:sz w:val="11"/>
          <w:szCs w:val="11"/>
          <w:b w:val="1"/>
          <w:bCs w:val="1"/>
          <w:color w:val="D7282F"/>
        </w:rPr>
      </w:pPr>
      <w:r>
        <w:rPr>
          <w:rFonts w:ascii="Arial" w:cs="Arial" w:eastAsia="Arial" w:hAnsi="Arial"/>
          <w:sz w:val="11"/>
          <w:szCs w:val="11"/>
          <w:color w:val="auto"/>
        </w:rPr>
        <w:t>Honeywell Women’s Employee Network</w:t>
      </w:r>
    </w:p>
    <w:p>
      <w:pPr>
        <w:spacing w:after="0" w:line="303" w:lineRule="exact"/>
        <w:rPr>
          <w:sz w:val="20"/>
          <w:szCs w:val="20"/>
          <w:color w:val="auto"/>
        </w:rPr>
      </w:pPr>
    </w:p>
    <w:p>
      <w:pPr>
        <w:ind w:left="2528"/>
        <w:spacing w:after="0"/>
        <w:rPr>
          <w:sz w:val="20"/>
          <w:szCs w:val="20"/>
          <w:color w:val="auto"/>
        </w:rPr>
      </w:pPr>
      <w:r>
        <w:rPr>
          <w:rFonts w:ascii="Arial" w:cs="Arial" w:eastAsia="Arial" w:hAnsi="Arial"/>
          <w:sz w:val="11"/>
          <w:szCs w:val="11"/>
          <w:b w:val="1"/>
          <w:bCs w:val="1"/>
          <w:color w:val="auto"/>
        </w:rPr>
        <w:t>Commitment to Inclusion and Diversity</w:t>
      </w:r>
    </w:p>
    <w:p>
      <w:pPr>
        <w:spacing w:after="0" w:line="55" w:lineRule="exact"/>
        <w:rPr>
          <w:sz w:val="20"/>
          <w:szCs w:val="20"/>
          <w:color w:val="auto"/>
        </w:rPr>
      </w:pPr>
    </w:p>
    <w:tbl>
      <w:tblPr>
        <w:tblLayout w:type="fixed"/>
        <w:tblInd w:w="2528" w:type="dxa"/>
        <w:tblCellMar>
          <w:top w:w="0" w:type="dxa"/>
          <w:left w:w="0" w:type="dxa"/>
          <w:bottom w:w="0" w:type="dxa"/>
          <w:right w:w="0" w:type="dxa"/>
        </w:tblCellMar>
      </w:tblPr>
      <w:tr>
        <w:trPr>
          <w:trHeight w:val="216"/>
        </w:trPr>
        <w:tc>
          <w:tcPr>
            <w:tcW w:w="2080" w:type="dxa"/>
            <w:vAlign w:val="bottom"/>
            <w:shd w:val="clear" w:color="auto" w:fill="E7E7E7"/>
          </w:tcPr>
          <w:p>
            <w:pPr>
              <w:ind w:left="80"/>
              <w:spacing w:after="0"/>
              <w:rPr>
                <w:sz w:val="20"/>
                <w:szCs w:val="20"/>
                <w:color w:val="auto"/>
              </w:rPr>
            </w:pPr>
            <w:r>
              <w:rPr>
                <w:rFonts w:ascii="Arial" w:cs="Arial" w:eastAsia="Arial" w:hAnsi="Arial"/>
                <w:sz w:val="11"/>
                <w:szCs w:val="11"/>
                <w:b w:val="1"/>
                <w:bCs w:val="1"/>
                <w:color w:val="auto"/>
              </w:rPr>
              <w:t>Board Gender Diversity</w:t>
            </w:r>
          </w:p>
        </w:tc>
        <w:tc>
          <w:tcPr>
            <w:tcW w:w="2080" w:type="dxa"/>
            <w:vAlign w:val="bottom"/>
            <w:gridSpan w:val="2"/>
            <w:shd w:val="clear" w:color="auto" w:fill="E7E7E7"/>
          </w:tcPr>
          <w:p>
            <w:pPr>
              <w:spacing w:after="0"/>
              <w:rPr>
                <w:sz w:val="20"/>
                <w:szCs w:val="20"/>
                <w:color w:val="auto"/>
              </w:rPr>
            </w:pPr>
            <w:r>
              <w:rPr>
                <w:rFonts w:ascii="Arial" w:cs="Arial" w:eastAsia="Arial" w:hAnsi="Arial"/>
                <w:sz w:val="11"/>
                <w:szCs w:val="11"/>
                <w:b w:val="1"/>
                <w:bCs w:val="1"/>
                <w:color w:val="auto"/>
              </w:rPr>
              <w:t>Board Ethnic or Racial Diversity</w:t>
            </w:r>
          </w:p>
        </w:tc>
        <w:tc>
          <w:tcPr>
            <w:tcW w:w="2100" w:type="dxa"/>
            <w:vAlign w:val="bottom"/>
            <w:shd w:val="clear" w:color="auto" w:fill="E7E7E7"/>
          </w:tcPr>
          <w:p>
            <w:pPr>
              <w:ind w:left="20"/>
              <w:spacing w:after="0"/>
              <w:rPr>
                <w:sz w:val="20"/>
                <w:szCs w:val="20"/>
                <w:color w:val="auto"/>
              </w:rPr>
            </w:pPr>
            <w:r>
              <w:rPr>
                <w:rFonts w:ascii="Arial" w:cs="Arial" w:eastAsia="Arial" w:hAnsi="Arial"/>
                <w:sz w:val="11"/>
                <w:szCs w:val="11"/>
                <w:b w:val="1"/>
                <w:bCs w:val="1"/>
                <w:color w:val="auto"/>
              </w:rPr>
              <w:t>Executive Officer Diversity</w:t>
            </w:r>
            <w:r>
              <w:rPr>
                <w:rFonts w:ascii="Arial" w:cs="Arial" w:eastAsia="Arial" w:hAnsi="Arial"/>
                <w:sz w:val="14"/>
                <w:szCs w:val="14"/>
                <w:b w:val="1"/>
                <w:bCs w:val="1"/>
                <w:color w:val="auto"/>
                <w:vertAlign w:val="superscript"/>
              </w:rPr>
              <w:t>(1)</w:t>
            </w:r>
          </w:p>
        </w:tc>
      </w:tr>
      <w:tr>
        <w:trPr>
          <w:trHeight w:val="2340"/>
        </w:trPr>
        <w:tc>
          <w:tcPr>
            <w:tcW w:w="2080" w:type="dxa"/>
            <w:vAlign w:val="bottom"/>
            <w:shd w:val="clear" w:color="auto" w:fill="E7E7E7"/>
          </w:tcPr>
          <w:p>
            <w:pPr>
              <w:spacing w:after="0"/>
              <w:rPr>
                <w:sz w:val="24"/>
                <w:szCs w:val="24"/>
                <w:color w:val="auto"/>
              </w:rPr>
            </w:pPr>
          </w:p>
        </w:tc>
        <w:tc>
          <w:tcPr>
            <w:tcW w:w="1040" w:type="dxa"/>
            <w:vAlign w:val="bottom"/>
            <w:shd w:val="clear" w:color="auto" w:fill="E7E7E7"/>
          </w:tcPr>
          <w:p>
            <w:pPr>
              <w:spacing w:after="0"/>
              <w:rPr>
                <w:sz w:val="24"/>
                <w:szCs w:val="24"/>
                <w:color w:val="auto"/>
              </w:rPr>
            </w:pPr>
          </w:p>
        </w:tc>
        <w:tc>
          <w:tcPr>
            <w:tcW w:w="1040" w:type="dxa"/>
            <w:vAlign w:val="bottom"/>
            <w:shd w:val="clear" w:color="auto" w:fill="E7E7E7"/>
          </w:tcPr>
          <w:p>
            <w:pPr>
              <w:spacing w:after="0"/>
              <w:rPr>
                <w:sz w:val="24"/>
                <w:szCs w:val="24"/>
                <w:color w:val="auto"/>
              </w:rPr>
            </w:pPr>
          </w:p>
        </w:tc>
        <w:tc>
          <w:tcPr>
            <w:tcW w:w="2100" w:type="dxa"/>
            <w:vAlign w:val="bottom"/>
            <w:shd w:val="clear" w:color="auto" w:fill="E7E7E7"/>
          </w:tcPr>
          <w:p>
            <w:pPr>
              <w:spacing w:after="0"/>
              <w:rPr>
                <w:sz w:val="24"/>
                <w:szCs w:val="24"/>
                <w:color w:val="auto"/>
              </w:rPr>
            </w:pPr>
          </w:p>
        </w:tc>
      </w:tr>
      <w:tr>
        <w:trPr>
          <w:trHeight w:val="97"/>
        </w:trPr>
        <w:tc>
          <w:tcPr>
            <w:tcW w:w="2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Borders>
              <w:bottom w:val="single" w:sz="8" w:color="E7E7E7"/>
            </w:tcBorders>
          </w:tcPr>
          <w:p>
            <w:pPr>
              <w:spacing w:after="0"/>
              <w:rPr>
                <w:sz w:val="8"/>
                <w:szCs w:val="8"/>
                <w:color w:val="auto"/>
              </w:rPr>
            </w:pPr>
          </w:p>
        </w:tc>
        <w:tc>
          <w:tcPr>
            <w:tcW w:w="2100" w:type="dxa"/>
            <w:vAlign w:val="bottom"/>
            <w:tcBorders>
              <w:bottom w:val="single" w:sz="8" w:color="E7E7E7"/>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-1530985</wp:posOffset>
            </wp:positionV>
            <wp:extent cx="3977640" cy="3006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77640" cy="3006090"/>
                    </a:xfrm>
                    <a:prstGeom prst="rect">
                      <a:avLst/>
                    </a:prstGeom>
                    <a:noFill/>
                  </pic:spPr>
                </pic:pic>
              </a:graphicData>
            </a:graphic>
          </wp:anchor>
        </w:drawing>
      </w:r>
    </w:p>
    <w:p>
      <w:pPr>
        <w:spacing w:after="0" w:line="7" w:lineRule="exact"/>
        <w:rPr>
          <w:sz w:val="20"/>
          <w:szCs w:val="20"/>
          <w:color w:val="auto"/>
        </w:rPr>
      </w:pPr>
    </w:p>
    <w:tbl>
      <w:tblPr>
        <w:tblLayout w:type="fixed"/>
        <w:tblInd w:w="3588" w:type="dxa"/>
        <w:tblCellMar>
          <w:top w:w="0" w:type="dxa"/>
          <w:left w:w="0" w:type="dxa"/>
          <w:bottom w:w="0" w:type="dxa"/>
          <w:right w:w="0" w:type="dxa"/>
        </w:tblCellMar>
      </w:tblPr>
      <w:tr>
        <w:trPr>
          <w:trHeight w:val="187"/>
        </w:trPr>
        <w:tc>
          <w:tcPr>
            <w:tcW w:w="2100" w:type="dxa"/>
            <w:vAlign w:val="bottom"/>
          </w:tcPr>
          <w:p>
            <w:pPr>
              <w:spacing w:after="0"/>
              <w:rPr>
                <w:sz w:val="20"/>
                <w:szCs w:val="20"/>
                <w:color w:val="auto"/>
              </w:rPr>
            </w:pPr>
            <w:r>
              <w:rPr>
                <w:rFonts w:ascii="Arial" w:cs="Arial" w:eastAsia="Arial" w:hAnsi="Arial"/>
                <w:sz w:val="11"/>
                <w:szCs w:val="11"/>
                <w:b w:val="1"/>
                <w:bCs w:val="1"/>
                <w:color w:val="auto"/>
              </w:rPr>
              <w:t>Global Workforce</w:t>
            </w:r>
            <w:r>
              <w:rPr>
                <w:rFonts w:ascii="Arial" w:cs="Arial" w:eastAsia="Arial" w:hAnsi="Arial"/>
                <w:sz w:val="14"/>
                <w:szCs w:val="14"/>
                <w:b w:val="1"/>
                <w:bCs w:val="1"/>
                <w:color w:val="auto"/>
                <w:vertAlign w:val="superscript"/>
              </w:rPr>
              <w:t>(2)</w:t>
            </w:r>
          </w:p>
        </w:tc>
        <w:tc>
          <w:tcPr>
            <w:tcW w:w="1960" w:type="dxa"/>
            <w:vAlign w:val="bottom"/>
          </w:tcPr>
          <w:p>
            <w:pPr>
              <w:ind w:left="1100"/>
              <w:spacing w:after="0"/>
              <w:rPr>
                <w:sz w:val="20"/>
                <w:szCs w:val="20"/>
                <w:color w:val="auto"/>
              </w:rPr>
            </w:pPr>
            <w:r>
              <w:rPr>
                <w:rFonts w:ascii="Arial" w:cs="Arial" w:eastAsia="Arial" w:hAnsi="Arial"/>
                <w:sz w:val="11"/>
                <w:szCs w:val="11"/>
                <w:b w:val="1"/>
                <w:bCs w:val="1"/>
                <w:color w:val="auto"/>
                <w:w w:val="93"/>
              </w:rPr>
              <w:t>U.S. Workforce</w:t>
            </w:r>
            <w:r>
              <w:rPr>
                <w:rFonts w:ascii="Arial" w:cs="Arial" w:eastAsia="Arial" w:hAnsi="Arial"/>
                <w:sz w:val="14"/>
                <w:szCs w:val="14"/>
                <w:b w:val="1"/>
                <w:bCs w:val="1"/>
                <w:color w:val="auto"/>
                <w:w w:val="93"/>
                <w:vertAlign w:val="superscript"/>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48" w:hanging="98"/>
        <w:spacing w:after="0"/>
        <w:tabs>
          <w:tab w:leader="none" w:pos="2648" w:val="left"/>
        </w:tabs>
        <w:numPr>
          <w:ilvl w:val="1"/>
          <w:numId w:val="32"/>
        </w:numPr>
        <w:rPr>
          <w:rFonts w:ascii="Arial" w:cs="Arial" w:eastAsia="Arial" w:hAnsi="Arial"/>
          <w:sz w:val="11"/>
          <w:szCs w:val="11"/>
          <w:color w:val="auto"/>
          <w:vertAlign w:val="superscript"/>
        </w:rPr>
      </w:pPr>
      <w:r>
        <w:rPr>
          <w:rFonts w:ascii="Arial" w:cs="Arial" w:eastAsia="Arial" w:hAnsi="Arial"/>
          <w:sz w:val="8"/>
          <w:szCs w:val="8"/>
          <w:color w:val="auto"/>
        </w:rPr>
        <w:t>Reflects Executive Officers as of December 31, 2021.</w:t>
      </w:r>
    </w:p>
    <w:p>
      <w:pPr>
        <w:ind w:left="2628" w:hanging="96"/>
        <w:spacing w:after="0" w:line="189" w:lineRule="auto"/>
        <w:tabs>
          <w:tab w:leader="none" w:pos="2628" w:val="left"/>
        </w:tabs>
        <w:numPr>
          <w:ilvl w:val="0"/>
          <w:numId w:val="33"/>
        </w:numPr>
        <w:rPr>
          <w:rFonts w:ascii="Arial" w:cs="Arial" w:eastAsia="Arial" w:hAnsi="Arial"/>
          <w:sz w:val="11"/>
          <w:szCs w:val="11"/>
          <w:color w:val="auto"/>
          <w:vertAlign w:val="superscript"/>
        </w:rPr>
      </w:pPr>
      <w:r>
        <w:rPr>
          <w:rFonts w:ascii="Arial" w:cs="Arial" w:eastAsia="Arial" w:hAnsi="Arial"/>
          <w:sz w:val="8"/>
          <w:szCs w:val="8"/>
          <w:color w:val="auto"/>
        </w:rPr>
        <w:t>As of December 31, 2021. Excludes work forces at Sandia and KCNSC.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-117475</wp:posOffset>
            </wp:positionV>
            <wp:extent cx="3977640" cy="182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7764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8" w:hanging="468"/>
        <w:spacing w:after="0"/>
        <w:tabs>
          <w:tab w:leader="none" w:pos="468" w:val="left"/>
        </w:tabs>
        <w:numPr>
          <w:ilvl w:val="0"/>
          <w:numId w:val="3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14" w:name="page15"/>
    <w:bookmarkEnd w:id="14"/>
    <w:p>
      <w:pPr>
        <w:ind w:left="10440"/>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In addition, our people managers are expected to model behaviors that promote a culture that is open and inclusive for all employees. We help managers develop this skill as they do any other leadership skill, though training programs, interactive learning and real time events, including the hiring and talent review processes. Our Leadership Edge program provides training in core management skills to leaders across the organization.</w:t>
      </w:r>
    </w:p>
    <w:p>
      <w:pPr>
        <w:spacing w:after="0" w:line="57"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Training programs are available to all employees through our internal learning and development platform, which assigns curriculum tailored to an employee’s job responsibilities. Employees can also access additional trainings on-demand to continue to enhance their skills. We deploy unconscious bias and inclusive leadership training to our global workforce to educate and influence behavior.</w:t>
      </w:r>
    </w:p>
    <w:p>
      <w:pPr>
        <w:spacing w:after="0" w:line="48"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Our internal talent acquisition and management platform is a key component to recruiting, hiring, and developing top-performing talent. Our hiring practices consider a diverse slate of candidates and our hiring managers are provided training and toolkits to reinforce their role in bringing diverse talent into the Company. Further, we partner with top academic institutions and external professional organizations to enhance the diversity of our workforce to attract and retain top talent. Our talent review process requires our people managers to have semi-annual career discussions with each member of their teams to discuss the best opportunity for growth and development, which enhances our identification of candidates for internal promotion and succession planning.</w:t>
      </w:r>
    </w:p>
    <w:p>
      <w:pPr>
        <w:spacing w:after="0" w:line="59"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Finally, our Code of Business Conduct establishes the baseline requirements of our integrity and compliance program and promotes an environment where everyone is treated ethically and with respect. It outlines our pledge to recognize the dignity of each individual, respect each employee, provide compensation and benefits that are competitive, promote self-development through training, and value diversity of perspectives and ideas. All employees must complete Code of Business Conduct training and, where permitted by law, must also certify each year that they will comply with the Code.</w:t>
      </w:r>
    </w:p>
    <w:p>
      <w:pPr>
        <w:spacing w:after="0" w:line="58"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Overall, we believe our culture, along with our internal tools and initiatives, enable us to effectively execute our human capital strategy. For discussion on the risks relating to our inability to attract and retain top-performing talent, please see section titled Risk Factors.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13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15" w:name="page16"/>
    <w:bookmarkEnd w:id="15"/>
    <w:p>
      <w:pPr>
        <w:ind w:left="8"/>
        <w:spacing w:after="0"/>
        <w:rPr>
          <w:sz w:val="20"/>
          <w:szCs w:val="20"/>
          <w:color w:val="auto"/>
        </w:rPr>
      </w:pP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
        <w:spacing w:after="0"/>
        <w:rPr>
          <w:sz w:val="20"/>
          <w:szCs w:val="20"/>
          <w:color w:val="auto"/>
        </w:rPr>
      </w:pPr>
      <w:r>
        <w:rPr>
          <w:rFonts w:ascii="Arial" w:cs="Arial" w:eastAsia="Arial" w:hAnsi="Arial"/>
          <w:sz w:val="19"/>
          <w:szCs w:val="19"/>
          <w:color w:val="DC202E"/>
        </w:rPr>
        <w:t>SELECTED FINANCIAL DATA</w:t>
      </w:r>
    </w:p>
    <w:p>
      <w:pPr>
        <w:spacing w:after="0" w:line="83" w:lineRule="exact"/>
        <w:rPr>
          <w:sz w:val="20"/>
          <w:szCs w:val="20"/>
          <w:color w:val="auto"/>
        </w:rPr>
      </w:pPr>
    </w:p>
    <w:p>
      <w:pPr>
        <w:ind w:left="8" w:right="20"/>
        <w:spacing w:after="0" w:line="245" w:lineRule="auto"/>
        <w:rPr>
          <w:sz w:val="20"/>
          <w:szCs w:val="20"/>
          <w:color w:val="auto"/>
        </w:rPr>
      </w:pPr>
      <w:r>
        <w:rPr>
          <w:rFonts w:ascii="Arial" w:cs="Arial" w:eastAsia="Arial" w:hAnsi="Arial"/>
          <w:sz w:val="11"/>
          <w:szCs w:val="11"/>
          <w:color w:val="auto"/>
        </w:rPr>
        <w:t>This selected financial data should be read in conjunction with the Company's Consolidated Financial Statements and related Notes included elsewhere in this Annual Report as well as the section Management's Discussion and Analysis of Financial Condition and Results of Operations.</w:t>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27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52"/>
              <w:spacing w:after="0"/>
              <w:rPr>
                <w:sz w:val="20"/>
                <w:szCs w:val="20"/>
                <w:color w:val="auto"/>
              </w:rPr>
            </w:pPr>
            <w:r>
              <w:rPr>
                <w:rFonts w:ascii="Arial" w:cs="Arial" w:eastAsia="Arial" w:hAnsi="Arial"/>
                <w:sz w:val="10"/>
                <w:szCs w:val="10"/>
                <w:b w:val="1"/>
                <w:bCs w:val="1"/>
                <w:color w:val="auto"/>
                <w:w w:val="94"/>
              </w:rPr>
              <w:t>Years Ended December 31,</w:t>
            </w: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3"/>
        </w:trPr>
        <w:tc>
          <w:tcPr>
            <w:tcW w:w="2720" w:type="dxa"/>
            <w:vAlign w:val="bottom"/>
            <w:tcBorders>
              <w:bottom w:val="single" w:sz="8" w:color="DC202E"/>
            </w:tcBorders>
          </w:tcPr>
          <w:p>
            <w:pPr>
              <w:spacing w:after="0"/>
              <w:rPr>
                <w:sz w:val="12"/>
                <w:szCs w:val="12"/>
                <w:color w:val="auto"/>
              </w:rPr>
            </w:pPr>
          </w:p>
        </w:tc>
        <w:tc>
          <w:tcPr>
            <w:tcW w:w="21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DC202E"/>
            </w:tcBorders>
          </w:tcPr>
          <w:p>
            <w:pPr>
              <w:spacing w:after="0"/>
              <w:rPr>
                <w:sz w:val="12"/>
                <w:szCs w:val="12"/>
                <w:color w:val="auto"/>
              </w:rPr>
            </w:pPr>
          </w:p>
        </w:tc>
        <w:tc>
          <w:tcPr>
            <w:tcW w:w="10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DC202E"/>
            </w:tcBorders>
          </w:tcPr>
          <w:p>
            <w:pPr>
              <w:spacing w:after="0"/>
              <w:rPr>
                <w:sz w:val="12"/>
                <w:szCs w:val="12"/>
                <w:color w:val="auto"/>
              </w:rPr>
            </w:pPr>
          </w:p>
        </w:tc>
        <w:tc>
          <w:tcPr>
            <w:tcW w:w="140" w:type="dxa"/>
            <w:vAlign w:val="bottom"/>
            <w:tcBorders>
              <w:bottom w:val="single" w:sz="8" w:color="DC202E"/>
            </w:tcBorders>
          </w:tcPr>
          <w:p>
            <w:pPr>
              <w:spacing w:after="0"/>
              <w:rPr>
                <w:sz w:val="12"/>
                <w:szCs w:val="12"/>
                <w:color w:val="auto"/>
              </w:rPr>
            </w:pPr>
          </w:p>
        </w:tc>
        <w:tc>
          <w:tcPr>
            <w:tcW w:w="1360" w:type="dxa"/>
            <w:vAlign w:val="bottom"/>
            <w:tcBorders>
              <w:bottom w:val="single" w:sz="8" w:color="DC202E"/>
            </w:tcBorders>
          </w:tcPr>
          <w:p>
            <w:pPr>
              <w:jc w:val="center"/>
              <w:ind w:right="52"/>
              <w:spacing w:after="0"/>
              <w:rPr>
                <w:sz w:val="20"/>
                <w:szCs w:val="20"/>
                <w:color w:val="auto"/>
              </w:rPr>
            </w:pPr>
            <w:r>
              <w:rPr>
                <w:rFonts w:ascii="Arial" w:cs="Arial" w:eastAsia="Arial" w:hAnsi="Arial"/>
                <w:sz w:val="10"/>
                <w:szCs w:val="10"/>
                <w:b w:val="1"/>
                <w:bCs w:val="1"/>
                <w:color w:val="auto"/>
                <w:w w:val="98"/>
              </w:rPr>
              <w:t>2019</w:t>
            </w:r>
          </w:p>
        </w:tc>
        <w:tc>
          <w:tcPr>
            <w:tcW w:w="460" w:type="dxa"/>
            <w:vAlign w:val="bottom"/>
            <w:tcBorders>
              <w:bottom w:val="single" w:sz="8" w:color="DC202E"/>
            </w:tcBorders>
          </w:tcPr>
          <w:p>
            <w:pPr>
              <w:spacing w:after="0"/>
              <w:rPr>
                <w:sz w:val="12"/>
                <w:szCs w:val="12"/>
                <w:color w:val="auto"/>
              </w:rPr>
            </w:pPr>
          </w:p>
        </w:tc>
        <w:tc>
          <w:tcPr>
            <w:tcW w:w="1040" w:type="dxa"/>
            <w:vAlign w:val="bottom"/>
            <w:tcBorders>
              <w:bottom w:val="single" w:sz="8" w:color="DC202E"/>
            </w:tcBorders>
          </w:tcPr>
          <w:p>
            <w:pPr>
              <w:jc w:val="right"/>
              <w:ind w:right="513"/>
              <w:spacing w:after="0" w:line="143" w:lineRule="exact"/>
              <w:rPr>
                <w:sz w:val="20"/>
                <w:szCs w:val="20"/>
                <w:color w:val="auto"/>
              </w:rPr>
            </w:pPr>
            <w:r>
              <w:rPr>
                <w:rFonts w:ascii="Arial" w:cs="Arial" w:eastAsia="Arial" w:hAnsi="Arial"/>
                <w:sz w:val="16"/>
                <w:szCs w:val="16"/>
                <w:b w:val="1"/>
                <w:bCs w:val="1"/>
                <w:color w:val="auto"/>
                <w:vertAlign w:val="subscript"/>
              </w:rPr>
              <w:t>2018</w:t>
            </w:r>
            <w:r>
              <w:rPr>
                <w:rFonts w:ascii="Arial" w:cs="Arial" w:eastAsia="Arial" w:hAnsi="Arial"/>
                <w:sz w:val="6"/>
                <w:szCs w:val="6"/>
                <w:b w:val="1"/>
                <w:bCs w:val="1"/>
                <w:color w:val="auto"/>
              </w:rPr>
              <w:t>(1)(2)</w:t>
            </w:r>
          </w:p>
        </w:tc>
        <w:tc>
          <w:tcPr>
            <w:tcW w:w="380" w:type="dxa"/>
            <w:vAlign w:val="bottom"/>
            <w:tcBorders>
              <w:bottom w:val="single" w:sz="8" w:color="DC202E"/>
            </w:tcBorders>
          </w:tcPr>
          <w:p>
            <w:pPr>
              <w:spacing w:after="0"/>
              <w:rPr>
                <w:sz w:val="12"/>
                <w:szCs w:val="12"/>
                <w:color w:val="auto"/>
              </w:rPr>
            </w:pPr>
          </w:p>
        </w:tc>
        <w:tc>
          <w:tcPr>
            <w:tcW w:w="110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2017</w:t>
            </w:r>
            <w:r>
              <w:rPr>
                <w:rFonts w:ascii="Arial" w:cs="Arial" w:eastAsia="Arial" w:hAnsi="Arial"/>
                <w:sz w:val="12"/>
                <w:szCs w:val="12"/>
                <w:b w:val="1"/>
                <w:bCs w:val="1"/>
                <w:color w:val="auto"/>
                <w:vertAlign w:val="superscript"/>
              </w:rPr>
              <w:t>(1)</w:t>
            </w:r>
          </w:p>
        </w:tc>
      </w:tr>
      <w:tr>
        <w:trPr>
          <w:trHeight w:val="115"/>
        </w:trPr>
        <w:tc>
          <w:tcPr>
            <w:tcW w:w="2720" w:type="dxa"/>
            <w:vAlign w:val="bottom"/>
            <w:tcBorders>
              <w:bottom w:val="single" w:sz="8" w:color="DC202E"/>
            </w:tcBorders>
          </w:tcPr>
          <w:p>
            <w:pPr>
              <w:spacing w:after="0"/>
              <w:rPr>
                <w:sz w:val="10"/>
                <w:szCs w:val="10"/>
                <w:color w:val="auto"/>
              </w:rPr>
            </w:pPr>
          </w:p>
        </w:tc>
        <w:tc>
          <w:tcPr>
            <w:tcW w:w="21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2460" w:type="dxa"/>
            <w:vAlign w:val="bottom"/>
            <w:tcBorders>
              <w:bottom w:val="single" w:sz="8" w:color="DC202E"/>
            </w:tcBorders>
            <w:gridSpan w:val="4"/>
          </w:tcPr>
          <w:p>
            <w:pPr>
              <w:jc w:val="center"/>
              <w:ind w:left="12"/>
              <w:spacing w:after="0"/>
              <w:rPr>
                <w:sz w:val="20"/>
                <w:szCs w:val="20"/>
                <w:color w:val="auto"/>
              </w:rPr>
            </w:pPr>
            <w:r>
              <w:rPr>
                <w:rFonts w:ascii="Arial" w:cs="Arial" w:eastAsia="Arial" w:hAnsi="Arial"/>
                <w:sz w:val="10"/>
                <w:szCs w:val="10"/>
                <w:b w:val="1"/>
                <w:bCs w:val="1"/>
                <w:color w:val="auto"/>
                <w:w w:val="95"/>
              </w:rPr>
              <w:t>(Dollars in millions, except per share amounts)</w:t>
            </w:r>
          </w:p>
        </w:tc>
        <w:tc>
          <w:tcPr>
            <w:tcW w:w="104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spacing w:after="0"/>
              <w:rPr>
                <w:sz w:val="10"/>
                <w:szCs w:val="10"/>
                <w:color w:val="auto"/>
              </w:rPr>
            </w:pPr>
          </w:p>
        </w:tc>
      </w:tr>
      <w:tr>
        <w:trPr>
          <w:trHeight w:val="115"/>
        </w:trPr>
        <w:tc>
          <w:tcPr>
            <w:tcW w:w="27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Results of Operations</w:t>
            </w:r>
          </w:p>
        </w:tc>
        <w:tc>
          <w:tcPr>
            <w:tcW w:w="21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spacing w:after="0"/>
              <w:rPr>
                <w:sz w:val="10"/>
                <w:szCs w:val="10"/>
                <w:color w:val="auto"/>
              </w:rPr>
            </w:pP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sales</w:t>
            </w:r>
          </w:p>
        </w:tc>
        <w:tc>
          <w:tcPr>
            <w:tcW w:w="2100" w:type="dxa"/>
            <w:vAlign w:val="bottom"/>
            <w:tcBorders>
              <w:bottom w:val="single" w:sz="8" w:color="888B8D"/>
            </w:tcBorders>
          </w:tcPr>
          <w:p>
            <w:pPr>
              <w:jc w:val="right"/>
              <w:ind w:right="83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34,392</w:t>
            </w:r>
          </w:p>
        </w:tc>
        <w:tc>
          <w:tcPr>
            <w:tcW w:w="1000" w:type="dxa"/>
            <w:vAlign w:val="bottom"/>
            <w:tcBorders>
              <w:bottom w:val="single" w:sz="8" w:color="888B8D"/>
            </w:tcBorders>
          </w:tcPr>
          <w:p>
            <w:pPr>
              <w:jc w:val="right"/>
              <w:ind w:right="83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32,637</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36,709</w:t>
            </w:r>
          </w:p>
        </w:tc>
        <w:tc>
          <w:tcPr>
            <w:tcW w:w="46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41,802</w:t>
            </w:r>
          </w:p>
        </w:tc>
        <w:tc>
          <w:tcPr>
            <w:tcW w:w="3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40,534</w:t>
            </w:r>
          </w:p>
        </w:tc>
      </w:tr>
      <w:tr>
        <w:trPr>
          <w:trHeight w:val="115"/>
        </w:trPr>
        <w:tc>
          <w:tcPr>
            <w:tcW w:w="27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Net income attributable to Honeywell</w:t>
            </w:r>
          </w:p>
        </w:tc>
        <w:tc>
          <w:tcPr>
            <w:tcW w:w="21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5,542</w:t>
            </w:r>
          </w:p>
        </w:tc>
        <w:tc>
          <w:tcPr>
            <w:tcW w:w="10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4,779</w:t>
            </w:r>
          </w:p>
        </w:tc>
        <w:tc>
          <w:tcPr>
            <w:tcW w:w="14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6,143</w:t>
            </w:r>
          </w:p>
        </w:tc>
        <w:tc>
          <w:tcPr>
            <w:tcW w:w="46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tcPr>
          <w:p>
            <w:pPr>
              <w:jc w:val="right"/>
              <w:ind w:right="33"/>
              <w:spacing w:after="0"/>
              <w:rPr>
                <w:sz w:val="20"/>
                <w:szCs w:val="20"/>
                <w:color w:val="auto"/>
              </w:rPr>
            </w:pPr>
            <w:r>
              <w:rPr>
                <w:rFonts w:ascii="Arial" w:cs="Arial" w:eastAsia="Arial" w:hAnsi="Arial"/>
                <w:sz w:val="10"/>
                <w:szCs w:val="10"/>
                <w:color w:val="auto"/>
              </w:rPr>
              <w:t>6,765</w:t>
            </w:r>
          </w:p>
        </w:tc>
        <w:tc>
          <w:tcPr>
            <w:tcW w:w="38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1,545</w:t>
            </w:r>
          </w:p>
        </w:tc>
      </w:tr>
      <w:tr>
        <w:trPr>
          <w:trHeight w:val="115"/>
        </w:trPr>
        <w:tc>
          <w:tcPr>
            <w:tcW w:w="27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Earnings Per Common Share</w:t>
            </w:r>
          </w:p>
        </w:tc>
        <w:tc>
          <w:tcPr>
            <w:tcW w:w="21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spacing w:after="0"/>
              <w:rPr>
                <w:sz w:val="10"/>
                <w:szCs w:val="10"/>
                <w:color w:val="auto"/>
              </w:rPr>
            </w:pP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Earnings from operations:</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r>
      <w:tr>
        <w:trPr>
          <w:trHeight w:val="115"/>
        </w:trPr>
        <w:tc>
          <w:tcPr>
            <w:tcW w:w="272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Basic</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8.01</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6.79</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8.52</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9.10</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2.03</w:t>
            </w:r>
          </w:p>
        </w:tc>
      </w:tr>
      <w:tr>
        <w:trPr>
          <w:trHeight w:val="115"/>
        </w:trPr>
        <w:tc>
          <w:tcPr>
            <w:tcW w:w="272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Assuming dilution</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7.91</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6.72</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8.41</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8.98</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2.00</w:t>
            </w:r>
          </w:p>
        </w:tc>
      </w:tr>
      <w:tr>
        <w:trPr>
          <w:trHeight w:val="115"/>
        </w:trPr>
        <w:tc>
          <w:tcPr>
            <w:tcW w:w="27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Dividends per share</w:t>
            </w:r>
          </w:p>
        </w:tc>
        <w:tc>
          <w:tcPr>
            <w:tcW w:w="21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3.77</w:t>
            </w:r>
          </w:p>
        </w:tc>
        <w:tc>
          <w:tcPr>
            <w:tcW w:w="10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3.63</w:t>
            </w:r>
          </w:p>
        </w:tc>
        <w:tc>
          <w:tcPr>
            <w:tcW w:w="14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3.36</w:t>
            </w:r>
          </w:p>
        </w:tc>
        <w:tc>
          <w:tcPr>
            <w:tcW w:w="46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tcPr>
          <w:p>
            <w:pPr>
              <w:jc w:val="right"/>
              <w:ind w:right="33"/>
              <w:spacing w:after="0"/>
              <w:rPr>
                <w:sz w:val="20"/>
                <w:szCs w:val="20"/>
                <w:color w:val="auto"/>
              </w:rPr>
            </w:pPr>
            <w:r>
              <w:rPr>
                <w:rFonts w:ascii="Arial" w:cs="Arial" w:eastAsia="Arial" w:hAnsi="Arial"/>
                <w:sz w:val="10"/>
                <w:szCs w:val="10"/>
                <w:color w:val="auto"/>
              </w:rPr>
              <w:t>3.06</w:t>
            </w:r>
          </w:p>
        </w:tc>
        <w:tc>
          <w:tcPr>
            <w:tcW w:w="38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2.74</w:t>
            </w:r>
          </w:p>
        </w:tc>
      </w:tr>
      <w:tr>
        <w:trPr>
          <w:trHeight w:val="115"/>
        </w:trPr>
        <w:tc>
          <w:tcPr>
            <w:tcW w:w="27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Sheet Data</w:t>
            </w:r>
          </w:p>
        </w:tc>
        <w:tc>
          <w:tcPr>
            <w:tcW w:w="21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spacing w:after="0"/>
              <w:rPr>
                <w:sz w:val="10"/>
                <w:szCs w:val="10"/>
                <w:color w:val="auto"/>
              </w:rPr>
            </w:pP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Property, plant and equipment—net</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5,562</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5,570</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5,325</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5,296</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5,926</w:t>
            </w: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Total assets</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64,470</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64,586</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58,679</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57,773</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59,470</w:t>
            </w: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Short-term debt</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5,345</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6,042</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4,892</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6,458</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5,309</w:t>
            </w: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Long-term debt</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14,254</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16,342</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11,110</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9,756</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12,573</w:t>
            </w: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Total debt</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19,599</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22,384</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16,002</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16,214</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17,882</w:t>
            </w: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Redeemable noncontrolling interest</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7</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7</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7</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7</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w:t>
            </w:r>
          </w:p>
        </w:tc>
      </w:tr>
      <w:tr>
        <w:trPr>
          <w:trHeight w:val="115"/>
        </w:trPr>
        <w:tc>
          <w:tcPr>
            <w:tcW w:w="2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Shareowners’ equity</w:t>
            </w:r>
          </w:p>
        </w:tc>
        <w:tc>
          <w:tcPr>
            <w:tcW w:w="21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19,242</w:t>
            </w:r>
          </w:p>
        </w:tc>
        <w:tc>
          <w:tcPr>
            <w:tcW w:w="100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17,790</w:t>
            </w:r>
          </w:p>
        </w:tc>
        <w:tc>
          <w:tcPr>
            <w:tcW w:w="140" w:type="dxa"/>
            <w:vAlign w:val="bottom"/>
            <w:tcBorders>
              <w:bottom w:val="single" w:sz="8" w:color="888B8D"/>
            </w:tcBorders>
          </w:tcPr>
          <w:p>
            <w:pPr>
              <w:spacing w:after="0"/>
              <w:rPr>
                <w:sz w:val="10"/>
                <w:szCs w:val="10"/>
                <w:color w:val="auto"/>
              </w:rPr>
            </w:pPr>
          </w:p>
        </w:tc>
        <w:tc>
          <w:tcPr>
            <w:tcW w:w="1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18,706</w:t>
            </w:r>
          </w:p>
        </w:tc>
        <w:tc>
          <w:tcPr>
            <w:tcW w:w="4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33"/>
              <w:spacing w:after="0"/>
              <w:rPr>
                <w:sz w:val="20"/>
                <w:szCs w:val="20"/>
                <w:color w:val="auto"/>
              </w:rPr>
            </w:pPr>
            <w:r>
              <w:rPr>
                <w:rFonts w:ascii="Arial" w:cs="Arial" w:eastAsia="Arial" w:hAnsi="Arial"/>
                <w:sz w:val="10"/>
                <w:szCs w:val="10"/>
                <w:color w:val="auto"/>
              </w:rPr>
              <w:t>18,358</w:t>
            </w:r>
          </w:p>
        </w:tc>
        <w:tc>
          <w:tcPr>
            <w:tcW w:w="38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16,665</w:t>
            </w:r>
          </w:p>
        </w:tc>
      </w:tr>
    </w:tbl>
    <w:p>
      <w:pPr>
        <w:spacing w:after="0" w:line="131" w:lineRule="exact"/>
        <w:rPr>
          <w:sz w:val="20"/>
          <w:szCs w:val="20"/>
          <w:color w:val="auto"/>
        </w:rPr>
      </w:pPr>
    </w:p>
    <w:p>
      <w:pPr>
        <w:ind w:left="228" w:hanging="228"/>
        <w:spacing w:after="0"/>
        <w:tabs>
          <w:tab w:leader="none" w:pos="228" w:val="left"/>
        </w:tabs>
        <w:numPr>
          <w:ilvl w:val="0"/>
          <w:numId w:val="35"/>
        </w:numPr>
        <w:rPr>
          <w:rFonts w:ascii="Arial" w:cs="Arial" w:eastAsia="Arial" w:hAnsi="Arial"/>
          <w:sz w:val="8"/>
          <w:szCs w:val="8"/>
          <w:color w:val="auto"/>
        </w:rPr>
      </w:pPr>
      <w:r>
        <w:rPr>
          <w:rFonts w:ascii="Arial" w:cs="Arial" w:eastAsia="Arial" w:hAnsi="Arial"/>
          <w:sz w:val="8"/>
          <w:szCs w:val="8"/>
          <w:color w:val="auto"/>
        </w:rPr>
        <w:t>2018 and 2017 Net Income attributable to Honeywell and Earnings Per Common Share were impacted by the U.S. Tax Cuts and Jobs Act.</w:t>
      </w:r>
    </w:p>
    <w:p>
      <w:pPr>
        <w:spacing w:after="0" w:line="79" w:lineRule="exact"/>
        <w:rPr>
          <w:rFonts w:ascii="Arial" w:cs="Arial" w:eastAsia="Arial" w:hAnsi="Arial"/>
          <w:sz w:val="8"/>
          <w:szCs w:val="8"/>
          <w:color w:val="auto"/>
        </w:rPr>
      </w:pPr>
    </w:p>
    <w:p>
      <w:pPr>
        <w:ind w:left="228" w:hanging="228"/>
        <w:spacing w:after="0"/>
        <w:tabs>
          <w:tab w:leader="none" w:pos="228" w:val="left"/>
        </w:tabs>
        <w:numPr>
          <w:ilvl w:val="0"/>
          <w:numId w:val="35"/>
        </w:numPr>
        <w:rPr>
          <w:rFonts w:ascii="Arial" w:cs="Arial" w:eastAsia="Arial" w:hAnsi="Arial"/>
          <w:sz w:val="8"/>
          <w:szCs w:val="8"/>
          <w:color w:val="auto"/>
        </w:rPr>
      </w:pPr>
      <w:r>
        <w:rPr>
          <w:rFonts w:ascii="Arial" w:cs="Arial" w:eastAsia="Arial" w:hAnsi="Arial"/>
          <w:sz w:val="8"/>
          <w:szCs w:val="8"/>
          <w:color w:val="auto"/>
        </w:rPr>
        <w:t>The results of operations for the Transportation Systems and Homes and Global Distribution businesses are included in the Consolidated Statement of Operations through the effective dates of the respective spin-offs, which occurred in 2018.</w:t>
      </w:r>
    </w:p>
    <w:p>
      <w:pPr>
        <w:spacing w:after="0" w:line="297" w:lineRule="exact"/>
        <w:rPr>
          <w:sz w:val="20"/>
          <w:szCs w:val="20"/>
          <w:color w:val="auto"/>
        </w:rPr>
      </w:pPr>
    </w:p>
    <w:p>
      <w:pPr>
        <w:ind w:left="468" w:hanging="468"/>
        <w:spacing w:after="0"/>
        <w:tabs>
          <w:tab w:leader="none" w:pos="468" w:val="left"/>
        </w:tabs>
        <w:numPr>
          <w:ilvl w:val="0"/>
          <w:numId w:val="3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16" w:name="page17"/>
    <w:bookmarkEnd w:id="16"/>
    <w:p>
      <w:pPr>
        <w:ind w:right="620"/>
        <w:spacing w:after="0" w:line="287" w:lineRule="auto"/>
        <w:rPr>
          <w:sz w:val="20"/>
          <w:szCs w:val="20"/>
          <w:color w:val="auto"/>
        </w:rPr>
      </w:pPr>
      <w:r>
        <w:rPr>
          <w:rFonts w:ascii="Arial" w:cs="Arial" w:eastAsia="Arial" w:hAnsi="Arial"/>
          <w:sz w:val="24"/>
          <w:szCs w:val="24"/>
          <w:b w:val="1"/>
          <w:bCs w:val="1"/>
          <w:color w:val="auto"/>
        </w:rPr>
        <w:t>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tables and graphs in millions)</w:t>
      </w:r>
    </w:p>
    <w:p>
      <w:pPr>
        <w:spacing w:after="0" w:line="84"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or the Company) for the three years ended December 31, 2021. All references to Notes relate to Notes to Consolidated Financial Statements in the section titled Financial Statements and Supplementary Data.</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11"/>
          <w:szCs w:val="11"/>
          <w:color w:val="auto"/>
        </w:rPr>
        <w:t>On November 29, 2021, Honeywell Quantum Solutions, a wholly-owned subsidiary of Honeywell, which was previously reported within the Aerospace reportable business segment, combined with Cambridge Quantum Computing, to form Quantinuum. Following the combination, Honeywell consolidated and reported Quantinuum within Corporate and All Other. Quantinuum is considered a separate operating segment, but does not meet aggregation criteria for presentation as a separate reportable segment. For this reason, it is reported within Corporate and All Other, which is not considered a reportable business segment. For the eleven months ended November 30, 2021 and the years ended December 31, 2020 and 20219, Honeywell Quantum Solutions incurred operating losses of $50 million, $41 million, and $36 million, respectively. Prior to November 29, 2021, our Aerospace business segment included the operating results of Honeywell Quantum Solutions.</w:t>
      </w:r>
    </w:p>
    <w:p>
      <w:pPr>
        <w:spacing w:after="0" w:line="61" w:lineRule="exact"/>
        <w:rPr>
          <w:sz w:val="20"/>
          <w:szCs w:val="20"/>
          <w:color w:val="auto"/>
        </w:rPr>
      </w:pPr>
    </w:p>
    <w:p>
      <w:pPr>
        <w:ind w:right="100"/>
        <w:spacing w:after="0" w:line="234" w:lineRule="auto"/>
        <w:rPr>
          <w:sz w:val="20"/>
          <w:szCs w:val="20"/>
          <w:color w:val="auto"/>
        </w:rPr>
      </w:pPr>
      <w:r>
        <w:rPr>
          <w:rFonts w:ascii="Arial" w:cs="Arial" w:eastAsia="Arial" w:hAnsi="Arial"/>
          <w:sz w:val="11"/>
          <w:szCs w:val="11"/>
          <w:color w:val="auto"/>
        </w:rPr>
        <w:t>Quantinuum is well-positioned to lead the quantum computing industry by offering advanced, fully integrated hardware and software solutions at an unprecedented pace, scale, and level of performance to large high-growth markets worldwide. Quantinuum supports customer needs for improved computation in cyber security, drug discovery and delivery, material science, finance, and optimization across all major industrial markets.</w:t>
      </w:r>
    </w:p>
    <w:p>
      <w:pPr>
        <w:spacing w:after="0" w:line="68" w:lineRule="exact"/>
        <w:rPr>
          <w:sz w:val="20"/>
          <w:szCs w:val="20"/>
          <w:color w:val="auto"/>
        </w:rPr>
      </w:pPr>
    </w:p>
    <w:p>
      <w:pPr>
        <w:jc w:val="both"/>
        <w:spacing w:after="0" w:line="245" w:lineRule="auto"/>
        <w:rPr>
          <w:rFonts w:ascii="Arial" w:cs="Arial" w:eastAsia="Arial" w:hAnsi="Arial"/>
          <w:sz w:val="11"/>
          <w:szCs w:val="11"/>
          <w:color w:val="auto"/>
        </w:rPr>
      </w:pPr>
      <w:r>
        <w:rPr>
          <w:rFonts w:ascii="Arial" w:cs="Arial" w:eastAsia="Arial" w:hAnsi="Arial"/>
          <w:sz w:val="11"/>
          <w:szCs w:val="11"/>
          <w:color w:val="auto"/>
        </w:rPr>
        <w:t xml:space="preserve">A detailed discussion of the prior year 2020 to 2019 year-over-year changes is not included herein and can be found in the Management's Discussion and Analysis of Financial Condition and Results of Operations section in the 2020 </w:t>
      </w:r>
      <w:hyperlink r:id="rId100">
        <w:r>
          <w:rPr>
            <w:rFonts w:ascii="Arial" w:cs="Arial" w:eastAsia="Arial" w:hAnsi="Arial"/>
            <w:sz w:val="11"/>
            <w:szCs w:val="11"/>
            <w:b w:val="1"/>
            <w:bCs w:val="1"/>
            <w:color w:val="auto"/>
          </w:rPr>
          <w:t>Annual Report on Form 10-K filed February 12, 2021.</w:t>
        </w:r>
      </w:hyperlink>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D7282F"/>
        </w:rPr>
        <w:t>COVID-19 UPDATE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In 2021, the COVID-19 pandemic continues to have a significant impact around the world. Many jurisdictions worldwide continue to distribute vaccines as a method to limit and control infections; however, the pandemic continues to impact our business as vaccine efforts face challenges and new variants of the virus emerge. Select governments continue to place restrictions on businesses (impacting manufacturing capabilities and distribution channels). Global supply shortages emerged for certain products (including electrical components), leading to delays in delivery schedules. Historically reliable supply chains were disrupted, impacting certain of our businesses. In certain parts of the world, labor shortages intensified.</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These events continue to impact our business operations. As new variants of the virus emerge, we remain cautious as many factors remain unpredictable. We actively monitor and respond to the changing conditions created by the pandemic, with focus on prioritizing the health and safety of our employees, dedicating resources to support our communities, and innovating to address our customers’ needs.</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In 2021, we actively promoted vaccines as a mechanism to protect the health of our employees. We supported several large-scale vaccination events to provide vaccines to our employees, their families, and the surrounding communities. In situations when local medical care was unavailable, we provided additional support to our employees to ensure they received the medical care needed. We continue to adapt our safety and hygiene protocols to enable our manufacturing employees to operate safely through the pandemic. We also continue to utilize our procedures for a phased return of our employees to our office sites, and in many parts of the world, we returned our non-manufacturing employees to the workplace. However, in certain countries, our non-manufacturing employees continue to work from home (for roles that allow for remote work).</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On September 9, 2021, President Biden announced several initiatives to drive higher vaccination rates in the U.S., including an executive order for U.S. Government contractors to mandate vaccination against COVID-19. In response to these initiatives, we implemented a vaccine mandate requiring all U.S.-based employees at work locations that work on or in support of contracts with the U.S. Government to receive their first vaccine dose, or a medical or religious exemption, by January 4, 2022. Similarly, the Company adopted a vaccine mandate for all prospective and future employees and announced a timeline for a vaccine mandate for our remaining U.S. employees.</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We continue to monitor and respond to the changing conditions created by the pandemic.</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15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17" w:name="page18"/>
    <w:bookmarkEnd w:id="17"/>
    <w:p>
      <w:pPr>
        <w:ind w:left="8"/>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EMPLOYEE HEALTH, SAFETY, AND ECONOMIC WELLNESS</w:t>
      </w:r>
    </w:p>
    <w:p>
      <w:pPr>
        <w:spacing w:after="0" w:line="95"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We continue to monitor the COVID-19 situation and its impacts globally. We are prioritizing the health and safety of our employees. Out of an abundance of caution for the health of our employees and to support local government initiatives to stem the spread of the virus, we implemented several precautions at various sites around the world. These include, but are not limited to:</w:t>
      </w:r>
    </w:p>
    <w:p>
      <w:pPr>
        <w:spacing w:after="0" w:line="66" w:lineRule="exact"/>
        <w:rPr>
          <w:sz w:val="20"/>
          <w:szCs w:val="20"/>
          <w:color w:val="auto"/>
        </w:rPr>
      </w:pPr>
    </w:p>
    <w:p>
      <w:pPr>
        <w:ind w:left="128" w:hanging="128"/>
        <w:spacing w:after="0"/>
        <w:tabs>
          <w:tab w:leader="none" w:pos="128" w:val="left"/>
        </w:tabs>
        <w:numPr>
          <w:ilvl w:val="0"/>
          <w:numId w:val="37"/>
        </w:numPr>
        <w:rPr>
          <w:rFonts w:ascii="Arial" w:cs="Arial" w:eastAsia="Arial" w:hAnsi="Arial"/>
          <w:sz w:val="11"/>
          <w:szCs w:val="11"/>
          <w:color w:val="DC202E"/>
        </w:rPr>
      </w:pPr>
      <w:r>
        <w:rPr>
          <w:rFonts w:ascii="Arial" w:cs="Arial" w:eastAsia="Arial" w:hAnsi="Arial"/>
          <w:sz w:val="11"/>
          <w:szCs w:val="11"/>
          <w:color w:val="auto"/>
        </w:rPr>
        <w:t>Limiting visitor site access to business-essential purposes;</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37"/>
        </w:numPr>
        <w:rPr>
          <w:rFonts w:ascii="Arial" w:cs="Arial" w:eastAsia="Arial" w:hAnsi="Arial"/>
          <w:sz w:val="11"/>
          <w:szCs w:val="11"/>
          <w:color w:val="DC202E"/>
        </w:rPr>
      </w:pPr>
      <w:r>
        <w:rPr>
          <w:rFonts w:ascii="Arial" w:cs="Arial" w:eastAsia="Arial" w:hAnsi="Arial"/>
          <w:sz w:val="11"/>
          <w:szCs w:val="11"/>
          <w:color w:val="auto"/>
        </w:rPr>
        <w:t>Enabling employees to work from home wherever and whenever required or appropriate;</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37"/>
        </w:numPr>
        <w:rPr>
          <w:rFonts w:ascii="Arial" w:cs="Arial" w:eastAsia="Arial" w:hAnsi="Arial"/>
          <w:sz w:val="11"/>
          <w:szCs w:val="11"/>
          <w:color w:val="DC202E"/>
        </w:rPr>
      </w:pPr>
      <w:r>
        <w:rPr>
          <w:rFonts w:ascii="Arial" w:cs="Arial" w:eastAsia="Arial" w:hAnsi="Arial"/>
          <w:sz w:val="11"/>
          <w:szCs w:val="11"/>
          <w:color w:val="auto"/>
        </w:rPr>
        <w:t>Continuously updating travel guidance, according to latest developments; and</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37"/>
        </w:numPr>
        <w:rPr>
          <w:rFonts w:ascii="Arial" w:cs="Arial" w:eastAsia="Arial" w:hAnsi="Arial"/>
          <w:sz w:val="11"/>
          <w:szCs w:val="11"/>
          <w:color w:val="DC202E"/>
        </w:rPr>
      </w:pPr>
      <w:r>
        <w:rPr>
          <w:rFonts w:ascii="Arial" w:cs="Arial" w:eastAsia="Arial" w:hAnsi="Arial"/>
          <w:sz w:val="11"/>
          <w:szCs w:val="11"/>
          <w:color w:val="auto"/>
        </w:rPr>
        <w:t>Complying with all local health authority guidance or regulations and our own protocols, including requesting employees to comply with self-quarantine requirements whenever advisable.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PLANT PRODUCTIVITY AND SAFETY</w:t>
      </w:r>
    </w:p>
    <w:p>
      <w:pPr>
        <w:spacing w:after="0" w:line="9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We continue to operate our manufacturing facilities with minimal disruption in our productivity. As of December 31, 2021, all of our manufacturing sites were operating at normal production levels. We continue to provide essential services and produce essential goods around the world. We employ standards such as screening checks, use of masks, face coverings, and other safety equipment and social distancing practices along production lines in our production facilities at all times in compliance with local government requirements and CDC guidelines. We take appropriate actions including disinfecting and quarantine procedures when a suspected COVID-19 case is identified.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CUSTOMERS AND SUPPLIERS</w:t>
      </w:r>
    </w:p>
    <w:p>
      <w:pPr>
        <w:spacing w:after="0" w:line="9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Current global economic conditions due to COVID-19 continue to impact our customers’ and suppliers’ ability to operate at normal levels. We continue to work with our suppliers to manage our supply chain disruptions and limit our exposure. We also work closely with our customers to manage expectations and meet their demand needs.</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Risk Factors for a discussion of risks associated with the potential adverse effects of the COVID-19 pandemic, including the impact of any applicable vaccine mandates.</w:t>
      </w:r>
    </w:p>
    <w:p>
      <w:pPr>
        <w:spacing w:after="0" w:line="284" w:lineRule="exact"/>
        <w:rPr>
          <w:sz w:val="20"/>
          <w:szCs w:val="20"/>
          <w:color w:val="auto"/>
        </w:rPr>
      </w:pPr>
    </w:p>
    <w:p>
      <w:pPr>
        <w:ind w:left="468" w:hanging="468"/>
        <w:spacing w:after="0"/>
        <w:tabs>
          <w:tab w:leader="none" w:pos="468" w:val="left"/>
        </w:tabs>
        <w:numPr>
          <w:ilvl w:val="0"/>
          <w:numId w:val="3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18" w:name="page19"/>
    <w:bookmarkEnd w:id="18"/>
    <w:p>
      <w:pPr>
        <w:ind w:left="6980"/>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9"/>
          <w:szCs w:val="19"/>
          <w:color w:val="D7282F"/>
        </w:rPr>
        <w:t>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52070</wp:posOffset>
            </wp:positionV>
            <wp:extent cx="3886200" cy="1714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52070</wp:posOffset>
            </wp:positionV>
            <wp:extent cx="3886200" cy="1714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17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19" w:name="page20"/>
    <w:bookmarkEnd w:id="19"/>
    <w:p>
      <w:pPr>
        <w:ind w:left="8"/>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52070</wp:posOffset>
            </wp:positionV>
            <wp:extent cx="2000250" cy="2034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00250" cy="203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8" w:hanging="468"/>
        <w:spacing w:after="0"/>
        <w:tabs>
          <w:tab w:leader="none" w:pos="468" w:val="left"/>
        </w:tabs>
        <w:numPr>
          <w:ilvl w:val="0"/>
          <w:numId w:val="3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98" w:right="1440" w:bottom="1440" w:gutter="0" w:footer="0" w:header="0"/>
        </w:sectPr>
      </w:pPr>
    </w:p>
    <w:bookmarkStart w:id="20" w:name="page21"/>
    <w:bookmarkEnd w:id="20"/>
    <w:p>
      <w:pPr>
        <w:ind w:left="8"/>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CONSOLIDATED OPERATING RESULTS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6350</wp:posOffset>
            </wp:positionV>
            <wp:extent cx="2000250" cy="1428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change in net sales was attributable to the following:</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520" w:type="dxa"/>
            <w:vAlign w:val="bottom"/>
            <w:tcBorders>
              <w:bottom w:val="single" w:sz="8" w:color="DC202E"/>
            </w:tcBorders>
          </w:tcPr>
          <w:p>
            <w:pPr>
              <w:spacing w:after="0"/>
              <w:rPr>
                <w:sz w:val="10"/>
                <w:szCs w:val="10"/>
                <w:color w:val="auto"/>
              </w:rPr>
            </w:pPr>
          </w:p>
        </w:tc>
        <w:tc>
          <w:tcPr>
            <w:tcW w:w="5020" w:type="dxa"/>
            <w:vAlign w:val="bottom"/>
            <w:tcBorders>
              <w:bottom w:val="single" w:sz="8" w:color="DC202E"/>
            </w:tcBorders>
          </w:tcPr>
          <w:p>
            <w:pPr>
              <w:jc w:val="right"/>
              <w:ind w:right="872"/>
              <w:spacing w:after="0"/>
              <w:rPr>
                <w:sz w:val="20"/>
                <w:szCs w:val="20"/>
                <w:color w:val="auto"/>
              </w:rPr>
            </w:pPr>
            <w:r>
              <w:rPr>
                <w:rFonts w:ascii="Arial" w:cs="Arial" w:eastAsia="Arial" w:hAnsi="Arial"/>
                <w:sz w:val="10"/>
                <w:szCs w:val="10"/>
                <w:b w:val="1"/>
                <w:bCs w:val="1"/>
                <w:color w:val="auto"/>
              </w:rPr>
              <w:t>2021 Versus 2020</w:t>
            </w:r>
          </w:p>
        </w:tc>
        <w:tc>
          <w:tcPr>
            <w:tcW w:w="174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2020 Versus 2019</w:t>
            </w:r>
          </w:p>
        </w:tc>
      </w:tr>
      <w:tr>
        <w:trPr>
          <w:trHeight w:val="115"/>
        </w:trPr>
        <w:tc>
          <w:tcPr>
            <w:tcW w:w="45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Volume</w:t>
            </w:r>
          </w:p>
        </w:tc>
        <w:tc>
          <w:tcPr>
            <w:tcW w:w="502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1 %</w:t>
            </w:r>
          </w:p>
        </w:tc>
        <w:tc>
          <w:tcPr>
            <w:tcW w:w="1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w:t>
            </w:r>
          </w:p>
        </w:tc>
      </w:tr>
      <w:tr>
        <w:trPr>
          <w:trHeight w:val="115"/>
        </w:trPr>
        <w:tc>
          <w:tcPr>
            <w:tcW w:w="45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Price</w:t>
            </w:r>
          </w:p>
        </w:tc>
        <w:tc>
          <w:tcPr>
            <w:tcW w:w="502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3 %</w:t>
            </w:r>
          </w:p>
        </w:tc>
        <w:tc>
          <w:tcPr>
            <w:tcW w:w="1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1 %</w:t>
            </w:r>
          </w:p>
        </w:tc>
      </w:tr>
      <w:tr>
        <w:trPr>
          <w:trHeight w:val="115"/>
        </w:trPr>
        <w:tc>
          <w:tcPr>
            <w:tcW w:w="45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Currency Translation</w:t>
            </w:r>
          </w:p>
        </w:tc>
        <w:tc>
          <w:tcPr>
            <w:tcW w:w="502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1 %</w:t>
            </w:r>
          </w:p>
        </w:tc>
        <w:tc>
          <w:tcPr>
            <w:tcW w:w="1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 %</w:t>
            </w:r>
          </w:p>
        </w:tc>
      </w:tr>
      <w:tr>
        <w:trPr>
          <w:trHeight w:val="115"/>
        </w:trPr>
        <w:tc>
          <w:tcPr>
            <w:tcW w:w="45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Acquisitions/Divestitures</w:t>
            </w:r>
          </w:p>
        </w:tc>
        <w:tc>
          <w:tcPr>
            <w:tcW w:w="502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color w:val="auto"/>
              </w:rPr>
              <w:t>— %</w:t>
            </w:r>
          </w:p>
        </w:tc>
        <w:tc>
          <w:tcPr>
            <w:tcW w:w="1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 %</w:t>
            </w:r>
          </w:p>
        </w:tc>
      </w:tr>
      <w:tr>
        <w:trPr>
          <w:trHeight w:val="115"/>
        </w:trPr>
        <w:tc>
          <w:tcPr>
            <w:tcW w:w="4520" w:type="dxa"/>
            <w:vAlign w:val="bottom"/>
            <w:tcBorders>
              <w:bottom w:val="single" w:sz="8" w:color="DC202E"/>
            </w:tcBorders>
          </w:tcPr>
          <w:p>
            <w:pPr>
              <w:spacing w:after="0"/>
              <w:rPr>
                <w:sz w:val="10"/>
                <w:szCs w:val="10"/>
                <w:color w:val="auto"/>
              </w:rPr>
            </w:pPr>
          </w:p>
        </w:tc>
        <w:tc>
          <w:tcPr>
            <w:tcW w:w="502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5 %</w:t>
            </w:r>
          </w:p>
        </w:tc>
        <w:tc>
          <w:tcPr>
            <w:tcW w:w="1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(11)%</w:t>
            </w: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A discussion of net sales by segment can be found in the Review of Business Segments section of this Management Discussion and Analysis.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sales increased due to the following:</w:t>
      </w:r>
    </w:p>
    <w:p>
      <w:pPr>
        <w:spacing w:after="0" w:line="72" w:lineRule="exact"/>
        <w:rPr>
          <w:sz w:val="20"/>
          <w:szCs w:val="20"/>
          <w:color w:val="auto"/>
        </w:rPr>
      </w:pPr>
    </w:p>
    <w:p>
      <w:pPr>
        <w:ind w:left="128" w:hanging="128"/>
        <w:spacing w:after="0"/>
        <w:tabs>
          <w:tab w:leader="none" w:pos="128" w:val="left"/>
        </w:tabs>
        <w:numPr>
          <w:ilvl w:val="0"/>
          <w:numId w:val="40"/>
        </w:numPr>
        <w:rPr>
          <w:rFonts w:ascii="Arial" w:cs="Arial" w:eastAsia="Arial" w:hAnsi="Arial"/>
          <w:sz w:val="11"/>
          <w:szCs w:val="11"/>
          <w:color w:val="DC202E"/>
        </w:rPr>
      </w:pPr>
      <w:r>
        <w:rPr>
          <w:rFonts w:ascii="Arial" w:cs="Arial" w:eastAsia="Arial" w:hAnsi="Arial"/>
          <w:sz w:val="11"/>
          <w:szCs w:val="11"/>
          <w:color w:val="auto"/>
        </w:rPr>
        <w:t>Favorable pricing and price increases to offset the rising cost of materials,</w:t>
      </w:r>
    </w:p>
    <w:p>
      <w:pPr>
        <w:spacing w:after="0" w:line="44" w:lineRule="exact"/>
        <w:rPr>
          <w:rFonts w:ascii="Arial" w:cs="Arial" w:eastAsia="Arial" w:hAnsi="Arial"/>
          <w:sz w:val="11"/>
          <w:szCs w:val="11"/>
          <w:color w:val="DC202E"/>
        </w:rPr>
      </w:pPr>
    </w:p>
    <w:p>
      <w:pPr>
        <w:ind w:left="128" w:hanging="128"/>
        <w:spacing w:after="0" w:line="245" w:lineRule="auto"/>
        <w:tabs>
          <w:tab w:leader="none" w:pos="126" w:val="left"/>
        </w:tabs>
        <w:numPr>
          <w:ilvl w:val="0"/>
          <w:numId w:val="40"/>
        </w:numPr>
        <w:rPr>
          <w:rFonts w:ascii="Arial" w:cs="Arial" w:eastAsia="Arial" w:hAnsi="Arial"/>
          <w:sz w:val="11"/>
          <w:szCs w:val="11"/>
          <w:color w:val="DC202E"/>
        </w:rPr>
      </w:pPr>
      <w:r>
        <w:rPr>
          <w:rFonts w:ascii="Arial" w:cs="Arial" w:eastAsia="Arial" w:hAnsi="Arial"/>
          <w:sz w:val="11"/>
          <w:szCs w:val="11"/>
          <w:color w:val="auto"/>
        </w:rPr>
        <w:t>The favorable impact of foreign currency translation, driven by the weakening of the U.S. Dollar against the currencies of the majority of our international markets, primarily the Euro, British Pound, Chinese Renminbi, Canadian Dollar, and Australian Dollar, and</w:t>
      </w:r>
    </w:p>
    <w:p>
      <w:pPr>
        <w:spacing w:after="0" w:line="38" w:lineRule="exact"/>
        <w:rPr>
          <w:rFonts w:ascii="Arial" w:cs="Arial" w:eastAsia="Arial" w:hAnsi="Arial"/>
          <w:sz w:val="11"/>
          <w:szCs w:val="11"/>
          <w:color w:val="DC202E"/>
        </w:rPr>
      </w:pPr>
    </w:p>
    <w:p>
      <w:pPr>
        <w:ind w:left="128" w:hanging="128"/>
        <w:spacing w:after="0"/>
        <w:tabs>
          <w:tab w:leader="none" w:pos="128" w:val="left"/>
        </w:tabs>
        <w:numPr>
          <w:ilvl w:val="0"/>
          <w:numId w:val="40"/>
        </w:numPr>
        <w:rPr>
          <w:rFonts w:ascii="Arial" w:cs="Arial" w:eastAsia="Arial" w:hAnsi="Arial"/>
          <w:sz w:val="11"/>
          <w:szCs w:val="11"/>
          <w:color w:val="DC202E"/>
        </w:rPr>
      </w:pPr>
      <w:r>
        <w:rPr>
          <w:rFonts w:ascii="Arial" w:cs="Arial" w:eastAsia="Arial" w:hAnsi="Arial"/>
          <w:sz w:val="11"/>
          <w:szCs w:val="11"/>
          <w:color w:val="auto"/>
        </w:rPr>
        <w:t>Higher sales volumes due to an increase in demand for certain products and services as the global economy showed signs of recovery from the COVID-19 pandemic.</w:t>
      </w:r>
    </w:p>
    <w:p>
      <w:pPr>
        <w:spacing w:after="0" w:line="200" w:lineRule="exact"/>
        <w:rPr>
          <w:sz w:val="20"/>
          <w:szCs w:val="20"/>
          <w:color w:val="auto"/>
        </w:rPr>
      </w:pPr>
    </w:p>
    <w:p>
      <w:pPr>
        <w:spacing w:after="0" w:line="26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19</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21" w:name="page22"/>
    <w:bookmarkEnd w:id="21"/>
    <w:p>
      <w:pPr>
        <w:ind w:left="8"/>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52070</wp:posOffset>
            </wp:positionV>
            <wp:extent cx="2000250" cy="1428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Cost of products and services sold increased in 2021 primarily due to the following:</w:t>
      </w:r>
    </w:p>
    <w:p>
      <w:pPr>
        <w:spacing w:after="0" w:line="72" w:lineRule="exact"/>
        <w:rPr>
          <w:sz w:val="20"/>
          <w:szCs w:val="20"/>
          <w:color w:val="auto"/>
        </w:rPr>
      </w:pPr>
    </w:p>
    <w:p>
      <w:pPr>
        <w:ind w:left="168" w:hanging="168"/>
        <w:spacing w:after="0"/>
        <w:tabs>
          <w:tab w:leader="none" w:pos="168" w:val="left"/>
        </w:tabs>
        <w:numPr>
          <w:ilvl w:val="0"/>
          <w:numId w:val="41"/>
        </w:numPr>
        <w:rPr>
          <w:rFonts w:ascii="Arial" w:cs="Arial" w:eastAsia="Arial" w:hAnsi="Arial"/>
          <w:sz w:val="11"/>
          <w:szCs w:val="11"/>
          <w:b w:val="1"/>
          <w:bCs w:val="1"/>
          <w:color w:val="D7282F"/>
        </w:rPr>
      </w:pPr>
      <w:r>
        <w:rPr>
          <w:rFonts w:ascii="Arial" w:cs="Arial" w:eastAsia="Arial" w:hAnsi="Arial"/>
          <w:sz w:val="11"/>
          <w:szCs w:val="11"/>
          <w:color w:val="auto"/>
        </w:rPr>
        <w:t>Higher direct and indirect material costs of approximately $1,350 million, due in part to supply chain constraints, and</w:t>
      </w:r>
    </w:p>
    <w:p>
      <w:pPr>
        <w:spacing w:after="0" w:line="44" w:lineRule="exact"/>
        <w:rPr>
          <w:rFonts w:ascii="Arial" w:cs="Arial" w:eastAsia="Arial" w:hAnsi="Arial"/>
          <w:sz w:val="11"/>
          <w:szCs w:val="11"/>
          <w:b w:val="1"/>
          <w:bCs w:val="1"/>
          <w:color w:val="D7282F"/>
        </w:rPr>
      </w:pPr>
    </w:p>
    <w:p>
      <w:pPr>
        <w:ind w:left="168" w:hanging="168"/>
        <w:spacing w:after="0"/>
        <w:tabs>
          <w:tab w:leader="none" w:pos="168" w:val="left"/>
        </w:tabs>
        <w:numPr>
          <w:ilvl w:val="0"/>
          <w:numId w:val="41"/>
        </w:numPr>
        <w:rPr>
          <w:rFonts w:ascii="Arial" w:cs="Arial" w:eastAsia="Arial" w:hAnsi="Arial"/>
          <w:sz w:val="11"/>
          <w:szCs w:val="11"/>
          <w:color w:val="DC202E"/>
        </w:rPr>
      </w:pPr>
      <w:r>
        <w:rPr>
          <w:rFonts w:ascii="Arial" w:cs="Arial" w:eastAsia="Arial" w:hAnsi="Arial"/>
          <w:sz w:val="11"/>
          <w:szCs w:val="11"/>
          <w:color w:val="auto"/>
        </w:rPr>
        <w:t>Higher repositioning and other costs of approximately $150 million,</w:t>
      </w:r>
    </w:p>
    <w:p>
      <w:pPr>
        <w:spacing w:after="0" w:line="44" w:lineRule="exact"/>
        <w:rPr>
          <w:rFonts w:ascii="Arial" w:cs="Arial" w:eastAsia="Arial" w:hAnsi="Arial"/>
          <w:sz w:val="11"/>
          <w:szCs w:val="11"/>
          <w:color w:val="DC202E"/>
        </w:rPr>
      </w:pPr>
    </w:p>
    <w:p>
      <w:pPr>
        <w:ind w:left="168" w:hanging="168"/>
        <w:spacing w:after="0"/>
        <w:tabs>
          <w:tab w:leader="none" w:pos="168" w:val="left"/>
        </w:tabs>
        <w:numPr>
          <w:ilvl w:val="0"/>
          <w:numId w:val="41"/>
        </w:numPr>
        <w:rPr>
          <w:rFonts w:ascii="Arial" w:cs="Arial" w:eastAsia="Arial" w:hAnsi="Arial"/>
          <w:sz w:val="11"/>
          <w:szCs w:val="11"/>
          <w:b w:val="1"/>
          <w:bCs w:val="1"/>
          <w:color w:val="D7282F"/>
        </w:rPr>
      </w:pPr>
      <w:r>
        <w:rPr>
          <w:rFonts w:ascii="Arial" w:cs="Arial" w:eastAsia="Arial" w:hAnsi="Arial"/>
          <w:sz w:val="11"/>
          <w:szCs w:val="11"/>
          <w:color w:val="auto"/>
        </w:rPr>
        <w:t>Partially offset by cost actions to improve productivity of approximately $380 million.</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52070</wp:posOffset>
            </wp:positionV>
            <wp:extent cx="2000250" cy="1428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Gross margin increased due to the following:</w:t>
      </w:r>
    </w:p>
    <w:p>
      <w:pPr>
        <w:spacing w:after="0" w:line="72" w:lineRule="exact"/>
        <w:rPr>
          <w:sz w:val="20"/>
          <w:szCs w:val="20"/>
          <w:color w:val="auto"/>
        </w:rPr>
      </w:pPr>
    </w:p>
    <w:p>
      <w:pPr>
        <w:ind w:left="128" w:hanging="128"/>
        <w:spacing w:after="0"/>
        <w:tabs>
          <w:tab w:leader="none" w:pos="128" w:val="left"/>
        </w:tabs>
        <w:numPr>
          <w:ilvl w:val="0"/>
          <w:numId w:val="42"/>
        </w:numPr>
        <w:rPr>
          <w:rFonts w:ascii="Arial" w:cs="Arial" w:eastAsia="Arial" w:hAnsi="Arial"/>
          <w:sz w:val="11"/>
          <w:szCs w:val="11"/>
          <w:b w:val="1"/>
          <w:bCs w:val="1"/>
          <w:color w:val="DC202E"/>
        </w:rPr>
      </w:pPr>
      <w:r>
        <w:rPr>
          <w:rFonts w:ascii="Arial" w:cs="Arial" w:eastAsia="Arial" w:hAnsi="Arial"/>
          <w:sz w:val="11"/>
          <w:szCs w:val="11"/>
          <w:color w:val="auto"/>
        </w:rPr>
        <w:t>Favorable pricing,</w:t>
      </w:r>
    </w:p>
    <w:p>
      <w:pPr>
        <w:spacing w:after="0" w:line="44" w:lineRule="exact"/>
        <w:rPr>
          <w:rFonts w:ascii="Arial" w:cs="Arial" w:eastAsia="Arial" w:hAnsi="Arial"/>
          <w:sz w:val="11"/>
          <w:szCs w:val="11"/>
          <w:b w:val="1"/>
          <w:bCs w:val="1"/>
          <w:color w:val="DC202E"/>
        </w:rPr>
      </w:pPr>
    </w:p>
    <w:p>
      <w:pPr>
        <w:ind w:left="128" w:hanging="128"/>
        <w:spacing w:after="0"/>
        <w:tabs>
          <w:tab w:leader="none" w:pos="128" w:val="left"/>
        </w:tabs>
        <w:numPr>
          <w:ilvl w:val="0"/>
          <w:numId w:val="42"/>
        </w:numPr>
        <w:rPr>
          <w:rFonts w:ascii="Arial" w:cs="Arial" w:eastAsia="Arial" w:hAnsi="Arial"/>
          <w:sz w:val="11"/>
          <w:szCs w:val="11"/>
          <w:color w:val="DC202E"/>
        </w:rPr>
      </w:pPr>
      <w:r>
        <w:rPr>
          <w:rFonts w:ascii="Arial" w:cs="Arial" w:eastAsia="Arial" w:hAnsi="Arial"/>
          <w:sz w:val="11"/>
          <w:szCs w:val="11"/>
          <w:color w:val="auto"/>
        </w:rPr>
        <w:t>Higher productivity,</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42"/>
        </w:numPr>
        <w:rPr>
          <w:rFonts w:ascii="Arial" w:cs="Arial" w:eastAsia="Arial" w:hAnsi="Arial"/>
          <w:sz w:val="11"/>
          <w:szCs w:val="11"/>
          <w:color w:val="DC202E"/>
        </w:rPr>
      </w:pPr>
      <w:r>
        <w:rPr>
          <w:rFonts w:ascii="Arial" w:cs="Arial" w:eastAsia="Arial" w:hAnsi="Arial"/>
          <w:sz w:val="11"/>
          <w:szCs w:val="11"/>
          <w:color w:val="auto"/>
        </w:rPr>
        <w:t>The favorable impact of foreign currency translation, and</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42"/>
        </w:numPr>
        <w:rPr>
          <w:rFonts w:ascii="Arial" w:cs="Arial" w:eastAsia="Arial" w:hAnsi="Arial"/>
          <w:sz w:val="11"/>
          <w:szCs w:val="11"/>
          <w:color w:val="DC202E"/>
        </w:rPr>
      </w:pPr>
      <w:r>
        <w:rPr>
          <w:rFonts w:ascii="Arial" w:cs="Arial" w:eastAsia="Arial" w:hAnsi="Arial"/>
          <w:sz w:val="11"/>
          <w:szCs w:val="11"/>
          <w:color w:val="auto"/>
        </w:rPr>
        <w:t>Increased demand for our products,</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42"/>
        </w:numPr>
        <w:rPr>
          <w:rFonts w:ascii="Arial" w:cs="Arial" w:eastAsia="Arial" w:hAnsi="Arial"/>
          <w:sz w:val="10"/>
          <w:szCs w:val="10"/>
          <w:b w:val="1"/>
          <w:bCs w:val="1"/>
          <w:color w:val="D7282F"/>
        </w:rPr>
      </w:pPr>
      <w:r>
        <w:rPr>
          <w:rFonts w:ascii="Arial" w:cs="Arial" w:eastAsia="Arial" w:hAnsi="Arial"/>
          <w:sz w:val="10"/>
          <w:szCs w:val="10"/>
          <w:color w:val="auto"/>
        </w:rPr>
        <w:t>Partially offset by higher direct and indirect material costs, higher repositioning and other costs of approximately $150 million, and a larger portion of our sales being driven by our Safety and Productivity Solutions segment.</w:t>
      </w:r>
    </w:p>
    <w:p>
      <w:pPr>
        <w:spacing w:after="0" w:line="278" w:lineRule="exact"/>
        <w:rPr>
          <w:sz w:val="20"/>
          <w:szCs w:val="20"/>
          <w:color w:val="auto"/>
        </w:rPr>
      </w:pPr>
    </w:p>
    <w:p>
      <w:pPr>
        <w:ind w:left="468" w:hanging="468"/>
        <w:spacing w:after="0"/>
        <w:tabs>
          <w:tab w:leader="none" w:pos="468" w:val="left"/>
        </w:tabs>
        <w:numPr>
          <w:ilvl w:val="0"/>
          <w:numId w:val="4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68"/>
          </w:cols>
          <w:pgMar w:left="292" w:top="198" w:right="939" w:bottom="1440" w:gutter="0" w:footer="0" w:header="0"/>
        </w:sectPr>
      </w:pPr>
    </w:p>
    <w:bookmarkStart w:id="22" w:name="page23"/>
    <w:bookmarkEnd w:id="22"/>
    <w:p>
      <w:pPr>
        <w:jc w:val="right"/>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52070</wp:posOffset>
            </wp:positionV>
            <wp:extent cx="2000250" cy="1577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0025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Selling, general and administrative expenses and Selling, general and administrative expenses as a percentage of net sales changed due to the following:</w:t>
      </w:r>
    </w:p>
    <w:p>
      <w:pPr>
        <w:spacing w:after="0" w:line="72" w:lineRule="exact"/>
        <w:rPr>
          <w:sz w:val="20"/>
          <w:szCs w:val="20"/>
          <w:color w:val="auto"/>
        </w:rPr>
      </w:pPr>
    </w:p>
    <w:p>
      <w:pPr>
        <w:ind w:left="128" w:hanging="128"/>
        <w:spacing w:after="0"/>
        <w:tabs>
          <w:tab w:leader="none" w:pos="128" w:val="left"/>
        </w:tabs>
        <w:numPr>
          <w:ilvl w:val="0"/>
          <w:numId w:val="44"/>
        </w:numPr>
        <w:rPr>
          <w:rFonts w:ascii="Arial" w:cs="Arial" w:eastAsia="Arial" w:hAnsi="Arial"/>
          <w:sz w:val="11"/>
          <w:szCs w:val="11"/>
          <w:color w:val="DC202E"/>
        </w:rPr>
      </w:pPr>
      <w:r>
        <w:rPr>
          <w:rFonts w:ascii="Arial" w:cs="Arial" w:eastAsia="Arial" w:hAnsi="Arial"/>
          <w:sz w:val="11"/>
          <w:szCs w:val="11"/>
          <w:color w:val="auto"/>
        </w:rPr>
        <w:t>Higher expenses due to increased sales volumes and labor expense,</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44"/>
        </w:numPr>
        <w:rPr>
          <w:rFonts w:ascii="Arial" w:cs="Arial" w:eastAsia="Arial" w:hAnsi="Arial"/>
          <w:sz w:val="11"/>
          <w:szCs w:val="11"/>
          <w:color w:val="DC202E"/>
        </w:rPr>
      </w:pPr>
      <w:r>
        <w:rPr>
          <w:rFonts w:ascii="Arial" w:cs="Arial" w:eastAsia="Arial" w:hAnsi="Arial"/>
          <w:sz w:val="11"/>
          <w:szCs w:val="11"/>
          <w:color w:val="auto"/>
        </w:rPr>
        <w:t>Partially offset by higher productivity, including lower costs resulting from repositioning actions.</w:t>
      </w:r>
    </w:p>
    <w:p>
      <w:pPr>
        <w:spacing w:after="0" w:line="24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21</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23" w:name="page24"/>
    <w:bookmarkEnd w:id="23"/>
    <w:p>
      <w:pPr>
        <w:ind w:left="8"/>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Other (Income) Expense</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500" w:type="dxa"/>
            <w:vAlign w:val="bottom"/>
            <w:tcBorders>
              <w:bottom w:val="single" w:sz="8" w:color="DC202E"/>
            </w:tcBorders>
          </w:tcPr>
          <w:p>
            <w:pPr>
              <w:spacing w:after="0"/>
              <w:rPr>
                <w:sz w:val="10"/>
                <w:szCs w:val="10"/>
                <w:color w:val="auto"/>
              </w:rPr>
            </w:pPr>
          </w:p>
        </w:tc>
        <w:tc>
          <w:tcPr>
            <w:tcW w:w="362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ind w:right="472"/>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ind w:right="492"/>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2019</w:t>
            </w:r>
          </w:p>
        </w:tc>
      </w:tr>
      <w:tr>
        <w:trPr>
          <w:trHeight w:val="115"/>
        </w:trPr>
        <w:tc>
          <w:tcPr>
            <w:tcW w:w="45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(Income) Expense</w:t>
            </w:r>
          </w:p>
        </w:tc>
        <w:tc>
          <w:tcPr>
            <w:tcW w:w="362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(1,378)</w:t>
            </w:r>
          </w:p>
        </w:tc>
        <w:tc>
          <w:tcPr>
            <w:tcW w:w="44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(675)</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(1,065)</w:t>
            </w: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Other (income) expense increased due to the following:</w:t>
      </w:r>
    </w:p>
    <w:p>
      <w:pPr>
        <w:spacing w:after="0" w:line="72" w:lineRule="exact"/>
        <w:rPr>
          <w:sz w:val="20"/>
          <w:szCs w:val="20"/>
          <w:color w:val="auto"/>
        </w:rPr>
      </w:pPr>
    </w:p>
    <w:p>
      <w:pPr>
        <w:ind w:left="128" w:hanging="128"/>
        <w:spacing w:after="0"/>
        <w:tabs>
          <w:tab w:leader="none" w:pos="128" w:val="left"/>
        </w:tabs>
        <w:numPr>
          <w:ilvl w:val="0"/>
          <w:numId w:val="45"/>
        </w:numPr>
        <w:rPr>
          <w:rFonts w:ascii="Arial" w:cs="Arial" w:eastAsia="Arial" w:hAnsi="Arial"/>
          <w:sz w:val="11"/>
          <w:szCs w:val="11"/>
          <w:color w:val="D7282F"/>
        </w:rPr>
      </w:pPr>
      <w:r>
        <w:rPr>
          <w:rFonts w:ascii="Arial" w:cs="Arial" w:eastAsia="Arial" w:hAnsi="Arial"/>
          <w:sz w:val="11"/>
          <w:szCs w:val="11"/>
          <w:color w:val="auto"/>
        </w:rPr>
        <w:t>Prior year non-cash charges associated with the reduction in value of reimbursement receivables due from Garrett,</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45"/>
        </w:numPr>
        <w:rPr>
          <w:rFonts w:ascii="Arial" w:cs="Arial" w:eastAsia="Arial" w:hAnsi="Arial"/>
          <w:sz w:val="11"/>
          <w:szCs w:val="11"/>
          <w:color w:val="DC202E"/>
        </w:rPr>
      </w:pPr>
      <w:r>
        <w:rPr>
          <w:rFonts w:ascii="Arial" w:cs="Arial" w:eastAsia="Arial" w:hAnsi="Arial"/>
          <w:sz w:val="11"/>
          <w:szCs w:val="11"/>
          <w:color w:val="auto"/>
        </w:rPr>
        <w:t>Higher pension income, and</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45"/>
        </w:numPr>
        <w:rPr>
          <w:rFonts w:ascii="Arial" w:cs="Arial" w:eastAsia="Arial" w:hAnsi="Arial"/>
          <w:sz w:val="11"/>
          <w:szCs w:val="11"/>
          <w:color w:val="DC202E"/>
        </w:rPr>
      </w:pPr>
      <w:r>
        <w:rPr>
          <w:rFonts w:ascii="Arial" w:cs="Arial" w:eastAsia="Arial" w:hAnsi="Arial"/>
          <w:sz w:val="11"/>
          <w:szCs w:val="11"/>
          <w:color w:val="auto"/>
        </w:rPr>
        <w:t>Gain on sale of the retail footwear business,</w:t>
      </w:r>
    </w:p>
    <w:p>
      <w:pPr>
        <w:spacing w:after="0" w:line="53" w:lineRule="exact"/>
        <w:rPr>
          <w:rFonts w:ascii="Arial" w:cs="Arial" w:eastAsia="Arial" w:hAnsi="Arial"/>
          <w:sz w:val="11"/>
          <w:szCs w:val="11"/>
          <w:color w:val="DC202E"/>
        </w:rPr>
      </w:pPr>
    </w:p>
    <w:p>
      <w:pPr>
        <w:ind w:left="128" w:hanging="128"/>
        <w:spacing w:after="0" w:line="245" w:lineRule="auto"/>
        <w:tabs>
          <w:tab w:leader="none" w:pos="126" w:val="left"/>
        </w:tabs>
        <w:numPr>
          <w:ilvl w:val="0"/>
          <w:numId w:val="45"/>
        </w:numPr>
        <w:rPr>
          <w:rFonts w:ascii="Arial" w:cs="Arial" w:eastAsia="Arial" w:hAnsi="Arial"/>
          <w:sz w:val="11"/>
          <w:szCs w:val="11"/>
          <w:color w:val="DC202E"/>
        </w:rPr>
      </w:pPr>
      <w:r>
        <w:rPr>
          <w:rFonts w:ascii="Arial" w:cs="Arial" w:eastAsia="Arial" w:hAnsi="Arial"/>
          <w:sz w:val="11"/>
          <w:szCs w:val="11"/>
          <w:color w:val="auto"/>
        </w:rPr>
        <w:t>Partially offset by the recognition of an expense related to UOP matters and increased foreign exchange expense. See Note 19 Commitments and Contingencies of Notes to the Consolidated Financial Statements for additional information on UOP Matters.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52070</wp:posOffset>
            </wp:positionV>
            <wp:extent cx="2000250" cy="11430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00250" cy="114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effective tax rate for 2021 was higher than the U.S. federal statutory rate of 21% primarily due to the following:</w:t>
      </w:r>
    </w:p>
    <w:p>
      <w:pPr>
        <w:spacing w:after="0" w:line="72" w:lineRule="exact"/>
        <w:rPr>
          <w:sz w:val="20"/>
          <w:szCs w:val="20"/>
          <w:color w:val="auto"/>
        </w:rPr>
      </w:pPr>
    </w:p>
    <w:p>
      <w:pPr>
        <w:ind w:left="108" w:hanging="108"/>
        <w:spacing w:after="0"/>
        <w:tabs>
          <w:tab w:leader="none" w:pos="108" w:val="left"/>
        </w:tabs>
        <w:numPr>
          <w:ilvl w:val="0"/>
          <w:numId w:val="46"/>
        </w:numPr>
        <w:rPr>
          <w:rFonts w:ascii="Arial" w:cs="Arial" w:eastAsia="Arial" w:hAnsi="Arial"/>
          <w:sz w:val="11"/>
          <w:szCs w:val="11"/>
          <w:color w:val="D7282F"/>
        </w:rPr>
      </w:pPr>
      <w:r>
        <w:rPr>
          <w:rFonts w:ascii="Arial" w:cs="Arial" w:eastAsia="Arial" w:hAnsi="Arial"/>
          <w:sz w:val="11"/>
          <w:szCs w:val="11"/>
          <w:color w:val="auto"/>
        </w:rPr>
        <w:t>Accrued withholding taxes related to unremitted foreign earnings,</w:t>
      </w:r>
    </w:p>
    <w:p>
      <w:pPr>
        <w:spacing w:after="0" w:line="71" w:lineRule="exact"/>
        <w:rPr>
          <w:rFonts w:ascii="Arial" w:cs="Arial" w:eastAsia="Arial" w:hAnsi="Arial"/>
          <w:sz w:val="11"/>
          <w:szCs w:val="11"/>
          <w:color w:val="D7282F"/>
        </w:rPr>
      </w:pPr>
    </w:p>
    <w:p>
      <w:pPr>
        <w:ind w:left="108" w:hanging="108"/>
        <w:spacing w:after="0"/>
        <w:tabs>
          <w:tab w:leader="none" w:pos="108" w:val="left"/>
        </w:tabs>
        <w:numPr>
          <w:ilvl w:val="0"/>
          <w:numId w:val="46"/>
        </w:numPr>
        <w:rPr>
          <w:rFonts w:ascii="Arial" w:cs="Arial" w:eastAsia="Arial" w:hAnsi="Arial"/>
          <w:sz w:val="11"/>
          <w:szCs w:val="11"/>
          <w:color w:val="D7282F"/>
        </w:rPr>
      </w:pPr>
      <w:r>
        <w:rPr>
          <w:rFonts w:ascii="Arial" w:cs="Arial" w:eastAsia="Arial" w:hAnsi="Arial"/>
          <w:sz w:val="11"/>
          <w:szCs w:val="11"/>
          <w:color w:val="auto"/>
        </w:rPr>
        <w:t>The establishment of a valuation allowance for deferred tax assets not expected to be realized, and</w:t>
      </w:r>
    </w:p>
    <w:p>
      <w:pPr>
        <w:spacing w:after="0" w:line="71" w:lineRule="exact"/>
        <w:rPr>
          <w:rFonts w:ascii="Arial" w:cs="Arial" w:eastAsia="Arial" w:hAnsi="Arial"/>
          <w:sz w:val="11"/>
          <w:szCs w:val="11"/>
          <w:color w:val="D7282F"/>
        </w:rPr>
      </w:pPr>
    </w:p>
    <w:p>
      <w:pPr>
        <w:ind w:left="108" w:hanging="108"/>
        <w:spacing w:after="0"/>
        <w:tabs>
          <w:tab w:leader="none" w:pos="108" w:val="left"/>
        </w:tabs>
        <w:numPr>
          <w:ilvl w:val="0"/>
          <w:numId w:val="46"/>
        </w:numPr>
        <w:rPr>
          <w:rFonts w:ascii="Arial" w:cs="Arial" w:eastAsia="Arial" w:hAnsi="Arial"/>
          <w:sz w:val="11"/>
          <w:szCs w:val="11"/>
          <w:color w:val="D7282F"/>
        </w:rPr>
      </w:pPr>
      <w:r>
        <w:rPr>
          <w:rFonts w:ascii="Arial" w:cs="Arial" w:eastAsia="Arial" w:hAnsi="Arial"/>
          <w:sz w:val="11"/>
          <w:szCs w:val="11"/>
          <w:color w:val="auto"/>
        </w:rPr>
        <w:t>Incremental tax reserves and state taxes,</w:t>
      </w:r>
    </w:p>
    <w:p>
      <w:pPr>
        <w:spacing w:after="0" w:line="71" w:lineRule="exact"/>
        <w:rPr>
          <w:rFonts w:ascii="Arial" w:cs="Arial" w:eastAsia="Arial" w:hAnsi="Arial"/>
          <w:sz w:val="11"/>
          <w:szCs w:val="11"/>
          <w:color w:val="D7282F"/>
        </w:rPr>
      </w:pPr>
    </w:p>
    <w:p>
      <w:pPr>
        <w:ind w:left="108" w:hanging="108"/>
        <w:spacing w:after="0"/>
        <w:tabs>
          <w:tab w:leader="none" w:pos="108" w:val="left"/>
        </w:tabs>
        <w:numPr>
          <w:ilvl w:val="0"/>
          <w:numId w:val="46"/>
        </w:numPr>
        <w:rPr>
          <w:rFonts w:ascii="Arial" w:cs="Arial" w:eastAsia="Arial" w:hAnsi="Arial"/>
          <w:sz w:val="11"/>
          <w:szCs w:val="11"/>
          <w:color w:val="D7282F"/>
        </w:rPr>
      </w:pPr>
      <w:r>
        <w:rPr>
          <w:rFonts w:ascii="Arial" w:cs="Arial" w:eastAsia="Arial" w:hAnsi="Arial"/>
          <w:sz w:val="11"/>
          <w:szCs w:val="11"/>
          <w:color w:val="auto"/>
        </w:rPr>
        <w:t>Partially offset by the tax impact of restructuring.</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further discussion of changes in the effective tax rate, see Note 5 Income Taxes of Notes to Consolidated Financial Statements.</w:t>
      </w:r>
    </w:p>
    <w:p>
      <w:pPr>
        <w:spacing w:after="0" w:line="200" w:lineRule="exact"/>
        <w:rPr>
          <w:sz w:val="20"/>
          <w:szCs w:val="20"/>
          <w:color w:val="auto"/>
        </w:rPr>
      </w:pPr>
    </w:p>
    <w:p>
      <w:pPr>
        <w:spacing w:after="0" w:line="318" w:lineRule="exact"/>
        <w:rPr>
          <w:sz w:val="20"/>
          <w:szCs w:val="20"/>
          <w:color w:val="auto"/>
        </w:rPr>
      </w:pPr>
    </w:p>
    <w:p>
      <w:pPr>
        <w:ind w:left="468" w:hanging="468"/>
        <w:spacing w:after="0"/>
        <w:tabs>
          <w:tab w:leader="none" w:pos="468" w:val="left"/>
        </w:tabs>
        <w:numPr>
          <w:ilvl w:val="0"/>
          <w:numId w:val="4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52070</wp:posOffset>
            </wp:positionV>
            <wp:extent cx="2000250" cy="129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00250"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per share of common stock–assuming dilution increased due to the following:</w:t>
      </w:r>
    </w:p>
    <w:p>
      <w:pPr>
        <w:spacing w:after="0" w:line="72" w:lineRule="exact"/>
        <w:rPr>
          <w:sz w:val="20"/>
          <w:szCs w:val="20"/>
          <w:color w:val="auto"/>
        </w:rPr>
      </w:pPr>
    </w:p>
    <w:p>
      <w:pPr>
        <w:ind w:left="128" w:hanging="128"/>
        <w:spacing w:after="0"/>
        <w:tabs>
          <w:tab w:leader="none" w:pos="128" w:val="left"/>
        </w:tabs>
        <w:numPr>
          <w:ilvl w:val="0"/>
          <w:numId w:val="48"/>
        </w:numPr>
        <w:rPr>
          <w:rFonts w:ascii="Arial" w:cs="Arial" w:eastAsia="Arial" w:hAnsi="Arial"/>
          <w:sz w:val="11"/>
          <w:szCs w:val="11"/>
          <w:color w:val="DC202E"/>
        </w:rPr>
      </w:pPr>
      <w:r>
        <w:rPr>
          <w:rFonts w:ascii="Arial" w:cs="Arial" w:eastAsia="Arial" w:hAnsi="Arial"/>
          <w:sz w:val="11"/>
          <w:szCs w:val="11"/>
          <w:color w:val="auto"/>
        </w:rPr>
        <w:t>Higher segment profit,</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48"/>
        </w:numPr>
        <w:rPr>
          <w:rFonts w:ascii="Arial" w:cs="Arial" w:eastAsia="Arial" w:hAnsi="Arial"/>
          <w:sz w:val="11"/>
          <w:szCs w:val="11"/>
          <w:b w:val="1"/>
          <w:bCs w:val="1"/>
          <w:color w:val="DC202E"/>
        </w:rPr>
      </w:pPr>
      <w:r>
        <w:rPr>
          <w:rFonts w:ascii="Arial" w:cs="Arial" w:eastAsia="Arial" w:hAnsi="Arial"/>
          <w:sz w:val="11"/>
          <w:szCs w:val="11"/>
          <w:color w:val="auto"/>
        </w:rPr>
        <w:t>Prior year non-cash charges associated with the reduction in value of reimbursement receivables due from Garrett,</w:t>
      </w:r>
    </w:p>
    <w:p>
      <w:pPr>
        <w:spacing w:after="0" w:line="44" w:lineRule="exact"/>
        <w:rPr>
          <w:rFonts w:ascii="Arial" w:cs="Arial" w:eastAsia="Arial" w:hAnsi="Arial"/>
          <w:sz w:val="11"/>
          <w:szCs w:val="11"/>
          <w:b w:val="1"/>
          <w:bCs w:val="1"/>
          <w:color w:val="DC202E"/>
        </w:rPr>
      </w:pPr>
    </w:p>
    <w:p>
      <w:pPr>
        <w:ind w:left="128" w:hanging="128"/>
        <w:spacing w:after="0"/>
        <w:tabs>
          <w:tab w:leader="none" w:pos="128" w:val="left"/>
        </w:tabs>
        <w:numPr>
          <w:ilvl w:val="0"/>
          <w:numId w:val="48"/>
        </w:numPr>
        <w:rPr>
          <w:rFonts w:ascii="Arial" w:cs="Arial" w:eastAsia="Arial" w:hAnsi="Arial"/>
          <w:sz w:val="11"/>
          <w:szCs w:val="11"/>
          <w:color w:val="DC202E"/>
        </w:rPr>
      </w:pPr>
      <w:r>
        <w:rPr>
          <w:rFonts w:ascii="Arial" w:cs="Arial" w:eastAsia="Arial" w:hAnsi="Arial"/>
          <w:sz w:val="11"/>
          <w:szCs w:val="11"/>
          <w:color w:val="auto"/>
        </w:rPr>
        <w:t>Higher pension income,</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48"/>
        </w:numPr>
        <w:rPr>
          <w:rFonts w:ascii="Arial" w:cs="Arial" w:eastAsia="Arial" w:hAnsi="Arial"/>
          <w:sz w:val="11"/>
          <w:szCs w:val="11"/>
          <w:color w:val="DC202E"/>
        </w:rPr>
      </w:pPr>
      <w:r>
        <w:rPr>
          <w:rFonts w:ascii="Arial" w:cs="Arial" w:eastAsia="Arial" w:hAnsi="Arial"/>
          <w:sz w:val="11"/>
          <w:szCs w:val="11"/>
          <w:color w:val="auto"/>
        </w:rPr>
        <w:t>Gain on sale of the retail footwear business, and</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48"/>
        </w:numPr>
        <w:rPr>
          <w:rFonts w:ascii="Arial" w:cs="Arial" w:eastAsia="Arial" w:hAnsi="Arial"/>
          <w:sz w:val="11"/>
          <w:szCs w:val="11"/>
          <w:color w:val="DC202E"/>
        </w:rPr>
      </w:pPr>
      <w:r>
        <w:rPr>
          <w:rFonts w:ascii="Arial" w:cs="Arial" w:eastAsia="Arial" w:hAnsi="Arial"/>
          <w:sz w:val="11"/>
          <w:szCs w:val="11"/>
          <w:color w:val="auto"/>
        </w:rPr>
        <w:t>Favorable impact of lower share count,</w:t>
      </w:r>
    </w:p>
    <w:p>
      <w:pPr>
        <w:spacing w:after="0" w:line="44" w:lineRule="exact"/>
        <w:rPr>
          <w:rFonts w:ascii="Arial" w:cs="Arial" w:eastAsia="Arial" w:hAnsi="Arial"/>
          <w:sz w:val="11"/>
          <w:szCs w:val="11"/>
          <w:color w:val="DC202E"/>
        </w:rPr>
      </w:pPr>
    </w:p>
    <w:p>
      <w:pPr>
        <w:ind w:left="128" w:hanging="128"/>
        <w:spacing w:after="0"/>
        <w:tabs>
          <w:tab w:leader="none" w:pos="128" w:val="left"/>
        </w:tabs>
        <w:numPr>
          <w:ilvl w:val="0"/>
          <w:numId w:val="48"/>
        </w:numPr>
        <w:rPr>
          <w:rFonts w:ascii="Arial" w:cs="Arial" w:eastAsia="Arial" w:hAnsi="Arial"/>
          <w:sz w:val="11"/>
          <w:szCs w:val="11"/>
          <w:color w:val="DC202E"/>
        </w:rPr>
      </w:pPr>
      <w:r>
        <w:rPr>
          <w:rFonts w:ascii="Arial" w:cs="Arial" w:eastAsia="Arial" w:hAnsi="Arial"/>
          <w:sz w:val="11"/>
          <w:szCs w:val="11"/>
          <w:color w:val="auto"/>
        </w:rPr>
        <w:t>Partially offset by higher income taxes, an expense related to UOP matters, and higher foreign exchange expense.</w:t>
      </w:r>
    </w:p>
    <w:p>
      <w:pPr>
        <w:spacing w:after="0" w:line="200" w:lineRule="exact"/>
        <w:rPr>
          <w:sz w:val="20"/>
          <w:szCs w:val="20"/>
          <w:color w:val="auto"/>
        </w:rPr>
      </w:pPr>
    </w:p>
    <w:p>
      <w:pPr>
        <w:spacing w:after="0" w:line="26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23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25" w:name="page26"/>
    <w:bookmarkEnd w:id="25"/>
    <w:p>
      <w:pPr>
        <w:ind w:left="8"/>
        <w:spacing w:after="0"/>
        <w:rPr>
          <w:sz w:val="20"/>
          <w:szCs w:val="20"/>
          <w:color w:val="auto"/>
        </w:rPr>
      </w:pPr>
      <w:r>
        <w:rPr>
          <w:rFonts w:ascii="Arial" w:cs="Arial" w:eastAsia="Arial" w:hAnsi="Arial"/>
          <w:sz w:val="24"/>
          <w:szCs w:val="24"/>
          <w:b w:val="1"/>
          <w:bCs w:val="1"/>
          <w:color w:val="auto"/>
        </w:rPr>
        <w:t>REVIEW OF BUSINESS SEGMENTS</w:t>
      </w:r>
    </w:p>
    <w:p>
      <w:pPr>
        <w:spacing w:after="0" w:line="251"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globally manage our business operations through four segments: Aerospace, Honeywell Building Technologies, Performance Materials and Technologies, and Safety and Productivity Solutions.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AEROSPACE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6350</wp:posOffset>
            </wp:positionV>
            <wp:extent cx="2000250" cy="1628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0025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center"/>
              <w:ind w:left="6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center"/>
              <w:ind w:right="25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jc w:val="center"/>
              <w:ind w:left="632"/>
              <w:spacing w:after="0" w:line="90" w:lineRule="exact"/>
              <w:rPr>
                <w:sz w:val="20"/>
                <w:szCs w:val="20"/>
                <w:color w:val="auto"/>
              </w:rPr>
            </w:pPr>
            <w:r>
              <w:rPr>
                <w:rFonts w:ascii="Arial" w:cs="Arial" w:eastAsia="Arial" w:hAnsi="Arial"/>
                <w:sz w:val="10"/>
                <w:szCs w:val="10"/>
                <w:b w:val="1"/>
                <w:bCs w:val="1"/>
                <w:color w:val="auto"/>
                <w:w w:val="98"/>
              </w:rPr>
              <w:t>2021</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40" w:type="dxa"/>
            <w:vAlign w:val="bottom"/>
            <w:gridSpan w:val="2"/>
            <w:vMerge w:val="restart"/>
          </w:tcPr>
          <w:p>
            <w:pPr>
              <w:jc w:val="right"/>
              <w:ind w:right="532"/>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2020</w:t>
            </w:r>
          </w:p>
        </w:tc>
        <w:tc>
          <w:tcPr>
            <w:tcW w:w="1060" w:type="dxa"/>
            <w:vAlign w:val="bottom"/>
          </w:tcPr>
          <w:p>
            <w:pPr>
              <w:jc w:val="center"/>
              <w:ind w:left="632"/>
              <w:spacing w:after="0" w:line="90"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2019</w:t>
            </w:r>
          </w:p>
        </w:tc>
        <w:tc>
          <w:tcPr>
            <w:tcW w:w="640" w:type="dxa"/>
            <w:vAlign w:val="bottom"/>
          </w:tcPr>
          <w:p>
            <w:pPr>
              <w:spacing w:after="0"/>
              <w:rPr>
                <w:sz w:val="7"/>
                <w:szCs w:val="7"/>
                <w:color w:val="auto"/>
              </w:rPr>
            </w:pPr>
          </w:p>
        </w:tc>
        <w:tc>
          <w:tcPr>
            <w:tcW w:w="78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DC202E"/>
            </w:tcBorders>
          </w:tcPr>
          <w:p>
            <w:pPr>
              <w:spacing w:after="0"/>
              <w:rPr>
                <w:sz w:val="10"/>
                <w:szCs w:val="10"/>
                <w:color w:val="auto"/>
              </w:rPr>
            </w:pPr>
          </w:p>
        </w:tc>
        <w:tc>
          <w:tcPr>
            <w:tcW w:w="218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vMerge w:val="continue"/>
          </w:tcPr>
          <w:p>
            <w:pPr>
              <w:spacing w:after="0"/>
              <w:rPr>
                <w:sz w:val="10"/>
                <w:szCs w:val="10"/>
                <w:color w:val="auto"/>
              </w:rPr>
            </w:pPr>
          </w:p>
        </w:tc>
        <w:tc>
          <w:tcPr>
            <w:tcW w:w="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vMerge w:val="continue"/>
          </w:tcPr>
          <w:p>
            <w:pPr>
              <w:spacing w:after="0"/>
              <w:rPr>
                <w:sz w:val="10"/>
                <w:szCs w:val="10"/>
                <w:color w:val="auto"/>
              </w:rPr>
            </w:pPr>
          </w:p>
        </w:tc>
        <w:tc>
          <w:tcPr>
            <w:tcW w:w="1060" w:type="dxa"/>
            <w:vAlign w:val="bottom"/>
            <w:tcBorders>
              <w:bottom w:val="single" w:sz="8" w:color="DC202E"/>
            </w:tcBorders>
          </w:tcPr>
          <w:p>
            <w:pPr>
              <w:jc w:val="center"/>
              <w:ind w:left="632"/>
              <w:spacing w:after="0"/>
              <w:rPr>
                <w:sz w:val="20"/>
                <w:szCs w:val="20"/>
                <w:color w:val="auto"/>
              </w:rPr>
            </w:pPr>
            <w:r>
              <w:rPr>
                <w:rFonts w:ascii="Arial" w:cs="Arial" w:eastAsia="Arial" w:hAnsi="Arial"/>
                <w:sz w:val="10"/>
                <w:szCs w:val="10"/>
                <w:b w:val="1"/>
                <w:bCs w:val="1"/>
                <w:color w:val="auto"/>
                <w:w w:val="98"/>
              </w:rPr>
              <w:t>2020</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vMerge w:val="continue"/>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center"/>
              <w:ind w:right="232"/>
              <w:spacing w:after="0"/>
              <w:rPr>
                <w:sz w:val="20"/>
                <w:szCs w:val="20"/>
                <w:color w:val="auto"/>
              </w:rPr>
            </w:pPr>
            <w:r>
              <w:rPr>
                <w:rFonts w:ascii="Arial" w:cs="Arial" w:eastAsia="Arial" w:hAnsi="Arial"/>
                <w:sz w:val="10"/>
                <w:szCs w:val="10"/>
                <w:b w:val="1"/>
                <w:bCs w:val="1"/>
                <w:color w:val="auto"/>
                <w:w w:val="98"/>
              </w:rPr>
              <w:t>2019</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11,026</w:t>
            </w:r>
          </w:p>
        </w:tc>
        <w:tc>
          <w:tcPr>
            <w:tcW w:w="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jc w:val="right"/>
              <w:ind w:right="712"/>
              <w:spacing w:after="0"/>
              <w:rPr>
                <w:sz w:val="20"/>
                <w:szCs w:val="20"/>
                <w:color w:val="auto"/>
              </w:rPr>
            </w:pPr>
            <w:r>
              <w:rPr>
                <w:rFonts w:ascii="Arial" w:cs="Arial" w:eastAsia="Arial" w:hAnsi="Arial"/>
                <w:sz w:val="10"/>
                <w:szCs w:val="10"/>
                <w:color w:val="auto"/>
                <w:w w:val="91"/>
              </w:rPr>
              <w:t>11,544</w:t>
            </w:r>
          </w:p>
        </w:tc>
        <w:tc>
          <w:tcPr>
            <w:tcW w:w="460" w:type="dxa"/>
            <w:vAlign w:val="bottom"/>
            <w:tcBorders>
              <w:bottom w:val="single" w:sz="8" w:color="939598"/>
            </w:tcBorders>
            <w:gridSpan w:val="2"/>
          </w:tcPr>
          <w:p>
            <w:pPr>
              <w:jc w:val="right"/>
              <w:ind w:right="120"/>
              <w:spacing w:after="0"/>
              <w:rPr>
                <w:sz w:val="20"/>
                <w:szCs w:val="20"/>
                <w:color w:val="auto"/>
              </w:rPr>
            </w:pPr>
            <w:r>
              <w:rPr>
                <w:rFonts w:ascii="Arial" w:cs="Arial" w:eastAsia="Arial" w:hAnsi="Arial"/>
                <w:sz w:val="10"/>
                <w:szCs w:val="10"/>
                <w:color w:val="auto"/>
              </w:rPr>
              <w:t>(4)%</w:t>
            </w:r>
          </w:p>
        </w:tc>
        <w:tc>
          <w:tcPr>
            <w:tcW w:w="50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w w:val="91"/>
              </w:rPr>
              <w:t>14,054</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7,191</w:t>
            </w:r>
          </w:p>
        </w:tc>
        <w:tc>
          <w:tcPr>
            <w:tcW w:w="8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jc w:val="right"/>
              <w:ind w:right="712"/>
              <w:spacing w:after="0"/>
              <w:rPr>
                <w:sz w:val="20"/>
                <w:szCs w:val="20"/>
                <w:color w:val="auto"/>
              </w:rPr>
            </w:pPr>
            <w:r>
              <w:rPr>
                <w:rFonts w:ascii="Arial" w:cs="Arial" w:eastAsia="Arial" w:hAnsi="Arial"/>
                <w:sz w:val="10"/>
                <w:szCs w:val="10"/>
                <w:color w:val="auto"/>
              </w:rPr>
              <w:t>7,813</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9,398</w:t>
            </w:r>
          </w:p>
        </w:tc>
        <w:tc>
          <w:tcPr>
            <w:tcW w:w="78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color w:val="auto"/>
              </w:rPr>
              <w:t>784</w:t>
            </w:r>
          </w:p>
        </w:tc>
        <w:tc>
          <w:tcPr>
            <w:tcW w:w="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jc w:val="right"/>
              <w:ind w:right="712"/>
              <w:spacing w:after="0"/>
              <w:rPr>
                <w:sz w:val="20"/>
                <w:szCs w:val="20"/>
                <w:color w:val="auto"/>
              </w:rPr>
            </w:pPr>
            <w:r>
              <w:rPr>
                <w:rFonts w:ascii="Arial" w:cs="Arial" w:eastAsia="Arial" w:hAnsi="Arial"/>
                <w:sz w:val="10"/>
                <w:szCs w:val="10"/>
                <w:color w:val="auto"/>
              </w:rPr>
              <w:t>827</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color w:val="auto"/>
              </w:rPr>
              <w:t>1,049</w:t>
            </w:r>
          </w:p>
        </w:tc>
        <w:tc>
          <w:tcPr>
            <w:tcW w:w="78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b w:val="1"/>
                <w:bCs w:val="1"/>
                <w:color w:val="auto"/>
              </w:rPr>
              <w:t>3,051</w:t>
            </w:r>
          </w:p>
        </w:tc>
        <w:tc>
          <w:tcPr>
            <w:tcW w:w="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jc w:val="right"/>
              <w:ind w:right="712"/>
              <w:spacing w:after="0"/>
              <w:rPr>
                <w:sz w:val="20"/>
                <w:szCs w:val="20"/>
                <w:color w:val="auto"/>
              </w:rPr>
            </w:pPr>
            <w:r>
              <w:rPr>
                <w:rFonts w:ascii="Arial" w:cs="Arial" w:eastAsia="Arial" w:hAnsi="Arial"/>
                <w:sz w:val="10"/>
                <w:szCs w:val="10"/>
                <w:b w:val="1"/>
                <w:bCs w:val="1"/>
                <w:color w:val="auto"/>
              </w:rPr>
              <w:t>2,904</w:t>
            </w:r>
          </w:p>
        </w:tc>
        <w:tc>
          <w:tcPr>
            <w:tcW w:w="460" w:type="dxa"/>
            <w:vAlign w:val="bottom"/>
            <w:tcBorders>
              <w:bottom w:val="single" w:sz="8" w:color="DC202E"/>
            </w:tcBorders>
            <w:gridSpan w:val="2"/>
          </w:tcPr>
          <w:p>
            <w:pPr>
              <w:jc w:val="right"/>
              <w:ind w:right="120"/>
              <w:spacing w:after="0"/>
              <w:rPr>
                <w:sz w:val="20"/>
                <w:szCs w:val="20"/>
                <w:color w:val="auto"/>
              </w:rPr>
            </w:pPr>
            <w:r>
              <w:rPr>
                <w:rFonts w:ascii="Arial" w:cs="Arial" w:eastAsia="Arial" w:hAnsi="Arial"/>
                <w:sz w:val="10"/>
                <w:szCs w:val="10"/>
                <w:b w:val="1"/>
                <w:bCs w:val="1"/>
                <w:color w:val="auto"/>
              </w:rPr>
              <w:t>5 %</w:t>
            </w:r>
          </w:p>
        </w:tc>
        <w:tc>
          <w:tcPr>
            <w:tcW w:w="50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3,607</w:t>
            </w:r>
          </w:p>
        </w:tc>
        <w:tc>
          <w:tcPr>
            <w:tcW w:w="7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(19)%</w:t>
            </w:r>
          </w:p>
        </w:tc>
        <w:tc>
          <w:tcPr>
            <w:tcW w:w="0" w:type="dxa"/>
            <w:vAlign w:val="bottom"/>
          </w:tcPr>
          <w:p>
            <w:pPr>
              <w:spacing w:after="0"/>
              <w:rPr>
                <w:sz w:val="1"/>
                <w:szCs w:val="1"/>
                <w:color w:val="auto"/>
              </w:rPr>
            </w:pPr>
          </w:p>
        </w:tc>
      </w:tr>
      <w:tr>
        <w:trPr>
          <w:trHeight w:val="304"/>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DC202E"/>
            </w:tcBorders>
          </w:tcPr>
          <w:p>
            <w:pPr>
              <w:spacing w:after="0"/>
              <w:rPr>
                <w:sz w:val="24"/>
                <w:szCs w:val="24"/>
                <w:color w:val="auto"/>
              </w:rPr>
            </w:pPr>
          </w:p>
        </w:tc>
        <w:tc>
          <w:tcPr>
            <w:tcW w:w="80" w:type="dxa"/>
            <w:vAlign w:val="bottom"/>
            <w:tcBorders>
              <w:bottom w:val="single" w:sz="8" w:color="DC202E"/>
            </w:tcBorders>
          </w:tcPr>
          <w:p>
            <w:pPr>
              <w:spacing w:after="0"/>
              <w:rPr>
                <w:sz w:val="24"/>
                <w:szCs w:val="24"/>
                <w:color w:val="auto"/>
              </w:rPr>
            </w:pPr>
          </w:p>
        </w:tc>
        <w:tc>
          <w:tcPr>
            <w:tcW w:w="1400" w:type="dxa"/>
            <w:vAlign w:val="bottom"/>
            <w:tcBorders>
              <w:bottom w:val="single" w:sz="8" w:color="DC202E"/>
            </w:tcBorders>
            <w:gridSpan w:val="2"/>
          </w:tcPr>
          <w:p>
            <w:pPr>
              <w:jc w:val="right"/>
              <w:ind w:right="712"/>
              <w:spacing w:after="0"/>
              <w:rPr>
                <w:sz w:val="20"/>
                <w:szCs w:val="20"/>
                <w:color w:val="auto"/>
              </w:rPr>
            </w:pPr>
            <w:r>
              <w:rPr>
                <w:rFonts w:ascii="Arial" w:cs="Arial" w:eastAsia="Arial" w:hAnsi="Arial"/>
                <w:sz w:val="10"/>
                <w:szCs w:val="10"/>
                <w:b w:val="1"/>
                <w:bCs w:val="1"/>
                <w:color w:val="auto"/>
                <w:w w:val="96"/>
              </w:rPr>
              <w:t>2021 vs. 2020</w:t>
            </w:r>
          </w:p>
        </w:tc>
        <w:tc>
          <w:tcPr>
            <w:tcW w:w="220" w:type="dxa"/>
            <w:vAlign w:val="bottom"/>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500" w:type="dxa"/>
            <w:vAlign w:val="bottom"/>
            <w:tcBorders>
              <w:bottom w:val="single" w:sz="8" w:color="DC202E"/>
            </w:tcBorders>
          </w:tcPr>
          <w:p>
            <w:pPr>
              <w:spacing w:after="0"/>
              <w:rPr>
                <w:sz w:val="24"/>
                <w:szCs w:val="24"/>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6"/>
              </w:rPr>
              <w:t>2020 vs. 2019</w:t>
            </w:r>
          </w:p>
        </w:tc>
        <w:tc>
          <w:tcPr>
            <w:tcW w:w="78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32"/>
              <w:spacing w:after="0"/>
              <w:rPr>
                <w:sz w:val="20"/>
                <w:szCs w:val="20"/>
                <w:color w:val="auto"/>
              </w:rPr>
            </w:pPr>
            <w:r>
              <w:rPr>
                <w:rFonts w:ascii="Arial" w:cs="Arial" w:eastAsia="Arial" w:hAnsi="Arial"/>
                <w:sz w:val="10"/>
                <w:szCs w:val="10"/>
                <w:b w:val="1"/>
                <w:bCs w:val="1"/>
                <w:color w:val="auto"/>
              </w:rPr>
              <w:t>Net</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right"/>
              <w:ind w:right="312"/>
              <w:spacing w:after="0"/>
              <w:rPr>
                <w:sz w:val="20"/>
                <w:szCs w:val="20"/>
                <w:color w:val="auto"/>
              </w:rPr>
            </w:pPr>
            <w:r>
              <w:rPr>
                <w:rFonts w:ascii="Arial" w:cs="Arial" w:eastAsia="Arial" w:hAnsi="Arial"/>
                <w:sz w:val="10"/>
                <w:szCs w:val="10"/>
                <w:b w:val="1"/>
                <w:bCs w:val="1"/>
                <w:color w:val="auto"/>
              </w:rPr>
              <w:t>Segment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b w:val="1"/>
                <w:bCs w:val="1"/>
                <w:color w:val="auto"/>
              </w:rPr>
              <w:t>Net</w:t>
            </w:r>
          </w:p>
        </w:tc>
        <w:tc>
          <w:tcPr>
            <w:tcW w:w="640" w:type="dxa"/>
            <w:vAlign w:val="bottom"/>
          </w:tcPr>
          <w:p>
            <w:pPr>
              <w:spacing w:after="0"/>
              <w:rPr>
                <w:sz w:val="10"/>
                <w:szCs w:val="10"/>
                <w:color w:val="auto"/>
              </w:rPr>
            </w:pPr>
          </w:p>
        </w:tc>
        <w:tc>
          <w:tcPr>
            <w:tcW w:w="780" w:type="dxa"/>
            <w:vAlign w:val="bottom"/>
          </w:tcPr>
          <w:p>
            <w:pPr>
              <w:jc w:val="right"/>
              <w:ind w:right="312"/>
              <w:spacing w:after="0"/>
              <w:rPr>
                <w:sz w:val="20"/>
                <w:szCs w:val="20"/>
                <w:color w:val="auto"/>
              </w:rPr>
            </w:pPr>
            <w:r>
              <w:rPr>
                <w:rFonts w:ascii="Arial" w:cs="Arial" w:eastAsia="Arial" w:hAnsi="Arial"/>
                <w:sz w:val="10"/>
                <w:szCs w:val="10"/>
                <w:b w:val="1"/>
                <w:bCs w:val="1"/>
                <w:color w:val="auto"/>
                <w:w w:val="94"/>
              </w:rPr>
              <w:t>Segment</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DC202E"/>
            </w:tcBorders>
            <w:vMerge w:val="continue"/>
          </w:tcPr>
          <w:p>
            <w:pPr>
              <w:spacing w:after="0"/>
              <w:rPr>
                <w:sz w:val="10"/>
                <w:szCs w:val="10"/>
                <w:color w:val="auto"/>
              </w:rPr>
            </w:pPr>
          </w:p>
        </w:tc>
        <w:tc>
          <w:tcPr>
            <w:tcW w:w="21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Sales</w:t>
            </w:r>
          </w:p>
        </w:tc>
        <w:tc>
          <w:tcPr>
            <w:tcW w:w="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4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Organic</w:t>
            </w:r>
            <w:r>
              <w:rPr>
                <w:rFonts w:ascii="Arial" w:cs="Arial" w:eastAsia="Arial" w:hAnsi="Arial"/>
                <w:sz w:val="6"/>
                <w:szCs w:val="6"/>
                <w:color w:val="auto"/>
              </w:rPr>
              <w:t>(1)</w:t>
            </w:r>
          </w:p>
        </w:tc>
        <w:tc>
          <w:tcPr>
            <w:tcW w:w="2180" w:type="dxa"/>
            <w:vAlign w:val="bottom"/>
            <w:tcBorders>
              <w:bottom w:val="single" w:sz="8" w:color="939598"/>
            </w:tcBorders>
          </w:tcPr>
          <w:p>
            <w:pPr>
              <w:spacing w:after="0"/>
              <w:rPr>
                <w:sz w:val="10"/>
                <w:szCs w:val="10"/>
                <w:color w:val="auto"/>
              </w:rPr>
            </w:pPr>
          </w:p>
        </w:tc>
        <w:tc>
          <w:tcPr>
            <w:tcW w:w="16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c>
          <w:tcPr>
            <w:tcW w:w="8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(5)%</w:t>
            </w: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w w:val="97"/>
              </w:rPr>
              <w:t>(18)%</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939598"/>
            </w:tcBorders>
          </w:tcPr>
          <w:p>
            <w:pPr>
              <w:spacing w:after="0"/>
              <w:rPr>
                <w:sz w:val="10"/>
                <w:szCs w:val="10"/>
                <w:color w:val="auto"/>
              </w:rPr>
            </w:pPr>
          </w:p>
        </w:tc>
        <w:tc>
          <w:tcPr>
            <w:tcW w:w="16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c>
          <w:tcPr>
            <w:tcW w:w="8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1 %</w:t>
            </w: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 %</w:t>
            </w: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c>
          <w:tcPr>
            <w:tcW w:w="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 %</w:t>
            </w:r>
          </w:p>
        </w:tc>
        <w:tc>
          <w:tcPr>
            <w:tcW w:w="10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1 %</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 %</w:t>
            </w:r>
          </w:p>
        </w:tc>
        <w:tc>
          <w:tcPr>
            <w:tcW w:w="7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c>
          <w:tcPr>
            <w:tcW w:w="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(4)%</w:t>
            </w:r>
          </w:p>
        </w:tc>
        <w:tc>
          <w:tcPr>
            <w:tcW w:w="10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5 %</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w w:val="97"/>
              </w:rPr>
              <w:t>(18)%</w:t>
            </w:r>
          </w:p>
        </w:tc>
        <w:tc>
          <w:tcPr>
            <w:tcW w:w="7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(19)%</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 w:hanging="8"/>
        <w:spacing w:after="0" w:line="218" w:lineRule="auto"/>
        <w:tabs>
          <w:tab w:leader="none" w:pos="101" w:val="left"/>
        </w:tabs>
        <w:numPr>
          <w:ilvl w:val="0"/>
          <w:numId w:val="49"/>
        </w:numPr>
        <w:rPr>
          <w:rFonts w:ascii="Arial" w:cs="Arial" w:eastAsia="Arial" w:hAnsi="Arial"/>
          <w:sz w:val="11"/>
          <w:szCs w:val="11"/>
          <w:color w:val="auto"/>
          <w:vertAlign w:val="superscript"/>
        </w:rPr>
      </w:pPr>
      <w:r>
        <w:rPr>
          <w:rFonts w:ascii="Arial" w:cs="Arial" w:eastAsia="Arial" w:hAnsi="Arial"/>
          <w:sz w:val="8"/>
          <w:szCs w:val="8"/>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Sales decreased due to lower demand from our commercial OEMs, and domestic and international defense, partially offset by higher demand for our aftermarket products and services, and favorable pricing.</w:t>
      </w:r>
    </w:p>
    <w:p>
      <w:pPr>
        <w:spacing w:after="0" w:line="72" w:lineRule="exact"/>
        <w:rPr>
          <w:sz w:val="20"/>
          <w:szCs w:val="20"/>
          <w:color w:val="auto"/>
        </w:rPr>
      </w:pPr>
    </w:p>
    <w:p>
      <w:pPr>
        <w:ind w:left="128" w:hanging="128"/>
        <w:spacing w:after="0"/>
        <w:tabs>
          <w:tab w:leader="none" w:pos="128" w:val="left"/>
        </w:tabs>
        <w:numPr>
          <w:ilvl w:val="0"/>
          <w:numId w:val="50"/>
        </w:numPr>
        <w:rPr>
          <w:rFonts w:ascii="Arial" w:cs="Arial" w:eastAsia="Arial" w:hAnsi="Arial"/>
          <w:sz w:val="11"/>
          <w:szCs w:val="11"/>
          <w:b w:val="1"/>
          <w:bCs w:val="1"/>
          <w:color w:val="D7282F"/>
        </w:rPr>
      </w:pPr>
      <w:r>
        <w:rPr>
          <w:rFonts w:ascii="Arial" w:cs="Arial" w:eastAsia="Arial" w:hAnsi="Arial"/>
          <w:sz w:val="11"/>
          <w:szCs w:val="11"/>
          <w:color w:val="auto"/>
        </w:rPr>
        <w:t>Commercial Aviation Original Equipment sales decreased 11% (decreased 12% organic) due to lower demand in air transport and regional and business aviation.</w:t>
      </w:r>
    </w:p>
    <w:p>
      <w:pPr>
        <w:spacing w:after="0" w:line="44" w:lineRule="exact"/>
        <w:rPr>
          <w:rFonts w:ascii="Arial" w:cs="Arial" w:eastAsia="Arial" w:hAnsi="Arial"/>
          <w:sz w:val="11"/>
          <w:szCs w:val="11"/>
          <w:b w:val="1"/>
          <w:bCs w:val="1"/>
          <w:color w:val="D7282F"/>
        </w:rPr>
      </w:pPr>
    </w:p>
    <w:p>
      <w:pPr>
        <w:ind w:left="128" w:hanging="128"/>
        <w:spacing w:after="0"/>
        <w:tabs>
          <w:tab w:leader="none" w:pos="128" w:val="left"/>
        </w:tabs>
        <w:numPr>
          <w:ilvl w:val="0"/>
          <w:numId w:val="50"/>
        </w:numPr>
        <w:rPr>
          <w:rFonts w:ascii="Arial" w:cs="Arial" w:eastAsia="Arial" w:hAnsi="Arial"/>
          <w:sz w:val="11"/>
          <w:szCs w:val="11"/>
          <w:b w:val="1"/>
          <w:bCs w:val="1"/>
          <w:color w:val="D7282F"/>
        </w:rPr>
      </w:pPr>
      <w:r>
        <w:rPr>
          <w:rFonts w:ascii="Arial" w:cs="Arial" w:eastAsia="Arial" w:hAnsi="Arial"/>
          <w:sz w:val="11"/>
          <w:szCs w:val="11"/>
          <w:color w:val="auto"/>
        </w:rPr>
        <w:t>Commercial Aviation Aftermarket sales increased 9% (increased 9% organic) due to higher demand in business aviation.</w:t>
      </w:r>
    </w:p>
    <w:p>
      <w:pPr>
        <w:spacing w:after="0" w:line="53" w:lineRule="exact"/>
        <w:rPr>
          <w:rFonts w:ascii="Arial" w:cs="Arial" w:eastAsia="Arial" w:hAnsi="Arial"/>
          <w:sz w:val="11"/>
          <w:szCs w:val="11"/>
          <w:b w:val="1"/>
          <w:bCs w:val="1"/>
          <w:color w:val="D7282F"/>
        </w:rPr>
      </w:pPr>
    </w:p>
    <w:p>
      <w:pPr>
        <w:ind w:left="128" w:hanging="128"/>
        <w:spacing w:after="0"/>
        <w:tabs>
          <w:tab w:leader="none" w:pos="128" w:val="left"/>
        </w:tabs>
        <w:numPr>
          <w:ilvl w:val="0"/>
          <w:numId w:val="50"/>
        </w:numPr>
        <w:rPr>
          <w:rFonts w:ascii="Arial" w:cs="Arial" w:eastAsia="Arial" w:hAnsi="Arial"/>
          <w:sz w:val="11"/>
          <w:szCs w:val="11"/>
          <w:b w:val="1"/>
          <w:bCs w:val="1"/>
          <w:color w:val="D7282F"/>
        </w:rPr>
      </w:pPr>
      <w:r>
        <w:rPr>
          <w:rFonts w:ascii="Arial" w:cs="Arial" w:eastAsia="Arial" w:hAnsi="Arial"/>
          <w:sz w:val="11"/>
          <w:szCs w:val="11"/>
          <w:color w:val="auto"/>
        </w:rPr>
        <w:t>Defense and Space sales decreased 11% (decreased 12% organic) driven by lower demand in U.S. and international defense and supply chain constraints.</w:t>
      </w:r>
    </w:p>
    <w:p>
      <w:pPr>
        <w:spacing w:after="0" w:line="257" w:lineRule="exact"/>
        <w:rPr>
          <w:sz w:val="20"/>
          <w:szCs w:val="20"/>
          <w:color w:val="auto"/>
        </w:rPr>
      </w:pPr>
    </w:p>
    <w:p>
      <w:pPr>
        <w:ind w:left="468" w:hanging="468"/>
        <w:spacing w:after="0"/>
        <w:tabs>
          <w:tab w:leader="none" w:pos="468" w:val="left"/>
        </w:tabs>
        <w:numPr>
          <w:ilvl w:val="0"/>
          <w:numId w:val="5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26" w:name="page27"/>
    <w:bookmarkEnd w:id="26"/>
    <w:p>
      <w:pPr>
        <w:ind w:left="8"/>
        <w:spacing w:after="0"/>
        <w:rPr>
          <w:sz w:val="20"/>
          <w:szCs w:val="20"/>
          <w:color w:val="auto"/>
        </w:rPr>
      </w:pPr>
      <w:r>
        <w:rPr>
          <w:rFonts w:ascii="Arial" w:cs="Arial" w:eastAsia="Arial" w:hAnsi="Arial"/>
          <w:sz w:val="11"/>
          <w:szCs w:val="11"/>
          <w:color w:val="auto"/>
        </w:rPr>
        <w:t>Cost of products and services sold decreased due to lower sales volumes and higher productivity.</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due to favorable pricing, higher productivity, and higher sales volume of higher margin products and services, partially offset by overall lower sales volume.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9"/>
          <w:szCs w:val="19"/>
          <w:color w:val="D7282F"/>
        </w:rPr>
        <w:t>HONEYWELL BUILDING TECHNOLOGIES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52070</wp:posOffset>
            </wp:positionV>
            <wp:extent cx="2000250" cy="1714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00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center"/>
              <w:ind w:left="3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ind w:right="27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jc w:val="center"/>
              <w:ind w:left="332"/>
              <w:spacing w:after="0" w:line="90" w:lineRule="exact"/>
              <w:rPr>
                <w:sz w:val="20"/>
                <w:szCs w:val="20"/>
                <w:color w:val="auto"/>
              </w:rPr>
            </w:pPr>
            <w:r>
              <w:rPr>
                <w:rFonts w:ascii="Arial" w:cs="Arial" w:eastAsia="Arial" w:hAnsi="Arial"/>
                <w:sz w:val="10"/>
                <w:szCs w:val="10"/>
                <w:b w:val="1"/>
                <w:bCs w:val="1"/>
                <w:color w:val="auto"/>
                <w:w w:val="98"/>
              </w:rPr>
              <w:t>2021</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jc w:val="center"/>
              <w:ind w:right="252"/>
              <w:spacing w:after="0" w:line="90" w:lineRule="exact"/>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40" w:type="dxa"/>
            <w:vAlign w:val="bottom"/>
            <w:gridSpan w:val="2"/>
            <w:vMerge w:val="restart"/>
          </w:tcPr>
          <w:p>
            <w:pPr>
              <w:jc w:val="right"/>
              <w:ind w:right="532"/>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7"/>
                <w:szCs w:val="7"/>
                <w:color w:val="auto"/>
              </w:rPr>
            </w:pPr>
          </w:p>
        </w:tc>
        <w:tc>
          <w:tcPr>
            <w:tcW w:w="620" w:type="dxa"/>
            <w:vAlign w:val="bottom"/>
            <w:vMerge w:val="restart"/>
          </w:tcPr>
          <w:p>
            <w:pPr>
              <w:jc w:val="right"/>
              <w:ind w:right="292"/>
              <w:spacing w:after="0"/>
              <w:rPr>
                <w:sz w:val="20"/>
                <w:szCs w:val="20"/>
                <w:color w:val="auto"/>
              </w:rPr>
            </w:pPr>
            <w:r>
              <w:rPr>
                <w:rFonts w:ascii="Arial" w:cs="Arial" w:eastAsia="Arial" w:hAnsi="Arial"/>
                <w:sz w:val="10"/>
                <w:szCs w:val="10"/>
                <w:b w:val="1"/>
                <w:bCs w:val="1"/>
                <w:color w:val="auto"/>
              </w:rPr>
              <w:t>2020</w:t>
            </w:r>
          </w:p>
        </w:tc>
        <w:tc>
          <w:tcPr>
            <w:tcW w:w="760" w:type="dxa"/>
            <w:vAlign w:val="bottom"/>
          </w:tcPr>
          <w:p>
            <w:pPr>
              <w:jc w:val="center"/>
              <w:ind w:left="332"/>
              <w:spacing w:after="0" w:line="90"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2019</w:t>
            </w:r>
          </w:p>
        </w:tc>
        <w:tc>
          <w:tcPr>
            <w:tcW w:w="660" w:type="dxa"/>
            <w:vAlign w:val="bottom"/>
          </w:tcPr>
          <w:p>
            <w:pPr>
              <w:spacing w:after="0"/>
              <w:rPr>
                <w:sz w:val="7"/>
                <w:szCs w:val="7"/>
                <w:color w:val="auto"/>
              </w:rPr>
            </w:pPr>
          </w:p>
        </w:tc>
        <w:tc>
          <w:tcPr>
            <w:tcW w:w="760" w:type="dxa"/>
            <w:vAlign w:val="bottom"/>
          </w:tcPr>
          <w:p>
            <w:pPr>
              <w:jc w:val="center"/>
              <w:ind w:right="252"/>
              <w:spacing w:after="0" w:line="90"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DC202E"/>
            </w:tcBorders>
          </w:tcPr>
          <w:p>
            <w:pPr>
              <w:spacing w:after="0"/>
              <w:rPr>
                <w:sz w:val="10"/>
                <w:szCs w:val="10"/>
                <w:color w:val="auto"/>
              </w:rPr>
            </w:pPr>
          </w:p>
        </w:tc>
        <w:tc>
          <w:tcPr>
            <w:tcW w:w="218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vMerge w:val="continue"/>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vMerge w:val="continue"/>
          </w:tcPr>
          <w:p>
            <w:pPr>
              <w:spacing w:after="0"/>
              <w:rPr>
                <w:sz w:val="10"/>
                <w:szCs w:val="10"/>
                <w:color w:val="auto"/>
              </w:rPr>
            </w:pPr>
          </w:p>
        </w:tc>
        <w:tc>
          <w:tcPr>
            <w:tcW w:w="760" w:type="dxa"/>
            <w:vAlign w:val="bottom"/>
            <w:tcBorders>
              <w:bottom w:val="single" w:sz="8" w:color="DC202E"/>
            </w:tcBorders>
          </w:tcPr>
          <w:p>
            <w:pPr>
              <w:jc w:val="center"/>
              <w:ind w:left="332"/>
              <w:spacing w:after="0"/>
              <w:rPr>
                <w:sz w:val="20"/>
                <w:szCs w:val="20"/>
                <w:color w:val="auto"/>
              </w:rPr>
            </w:pPr>
            <w:r>
              <w:rPr>
                <w:rFonts w:ascii="Arial" w:cs="Arial" w:eastAsia="Arial" w:hAnsi="Arial"/>
                <w:sz w:val="10"/>
                <w:szCs w:val="10"/>
                <w:b w:val="1"/>
                <w:bCs w:val="1"/>
                <w:color w:val="auto"/>
                <w:w w:val="98"/>
              </w:rPr>
              <w:t>2020</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vMerge w:val="continue"/>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center"/>
              <w:ind w:right="252"/>
              <w:spacing w:after="0"/>
              <w:rPr>
                <w:sz w:val="20"/>
                <w:szCs w:val="20"/>
                <w:color w:val="auto"/>
              </w:rPr>
            </w:pPr>
            <w:r>
              <w:rPr>
                <w:rFonts w:ascii="Arial" w:cs="Arial" w:eastAsia="Arial" w:hAnsi="Arial"/>
                <w:sz w:val="10"/>
                <w:szCs w:val="10"/>
                <w:b w:val="1"/>
                <w:bCs w:val="1"/>
                <w:color w:val="auto"/>
                <w:w w:val="98"/>
              </w:rPr>
              <w:t>2019</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5,539</w:t>
            </w:r>
          </w:p>
        </w:tc>
        <w:tc>
          <w:tcPr>
            <w:tcW w:w="1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5,189</w:t>
            </w:r>
          </w:p>
        </w:tc>
        <w:tc>
          <w:tcPr>
            <w:tcW w:w="76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gridSpan w:val="2"/>
          </w:tcPr>
          <w:p>
            <w:pPr>
              <w:jc w:val="right"/>
              <w:ind w:right="120"/>
              <w:spacing w:after="0"/>
              <w:rPr>
                <w:sz w:val="20"/>
                <w:szCs w:val="20"/>
                <w:color w:val="auto"/>
              </w:rPr>
            </w:pPr>
            <w:r>
              <w:rPr>
                <w:rFonts w:ascii="Arial" w:cs="Arial" w:eastAsia="Arial" w:hAnsi="Arial"/>
                <w:sz w:val="10"/>
                <w:szCs w:val="10"/>
                <w:color w:val="auto"/>
              </w:rPr>
              <w:t>7 %</w:t>
            </w:r>
          </w:p>
        </w:tc>
        <w:tc>
          <w:tcPr>
            <w:tcW w:w="50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ind w:left="60"/>
              <w:spacing w:after="0"/>
              <w:rPr>
                <w:sz w:val="20"/>
                <w:szCs w:val="20"/>
                <w:color w:val="auto"/>
              </w:rPr>
            </w:pPr>
            <w:r>
              <w:rPr>
                <w:rFonts w:ascii="Arial" w:cs="Arial" w:eastAsia="Arial" w:hAnsi="Arial"/>
                <w:sz w:val="10"/>
                <w:szCs w:val="10"/>
                <w:color w:val="auto"/>
              </w:rPr>
              <w:t>5,717</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3,242</w:t>
            </w: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3,067</w:t>
            </w: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ind w:left="60"/>
              <w:spacing w:after="0"/>
              <w:rPr>
                <w:sz w:val="20"/>
                <w:szCs w:val="20"/>
                <w:color w:val="auto"/>
              </w:rPr>
            </w:pPr>
            <w:r>
              <w:rPr>
                <w:rFonts w:ascii="Arial" w:cs="Arial" w:eastAsia="Arial" w:hAnsi="Arial"/>
                <w:sz w:val="10"/>
                <w:szCs w:val="10"/>
                <w:color w:val="auto"/>
              </w:rPr>
              <w:t>3,444</w:t>
            </w:r>
          </w:p>
        </w:tc>
        <w:tc>
          <w:tcPr>
            <w:tcW w:w="7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color w:val="auto"/>
              </w:rPr>
              <w:t>1,059</w:t>
            </w: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1,023</w:t>
            </w: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ind w:left="60"/>
              <w:spacing w:after="0"/>
              <w:rPr>
                <w:sz w:val="20"/>
                <w:szCs w:val="20"/>
                <w:color w:val="auto"/>
              </w:rPr>
            </w:pPr>
            <w:r>
              <w:rPr>
                <w:rFonts w:ascii="Arial" w:cs="Arial" w:eastAsia="Arial" w:hAnsi="Arial"/>
                <w:sz w:val="10"/>
                <w:szCs w:val="10"/>
                <w:color w:val="auto"/>
              </w:rPr>
              <w:t>1,108</w:t>
            </w:r>
          </w:p>
        </w:tc>
        <w:tc>
          <w:tcPr>
            <w:tcW w:w="76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b w:val="1"/>
                <w:bCs w:val="1"/>
                <w:color w:val="auto"/>
              </w:rPr>
              <w:t>1,238</w:t>
            </w:r>
          </w:p>
        </w:tc>
        <w:tc>
          <w:tcPr>
            <w:tcW w:w="1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1,099</w:t>
            </w:r>
          </w:p>
        </w:tc>
        <w:tc>
          <w:tcPr>
            <w:tcW w:w="76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gridSpan w:val="2"/>
          </w:tcPr>
          <w:p>
            <w:pPr>
              <w:jc w:val="right"/>
              <w:ind w:right="120"/>
              <w:spacing w:after="0"/>
              <w:rPr>
                <w:sz w:val="20"/>
                <w:szCs w:val="20"/>
                <w:color w:val="auto"/>
              </w:rPr>
            </w:pPr>
            <w:r>
              <w:rPr>
                <w:rFonts w:ascii="Arial" w:cs="Arial" w:eastAsia="Arial" w:hAnsi="Arial"/>
                <w:sz w:val="10"/>
                <w:szCs w:val="10"/>
                <w:b w:val="1"/>
                <w:bCs w:val="1"/>
                <w:color w:val="auto"/>
              </w:rPr>
              <w:t>13 %</w:t>
            </w:r>
          </w:p>
        </w:tc>
        <w:tc>
          <w:tcPr>
            <w:tcW w:w="50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ind w:left="60"/>
              <w:spacing w:after="0"/>
              <w:rPr>
                <w:sz w:val="20"/>
                <w:szCs w:val="20"/>
                <w:color w:val="auto"/>
              </w:rPr>
            </w:pPr>
            <w:r>
              <w:rPr>
                <w:rFonts w:ascii="Arial" w:cs="Arial" w:eastAsia="Arial" w:hAnsi="Arial"/>
                <w:sz w:val="10"/>
                <w:szCs w:val="10"/>
                <w:b w:val="1"/>
                <w:bCs w:val="1"/>
                <w:color w:val="auto"/>
              </w:rPr>
              <w:t>1,165</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r>
        <w:trPr>
          <w:trHeight w:val="349"/>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3"/>
              </w:rPr>
              <w:t>2021 vs. 2020</w:t>
            </w:r>
          </w:p>
        </w:tc>
        <w:tc>
          <w:tcPr>
            <w:tcW w:w="760" w:type="dxa"/>
            <w:vAlign w:val="bottom"/>
            <w:tcBorders>
              <w:bottom w:val="single" w:sz="8" w:color="DC202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500" w:type="dxa"/>
            <w:vAlign w:val="bottom"/>
            <w:tcBorders>
              <w:bottom w:val="single" w:sz="8" w:color="DC202E"/>
            </w:tcBorders>
          </w:tcPr>
          <w:p>
            <w:pPr>
              <w:spacing w:after="0"/>
              <w:rPr>
                <w:sz w:val="24"/>
                <w:szCs w:val="24"/>
                <w:color w:val="auto"/>
              </w:rPr>
            </w:pPr>
          </w:p>
        </w:tc>
        <w:tc>
          <w:tcPr>
            <w:tcW w:w="660" w:type="dxa"/>
            <w:vAlign w:val="bottom"/>
            <w:tcBorders>
              <w:bottom w:val="single" w:sz="8" w:color="DC202E"/>
            </w:tcBorders>
          </w:tcPr>
          <w:p>
            <w:pPr>
              <w:ind w:left="40"/>
              <w:spacing w:after="0"/>
              <w:rPr>
                <w:sz w:val="20"/>
                <w:szCs w:val="20"/>
                <w:color w:val="auto"/>
              </w:rPr>
            </w:pPr>
            <w:r>
              <w:rPr>
                <w:rFonts w:ascii="Arial" w:cs="Arial" w:eastAsia="Arial" w:hAnsi="Arial"/>
                <w:sz w:val="10"/>
                <w:szCs w:val="10"/>
                <w:b w:val="1"/>
                <w:bCs w:val="1"/>
                <w:color w:val="auto"/>
                <w:w w:val="93"/>
              </w:rPr>
              <w:t>2020 vs. 2019</w:t>
            </w:r>
          </w:p>
        </w:tc>
        <w:tc>
          <w:tcPr>
            <w:tcW w:w="76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12"/>
              <w:spacing w:after="0"/>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right"/>
              <w:ind w:right="292"/>
              <w:spacing w:after="0"/>
              <w:rPr>
                <w:sz w:val="20"/>
                <w:szCs w:val="20"/>
                <w:color w:val="auto"/>
              </w:rPr>
            </w:pPr>
            <w:r>
              <w:rPr>
                <w:rFonts w:ascii="Arial" w:cs="Arial" w:eastAsia="Arial" w:hAnsi="Arial"/>
                <w:sz w:val="10"/>
                <w:szCs w:val="10"/>
                <w:b w:val="1"/>
                <w:bCs w:val="1"/>
                <w:color w:val="auto"/>
                <w:w w:val="94"/>
              </w:rPr>
              <w:t>Segment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b w:val="1"/>
                <w:bCs w:val="1"/>
                <w:color w:val="auto"/>
              </w:rPr>
              <w:t>Net</w:t>
            </w:r>
          </w:p>
        </w:tc>
        <w:tc>
          <w:tcPr>
            <w:tcW w:w="660" w:type="dxa"/>
            <w:vAlign w:val="bottom"/>
          </w:tcPr>
          <w:p>
            <w:pPr>
              <w:spacing w:after="0"/>
              <w:rPr>
                <w:sz w:val="10"/>
                <w:szCs w:val="10"/>
                <w:color w:val="auto"/>
              </w:rPr>
            </w:pPr>
          </w:p>
        </w:tc>
        <w:tc>
          <w:tcPr>
            <w:tcW w:w="760" w:type="dxa"/>
            <w:vAlign w:val="bottom"/>
          </w:tcPr>
          <w:p>
            <w:pPr>
              <w:jc w:val="right"/>
              <w:ind w:right="312"/>
              <w:spacing w:after="0"/>
              <w:rPr>
                <w:sz w:val="20"/>
                <w:szCs w:val="20"/>
                <w:color w:val="auto"/>
              </w:rPr>
            </w:pPr>
            <w:r>
              <w:rPr>
                <w:rFonts w:ascii="Arial" w:cs="Arial" w:eastAsia="Arial" w:hAnsi="Arial"/>
                <w:sz w:val="10"/>
                <w:szCs w:val="10"/>
                <w:b w:val="1"/>
                <w:bCs w:val="1"/>
                <w:color w:val="auto"/>
                <w:w w:val="89"/>
              </w:rPr>
              <w:t>Segment</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DC202E"/>
            </w:tcBorders>
            <w:vMerge w:val="continue"/>
          </w:tcPr>
          <w:p>
            <w:pPr>
              <w:spacing w:after="0"/>
              <w:rPr>
                <w:sz w:val="10"/>
                <w:szCs w:val="10"/>
                <w:color w:val="auto"/>
              </w:rPr>
            </w:pP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Sales</w:t>
            </w: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Organic</w:t>
            </w:r>
          </w:p>
        </w:tc>
        <w:tc>
          <w:tcPr>
            <w:tcW w:w="21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4 %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(9)%</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3 %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7 %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13 %</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ind w:left="80"/>
              <w:spacing w:after="0"/>
              <w:rPr>
                <w:sz w:val="20"/>
                <w:szCs w:val="20"/>
                <w:color w:val="auto"/>
              </w:rPr>
            </w:pPr>
            <w:r>
              <w:rPr>
                <w:rFonts w:ascii="Arial" w:cs="Arial" w:eastAsia="Arial" w:hAnsi="Arial"/>
                <w:sz w:val="10"/>
                <w:szCs w:val="10"/>
                <w:b w:val="1"/>
                <w:bCs w:val="1"/>
                <w:color w:val="auto"/>
              </w:rPr>
              <w:t>(9)%</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Sales increased primarily due to the favorable impact of foreign currency translation and favorable pricing.</w:t>
      </w:r>
    </w:p>
    <w:p>
      <w:pPr>
        <w:spacing w:after="0" w:line="72" w:lineRule="exact"/>
        <w:rPr>
          <w:sz w:val="20"/>
          <w:szCs w:val="20"/>
          <w:color w:val="auto"/>
        </w:rPr>
      </w:pPr>
    </w:p>
    <w:p>
      <w:pPr>
        <w:ind w:left="128" w:hanging="128"/>
        <w:spacing w:after="0"/>
        <w:tabs>
          <w:tab w:leader="none" w:pos="128" w:val="left"/>
        </w:tabs>
        <w:numPr>
          <w:ilvl w:val="0"/>
          <w:numId w:val="52"/>
        </w:numPr>
        <w:rPr>
          <w:rFonts w:ascii="Arial" w:cs="Arial" w:eastAsia="Arial" w:hAnsi="Arial"/>
          <w:sz w:val="11"/>
          <w:szCs w:val="11"/>
          <w:b w:val="1"/>
          <w:bCs w:val="1"/>
          <w:color w:val="D7282F"/>
        </w:rPr>
      </w:pPr>
      <w:r>
        <w:rPr>
          <w:rFonts w:ascii="Arial" w:cs="Arial" w:eastAsia="Arial" w:hAnsi="Arial"/>
          <w:sz w:val="11"/>
          <w:szCs w:val="11"/>
          <w:color w:val="auto"/>
        </w:rPr>
        <w:t>Sales in Products increased 9% (increased 6% organic) due to higher demand for certain of our product offerings, and the favorable impact of foreign currency translation.</w:t>
      </w:r>
    </w:p>
    <w:p>
      <w:pPr>
        <w:spacing w:after="0" w:line="53" w:lineRule="exact"/>
        <w:rPr>
          <w:rFonts w:ascii="Arial" w:cs="Arial" w:eastAsia="Arial" w:hAnsi="Arial"/>
          <w:sz w:val="11"/>
          <w:szCs w:val="11"/>
          <w:b w:val="1"/>
          <w:bCs w:val="1"/>
          <w:color w:val="D7282F"/>
        </w:rPr>
      </w:pPr>
    </w:p>
    <w:p>
      <w:pPr>
        <w:ind w:left="128" w:hanging="128"/>
        <w:spacing w:after="0"/>
        <w:tabs>
          <w:tab w:leader="none" w:pos="128" w:val="left"/>
        </w:tabs>
        <w:numPr>
          <w:ilvl w:val="0"/>
          <w:numId w:val="52"/>
        </w:numPr>
        <w:rPr>
          <w:rFonts w:ascii="Arial" w:cs="Arial" w:eastAsia="Arial" w:hAnsi="Arial"/>
          <w:sz w:val="11"/>
          <w:szCs w:val="11"/>
          <w:b w:val="1"/>
          <w:bCs w:val="1"/>
          <w:color w:val="D7282F"/>
        </w:rPr>
      </w:pPr>
      <w:r>
        <w:rPr>
          <w:rFonts w:ascii="Arial" w:cs="Arial" w:eastAsia="Arial" w:hAnsi="Arial"/>
          <w:sz w:val="11"/>
          <w:szCs w:val="11"/>
          <w:color w:val="auto"/>
        </w:rPr>
        <w:t>Sales in Building Solutions increased 4% (flat on an organic basis) due to higher demand for our services businesses, and the favorable impact of foreign currency translation.</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Cost of products and services sold increased primarily due to the rising cost of materials and the unfavorable impact of foreign currency translation, partially offset by higher productivity.</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primarily due to higher productivity, higher demand for certain products and services, favorable pricing, and the favorable impact of foreign currency translation, partially offset by the rising cost of materials.</w:t>
      </w: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25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33" w:right="299" w:bottom="1440" w:gutter="0" w:footer="0" w:header="0"/>
        </w:sectPr>
      </w:pPr>
    </w:p>
    <w:bookmarkStart w:id="27" w:name="page28"/>
    <w:bookmarkEnd w:id="27"/>
    <w:p>
      <w:pPr>
        <w:ind w:left="8"/>
        <w:spacing w:after="0"/>
        <w:rPr>
          <w:sz w:val="20"/>
          <w:szCs w:val="20"/>
          <w:color w:val="auto"/>
        </w:rPr>
      </w:pP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PERFORMANCE MATERIALS AND TECHNOLOGIES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52070</wp:posOffset>
            </wp:positionV>
            <wp:extent cx="2286000" cy="1714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2860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center"/>
              <w:ind w:left="3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ind w:right="27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center"/>
              <w:ind w:left="332"/>
              <w:spacing w:after="0" w:line="108" w:lineRule="exact"/>
              <w:rPr>
                <w:sz w:val="20"/>
                <w:szCs w:val="20"/>
                <w:color w:val="auto"/>
              </w:rPr>
            </w:pPr>
            <w:r>
              <w:rPr>
                <w:rFonts w:ascii="Arial" w:cs="Arial" w:eastAsia="Arial" w:hAnsi="Arial"/>
                <w:sz w:val="10"/>
                <w:szCs w:val="10"/>
                <w:b w:val="1"/>
                <w:bCs w:val="1"/>
                <w:color w:val="auto"/>
                <w:w w:val="98"/>
              </w:rPr>
              <w:t>2021</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252"/>
              <w:spacing w:after="0" w:line="108" w:lineRule="exact"/>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center"/>
              <w:ind w:left="332"/>
              <w:spacing w:after="0" w:line="108"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252"/>
              <w:spacing w:after="0" w:line="108"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35"/>
        </w:trPr>
        <w:tc>
          <w:tcPr>
            <w:tcW w:w="4420" w:type="dxa"/>
            <w:vAlign w:val="bottom"/>
            <w:tcBorders>
              <w:bottom w:val="single" w:sz="8" w:color="DC202E"/>
            </w:tcBorders>
          </w:tcPr>
          <w:p>
            <w:pPr>
              <w:spacing w:after="0"/>
              <w:rPr>
                <w:sz w:val="11"/>
                <w:szCs w:val="11"/>
                <w:color w:val="auto"/>
              </w:rPr>
            </w:pPr>
          </w:p>
        </w:tc>
        <w:tc>
          <w:tcPr>
            <w:tcW w:w="2180" w:type="dxa"/>
            <w:vAlign w:val="bottom"/>
            <w:tcBorders>
              <w:bottom w:val="single" w:sz="8" w:color="DC202E"/>
            </w:tcBorders>
          </w:tcPr>
          <w:p>
            <w:pPr>
              <w:spacing w:after="0"/>
              <w:rPr>
                <w:sz w:val="11"/>
                <w:szCs w:val="11"/>
                <w:color w:val="auto"/>
              </w:rPr>
            </w:pPr>
          </w:p>
        </w:tc>
        <w:tc>
          <w:tcPr>
            <w:tcW w:w="840" w:type="dxa"/>
            <w:vAlign w:val="bottom"/>
            <w:tcBorders>
              <w:bottom w:val="single" w:sz="8" w:color="DC202E"/>
            </w:tcBorders>
            <w:gridSpan w:val="2"/>
          </w:tcPr>
          <w:p>
            <w:pPr>
              <w:jc w:val="right"/>
              <w:ind w:right="53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DC202E"/>
            </w:tcBorders>
          </w:tcPr>
          <w:p>
            <w:pPr>
              <w:spacing w:after="0"/>
              <w:rPr>
                <w:sz w:val="11"/>
                <w:szCs w:val="11"/>
                <w:color w:val="auto"/>
              </w:rPr>
            </w:pP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2020</w:t>
            </w:r>
          </w:p>
        </w:tc>
        <w:tc>
          <w:tcPr>
            <w:tcW w:w="760" w:type="dxa"/>
            <w:vAlign w:val="bottom"/>
            <w:tcBorders>
              <w:bottom w:val="single" w:sz="8" w:color="DC202E"/>
            </w:tcBorders>
          </w:tcPr>
          <w:p>
            <w:pPr>
              <w:jc w:val="center"/>
              <w:ind w:left="332"/>
              <w:spacing w:after="0"/>
              <w:rPr>
                <w:sz w:val="20"/>
                <w:szCs w:val="20"/>
                <w:color w:val="auto"/>
              </w:rPr>
            </w:pPr>
            <w:r>
              <w:rPr>
                <w:rFonts w:ascii="Arial" w:cs="Arial" w:eastAsia="Arial" w:hAnsi="Arial"/>
                <w:sz w:val="10"/>
                <w:szCs w:val="10"/>
                <w:b w:val="1"/>
                <w:bCs w:val="1"/>
                <w:color w:val="auto"/>
                <w:w w:val="98"/>
              </w:rPr>
              <w:t>2020</w:t>
            </w:r>
          </w:p>
        </w:tc>
        <w:tc>
          <w:tcPr>
            <w:tcW w:w="220" w:type="dxa"/>
            <w:vAlign w:val="bottom"/>
            <w:tcBorders>
              <w:bottom w:val="single" w:sz="8" w:color="DC202E"/>
            </w:tcBorders>
          </w:tcPr>
          <w:p>
            <w:pPr>
              <w:spacing w:after="0"/>
              <w:rPr>
                <w:sz w:val="11"/>
                <w:szCs w:val="11"/>
                <w:color w:val="auto"/>
              </w:rPr>
            </w:pPr>
          </w:p>
        </w:tc>
        <w:tc>
          <w:tcPr>
            <w:tcW w:w="240" w:type="dxa"/>
            <w:vAlign w:val="bottom"/>
            <w:tcBorders>
              <w:bottom w:val="single" w:sz="8" w:color="DC202E"/>
            </w:tcBorders>
          </w:tcPr>
          <w:p>
            <w:pPr>
              <w:spacing w:after="0"/>
              <w:rPr>
                <w:sz w:val="11"/>
                <w:szCs w:val="11"/>
                <w:color w:val="auto"/>
              </w:rPr>
            </w:pPr>
          </w:p>
        </w:tc>
        <w:tc>
          <w:tcPr>
            <w:tcW w:w="5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2019</w:t>
            </w:r>
          </w:p>
        </w:tc>
        <w:tc>
          <w:tcPr>
            <w:tcW w:w="660" w:type="dxa"/>
            <w:vAlign w:val="bottom"/>
            <w:tcBorders>
              <w:bottom w:val="single" w:sz="8" w:color="DC202E"/>
            </w:tcBorders>
          </w:tcPr>
          <w:p>
            <w:pPr>
              <w:spacing w:after="0"/>
              <w:rPr>
                <w:sz w:val="11"/>
                <w:szCs w:val="11"/>
                <w:color w:val="auto"/>
              </w:rPr>
            </w:pPr>
          </w:p>
        </w:tc>
        <w:tc>
          <w:tcPr>
            <w:tcW w:w="760" w:type="dxa"/>
            <w:vAlign w:val="bottom"/>
            <w:tcBorders>
              <w:bottom w:val="single" w:sz="8" w:color="DC202E"/>
            </w:tcBorders>
          </w:tcPr>
          <w:p>
            <w:pPr>
              <w:jc w:val="center"/>
              <w:ind w:right="252"/>
              <w:spacing w:after="0"/>
              <w:rPr>
                <w:sz w:val="20"/>
                <w:szCs w:val="20"/>
                <w:color w:val="auto"/>
              </w:rPr>
            </w:pPr>
            <w:r>
              <w:rPr>
                <w:rFonts w:ascii="Arial" w:cs="Arial" w:eastAsia="Arial" w:hAnsi="Arial"/>
                <w:sz w:val="10"/>
                <w:szCs w:val="10"/>
                <w:b w:val="1"/>
                <w:bCs w:val="1"/>
                <w:color w:val="auto"/>
                <w:w w:val="98"/>
              </w:rPr>
              <w:t>2019</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10,013</w:t>
            </w:r>
          </w:p>
        </w:tc>
        <w:tc>
          <w:tcPr>
            <w:tcW w:w="1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9,423</w:t>
            </w:r>
          </w:p>
        </w:tc>
        <w:tc>
          <w:tcPr>
            <w:tcW w:w="76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gridSpan w:val="2"/>
          </w:tcPr>
          <w:p>
            <w:pPr>
              <w:jc w:val="right"/>
              <w:ind w:right="120"/>
              <w:spacing w:after="0"/>
              <w:rPr>
                <w:sz w:val="20"/>
                <w:szCs w:val="20"/>
                <w:color w:val="auto"/>
              </w:rPr>
            </w:pPr>
            <w:r>
              <w:rPr>
                <w:rFonts w:ascii="Arial" w:cs="Arial" w:eastAsia="Arial" w:hAnsi="Arial"/>
                <w:sz w:val="10"/>
                <w:szCs w:val="10"/>
                <w:color w:val="auto"/>
              </w:rPr>
              <w:t>6 %</w:t>
            </w:r>
          </w:p>
        </w:tc>
        <w:tc>
          <w:tcPr>
            <w:tcW w:w="50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w w:val="91"/>
              </w:rPr>
              <w:t>10,834</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6,637</w:t>
            </w: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6,331</w:t>
            </w: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6,989</w:t>
            </w:r>
          </w:p>
        </w:tc>
        <w:tc>
          <w:tcPr>
            <w:tcW w:w="7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color w:val="auto"/>
              </w:rPr>
              <w:t>1,256</w:t>
            </w: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1,241</w:t>
            </w: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1,412</w:t>
            </w:r>
          </w:p>
        </w:tc>
        <w:tc>
          <w:tcPr>
            <w:tcW w:w="76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b w:val="1"/>
                <w:bCs w:val="1"/>
                <w:color w:val="auto"/>
              </w:rPr>
              <w:t>2,120</w:t>
            </w:r>
          </w:p>
        </w:tc>
        <w:tc>
          <w:tcPr>
            <w:tcW w:w="1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1,851</w:t>
            </w:r>
          </w:p>
        </w:tc>
        <w:tc>
          <w:tcPr>
            <w:tcW w:w="76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gridSpan w:val="2"/>
          </w:tcPr>
          <w:p>
            <w:pPr>
              <w:jc w:val="right"/>
              <w:ind w:right="120"/>
              <w:spacing w:after="0"/>
              <w:rPr>
                <w:sz w:val="20"/>
                <w:szCs w:val="20"/>
                <w:color w:val="auto"/>
              </w:rPr>
            </w:pPr>
            <w:r>
              <w:rPr>
                <w:rFonts w:ascii="Arial" w:cs="Arial" w:eastAsia="Arial" w:hAnsi="Arial"/>
                <w:sz w:val="10"/>
                <w:szCs w:val="10"/>
                <w:b w:val="1"/>
                <w:bCs w:val="1"/>
                <w:color w:val="auto"/>
              </w:rPr>
              <w:t>15 %</w:t>
            </w:r>
          </w:p>
        </w:tc>
        <w:tc>
          <w:tcPr>
            <w:tcW w:w="50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2,433</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(24)%</w:t>
            </w:r>
          </w:p>
        </w:tc>
        <w:tc>
          <w:tcPr>
            <w:tcW w:w="0" w:type="dxa"/>
            <w:vAlign w:val="bottom"/>
          </w:tcPr>
          <w:p>
            <w:pPr>
              <w:spacing w:after="0"/>
              <w:rPr>
                <w:sz w:val="1"/>
                <w:szCs w:val="1"/>
                <w:color w:val="auto"/>
              </w:rPr>
            </w:pPr>
          </w:p>
        </w:tc>
      </w:tr>
      <w:tr>
        <w:trPr>
          <w:trHeight w:val="322"/>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3"/>
              </w:rPr>
              <w:t>2021 vs. 2020</w:t>
            </w:r>
          </w:p>
        </w:tc>
        <w:tc>
          <w:tcPr>
            <w:tcW w:w="760" w:type="dxa"/>
            <w:vAlign w:val="bottom"/>
            <w:tcBorders>
              <w:bottom w:val="single" w:sz="8" w:color="DC202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500" w:type="dxa"/>
            <w:vAlign w:val="bottom"/>
            <w:tcBorders>
              <w:bottom w:val="single" w:sz="8" w:color="DC202E"/>
            </w:tcBorders>
          </w:tcPr>
          <w:p>
            <w:pPr>
              <w:spacing w:after="0"/>
              <w:rPr>
                <w:sz w:val="24"/>
                <w:szCs w:val="24"/>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6"/>
              </w:rPr>
              <w:t>2020 vs. 2019</w:t>
            </w:r>
          </w:p>
        </w:tc>
        <w:tc>
          <w:tcPr>
            <w:tcW w:w="76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2"/>
              <w:spacing w:after="0"/>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292"/>
              <w:spacing w:after="0"/>
              <w:rPr>
                <w:sz w:val="20"/>
                <w:szCs w:val="20"/>
                <w:color w:val="auto"/>
              </w:rPr>
            </w:pPr>
            <w:r>
              <w:rPr>
                <w:rFonts w:ascii="Arial" w:cs="Arial" w:eastAsia="Arial" w:hAnsi="Arial"/>
                <w:sz w:val="10"/>
                <w:szCs w:val="10"/>
                <w:b w:val="1"/>
                <w:bCs w:val="1"/>
                <w:color w:val="auto"/>
                <w:w w:val="94"/>
              </w:rPr>
              <w:t>Segment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b w:val="1"/>
                <w:bCs w:val="1"/>
                <w:color w:val="auto"/>
              </w:rPr>
              <w:t>Net</w:t>
            </w:r>
          </w:p>
        </w:tc>
        <w:tc>
          <w:tcPr>
            <w:tcW w:w="660" w:type="dxa"/>
            <w:vAlign w:val="bottom"/>
          </w:tcPr>
          <w:p>
            <w:pPr>
              <w:spacing w:after="0"/>
              <w:rPr>
                <w:sz w:val="12"/>
                <w:szCs w:val="12"/>
                <w:color w:val="auto"/>
              </w:rPr>
            </w:pPr>
          </w:p>
        </w:tc>
        <w:tc>
          <w:tcPr>
            <w:tcW w:w="760" w:type="dxa"/>
            <w:vAlign w:val="bottom"/>
          </w:tcPr>
          <w:p>
            <w:pPr>
              <w:jc w:val="right"/>
              <w:ind w:right="312"/>
              <w:spacing w:after="0"/>
              <w:rPr>
                <w:sz w:val="20"/>
                <w:szCs w:val="20"/>
                <w:color w:val="auto"/>
              </w:rPr>
            </w:pPr>
            <w:r>
              <w:rPr>
                <w:rFonts w:ascii="Arial" w:cs="Arial" w:eastAsia="Arial" w:hAnsi="Arial"/>
                <w:sz w:val="10"/>
                <w:szCs w:val="10"/>
                <w:b w:val="1"/>
                <w:bCs w:val="1"/>
                <w:color w:val="auto"/>
                <w:w w:val="89"/>
              </w:rPr>
              <w:t>Segment</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DC202E"/>
            </w:tcBorders>
            <w:vMerge w:val="continue"/>
          </w:tcPr>
          <w:p>
            <w:pPr>
              <w:spacing w:after="0"/>
              <w:rPr>
                <w:sz w:val="10"/>
                <w:szCs w:val="10"/>
                <w:color w:val="auto"/>
              </w:rPr>
            </w:pP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Sales</w:t>
            </w: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Organic</w:t>
            </w:r>
          </w:p>
        </w:tc>
        <w:tc>
          <w:tcPr>
            <w:tcW w:w="21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3 %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w w:val="97"/>
              </w:rPr>
              <w:t>(13)%</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2 %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1 %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6 %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15 %</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97"/>
              </w:rPr>
              <w:t>(13)%</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(24)%</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1"/>
          <w:szCs w:val="11"/>
          <w:color w:val="auto"/>
        </w:rPr>
        <w:t>Sales increased due to the impact of foreign currency translation, higher demand for certain products, and the acquisition of Sparta Systems.</w:t>
      </w:r>
    </w:p>
    <w:p>
      <w:pPr>
        <w:spacing w:after="0" w:line="72" w:lineRule="exact"/>
        <w:rPr>
          <w:sz w:val="20"/>
          <w:szCs w:val="20"/>
          <w:color w:val="auto"/>
        </w:rPr>
      </w:pPr>
    </w:p>
    <w:p>
      <w:pPr>
        <w:ind w:left="128" w:hanging="128"/>
        <w:spacing w:after="0"/>
        <w:tabs>
          <w:tab w:leader="none" w:pos="128" w:val="left"/>
        </w:tabs>
        <w:numPr>
          <w:ilvl w:val="0"/>
          <w:numId w:val="53"/>
        </w:numPr>
        <w:rPr>
          <w:rFonts w:ascii="Arial" w:cs="Arial" w:eastAsia="Arial" w:hAnsi="Arial"/>
          <w:sz w:val="11"/>
          <w:szCs w:val="11"/>
          <w:b w:val="1"/>
          <w:bCs w:val="1"/>
          <w:color w:val="D7282F"/>
        </w:rPr>
      </w:pPr>
      <w:r>
        <w:rPr>
          <w:rFonts w:ascii="Arial" w:cs="Arial" w:eastAsia="Arial" w:hAnsi="Arial"/>
          <w:sz w:val="11"/>
          <w:szCs w:val="11"/>
          <w:color w:val="auto"/>
        </w:rPr>
        <w:t>UOP sales increased 8% (increased 6% organic) due to higher demand for oil and gas products and services, and the favorable impact of foreign currency translation.</w:t>
      </w:r>
    </w:p>
    <w:p>
      <w:pPr>
        <w:spacing w:after="0" w:line="44" w:lineRule="exact"/>
        <w:rPr>
          <w:rFonts w:ascii="Arial" w:cs="Arial" w:eastAsia="Arial" w:hAnsi="Arial"/>
          <w:sz w:val="11"/>
          <w:szCs w:val="11"/>
          <w:b w:val="1"/>
          <w:bCs w:val="1"/>
          <w:color w:val="D7282F"/>
        </w:rPr>
      </w:pPr>
    </w:p>
    <w:p>
      <w:pPr>
        <w:ind w:left="128" w:hanging="128"/>
        <w:spacing w:after="0"/>
        <w:tabs>
          <w:tab w:leader="none" w:pos="128" w:val="left"/>
        </w:tabs>
        <w:numPr>
          <w:ilvl w:val="0"/>
          <w:numId w:val="53"/>
        </w:numPr>
        <w:rPr>
          <w:rFonts w:ascii="Arial" w:cs="Arial" w:eastAsia="Arial" w:hAnsi="Arial"/>
          <w:sz w:val="11"/>
          <w:szCs w:val="11"/>
          <w:b w:val="1"/>
          <w:bCs w:val="1"/>
          <w:color w:val="D7282F"/>
        </w:rPr>
      </w:pPr>
      <w:r>
        <w:rPr>
          <w:rFonts w:ascii="Arial" w:cs="Arial" w:eastAsia="Arial" w:hAnsi="Arial"/>
          <w:sz w:val="11"/>
          <w:szCs w:val="11"/>
          <w:color w:val="auto"/>
        </w:rPr>
        <w:t>Process Solutions sales were flat (decreased 4% organic). The acquisition of Sparta Systems and the favorable impact of foreign currency translation was offset by lower demand for projects and services.</w:t>
      </w:r>
    </w:p>
    <w:p>
      <w:pPr>
        <w:spacing w:after="0" w:line="44" w:lineRule="exact"/>
        <w:rPr>
          <w:rFonts w:ascii="Arial" w:cs="Arial" w:eastAsia="Arial" w:hAnsi="Arial"/>
          <w:sz w:val="11"/>
          <w:szCs w:val="11"/>
          <w:b w:val="1"/>
          <w:bCs w:val="1"/>
          <w:color w:val="D7282F"/>
        </w:rPr>
      </w:pPr>
    </w:p>
    <w:p>
      <w:pPr>
        <w:ind w:left="128" w:hanging="128"/>
        <w:spacing w:after="0"/>
        <w:tabs>
          <w:tab w:leader="none" w:pos="128" w:val="left"/>
        </w:tabs>
        <w:numPr>
          <w:ilvl w:val="0"/>
          <w:numId w:val="53"/>
        </w:numPr>
        <w:rPr>
          <w:rFonts w:ascii="Arial" w:cs="Arial" w:eastAsia="Arial" w:hAnsi="Arial"/>
          <w:sz w:val="11"/>
          <w:szCs w:val="11"/>
          <w:b w:val="1"/>
          <w:bCs w:val="1"/>
          <w:color w:val="D7282F"/>
        </w:rPr>
      </w:pPr>
      <w:r>
        <w:rPr>
          <w:rFonts w:ascii="Arial" w:cs="Arial" w:eastAsia="Arial" w:hAnsi="Arial"/>
          <w:sz w:val="11"/>
          <w:szCs w:val="11"/>
          <w:color w:val="auto"/>
        </w:rPr>
        <w:t>Advanced Materials sales increased 15% (increased 13% organic) due to higher demand for fluorine products and the favorable impact of foreign currency translation.</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Cost of products and services sold increased due to the rising cost of materials, partially offset by higher productivity.</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due to higher demand for certain products, favorable pricing, partially offset by the rising cost of materials.</w:t>
      </w:r>
    </w:p>
    <w:p>
      <w:pPr>
        <w:spacing w:after="0" w:line="284" w:lineRule="exact"/>
        <w:rPr>
          <w:sz w:val="20"/>
          <w:szCs w:val="20"/>
          <w:color w:val="auto"/>
        </w:rPr>
      </w:pPr>
    </w:p>
    <w:p>
      <w:pPr>
        <w:ind w:left="468" w:hanging="468"/>
        <w:spacing w:after="0"/>
        <w:tabs>
          <w:tab w:leader="none" w:pos="468" w:val="left"/>
        </w:tabs>
        <w:numPr>
          <w:ilvl w:val="0"/>
          <w:numId w:val="5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SAFETY AND PRODUCTIVITY SOLUTIONS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52070</wp:posOffset>
            </wp:positionV>
            <wp:extent cx="2286000" cy="17202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286000"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center"/>
              <w:ind w:left="3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ind w:right="27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center"/>
              <w:ind w:left="332"/>
              <w:spacing w:after="0" w:line="108" w:lineRule="exact"/>
              <w:rPr>
                <w:sz w:val="20"/>
                <w:szCs w:val="20"/>
                <w:color w:val="auto"/>
              </w:rPr>
            </w:pPr>
            <w:r>
              <w:rPr>
                <w:rFonts w:ascii="Arial" w:cs="Arial" w:eastAsia="Arial" w:hAnsi="Arial"/>
                <w:sz w:val="10"/>
                <w:szCs w:val="10"/>
                <w:b w:val="1"/>
                <w:bCs w:val="1"/>
                <w:color w:val="auto"/>
                <w:w w:val="98"/>
              </w:rPr>
              <w:t>2021</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252"/>
              <w:spacing w:after="0" w:line="108" w:lineRule="exact"/>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center"/>
              <w:ind w:left="332"/>
              <w:spacing w:after="0" w:line="108"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252"/>
              <w:spacing w:after="0" w:line="108"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35"/>
        </w:trPr>
        <w:tc>
          <w:tcPr>
            <w:tcW w:w="4420" w:type="dxa"/>
            <w:vAlign w:val="bottom"/>
            <w:tcBorders>
              <w:bottom w:val="single" w:sz="8" w:color="DC202E"/>
            </w:tcBorders>
          </w:tcPr>
          <w:p>
            <w:pPr>
              <w:spacing w:after="0"/>
              <w:rPr>
                <w:sz w:val="11"/>
                <w:szCs w:val="11"/>
                <w:color w:val="auto"/>
              </w:rPr>
            </w:pPr>
          </w:p>
        </w:tc>
        <w:tc>
          <w:tcPr>
            <w:tcW w:w="2180" w:type="dxa"/>
            <w:vAlign w:val="bottom"/>
            <w:tcBorders>
              <w:bottom w:val="single" w:sz="8" w:color="DC202E"/>
            </w:tcBorders>
          </w:tcPr>
          <w:p>
            <w:pPr>
              <w:spacing w:after="0"/>
              <w:rPr>
                <w:sz w:val="11"/>
                <w:szCs w:val="11"/>
                <w:color w:val="auto"/>
              </w:rPr>
            </w:pPr>
          </w:p>
        </w:tc>
        <w:tc>
          <w:tcPr>
            <w:tcW w:w="840" w:type="dxa"/>
            <w:vAlign w:val="bottom"/>
            <w:tcBorders>
              <w:bottom w:val="single" w:sz="8" w:color="DC202E"/>
            </w:tcBorders>
            <w:gridSpan w:val="2"/>
          </w:tcPr>
          <w:p>
            <w:pPr>
              <w:jc w:val="right"/>
              <w:ind w:right="53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DC202E"/>
            </w:tcBorders>
          </w:tcPr>
          <w:p>
            <w:pPr>
              <w:spacing w:after="0"/>
              <w:rPr>
                <w:sz w:val="11"/>
                <w:szCs w:val="11"/>
                <w:color w:val="auto"/>
              </w:rPr>
            </w:pP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2020</w:t>
            </w:r>
          </w:p>
        </w:tc>
        <w:tc>
          <w:tcPr>
            <w:tcW w:w="760" w:type="dxa"/>
            <w:vAlign w:val="bottom"/>
            <w:tcBorders>
              <w:bottom w:val="single" w:sz="8" w:color="DC202E"/>
            </w:tcBorders>
          </w:tcPr>
          <w:p>
            <w:pPr>
              <w:jc w:val="center"/>
              <w:ind w:left="332"/>
              <w:spacing w:after="0"/>
              <w:rPr>
                <w:sz w:val="20"/>
                <w:szCs w:val="20"/>
                <w:color w:val="auto"/>
              </w:rPr>
            </w:pPr>
            <w:r>
              <w:rPr>
                <w:rFonts w:ascii="Arial" w:cs="Arial" w:eastAsia="Arial" w:hAnsi="Arial"/>
                <w:sz w:val="10"/>
                <w:szCs w:val="10"/>
                <w:b w:val="1"/>
                <w:bCs w:val="1"/>
                <w:color w:val="auto"/>
                <w:w w:val="98"/>
              </w:rPr>
              <w:t>2020</w:t>
            </w:r>
          </w:p>
        </w:tc>
        <w:tc>
          <w:tcPr>
            <w:tcW w:w="220" w:type="dxa"/>
            <w:vAlign w:val="bottom"/>
            <w:tcBorders>
              <w:bottom w:val="single" w:sz="8" w:color="DC202E"/>
            </w:tcBorders>
          </w:tcPr>
          <w:p>
            <w:pPr>
              <w:spacing w:after="0"/>
              <w:rPr>
                <w:sz w:val="11"/>
                <w:szCs w:val="11"/>
                <w:color w:val="auto"/>
              </w:rPr>
            </w:pPr>
          </w:p>
        </w:tc>
        <w:tc>
          <w:tcPr>
            <w:tcW w:w="240" w:type="dxa"/>
            <w:vAlign w:val="bottom"/>
            <w:tcBorders>
              <w:bottom w:val="single" w:sz="8" w:color="DC202E"/>
            </w:tcBorders>
          </w:tcPr>
          <w:p>
            <w:pPr>
              <w:spacing w:after="0"/>
              <w:rPr>
                <w:sz w:val="11"/>
                <w:szCs w:val="11"/>
                <w:color w:val="auto"/>
              </w:rPr>
            </w:pPr>
          </w:p>
        </w:tc>
        <w:tc>
          <w:tcPr>
            <w:tcW w:w="5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2019</w:t>
            </w:r>
          </w:p>
        </w:tc>
        <w:tc>
          <w:tcPr>
            <w:tcW w:w="660" w:type="dxa"/>
            <w:vAlign w:val="bottom"/>
            <w:tcBorders>
              <w:bottom w:val="single" w:sz="8" w:color="DC202E"/>
            </w:tcBorders>
          </w:tcPr>
          <w:p>
            <w:pPr>
              <w:spacing w:after="0"/>
              <w:rPr>
                <w:sz w:val="11"/>
                <w:szCs w:val="11"/>
                <w:color w:val="auto"/>
              </w:rPr>
            </w:pPr>
          </w:p>
        </w:tc>
        <w:tc>
          <w:tcPr>
            <w:tcW w:w="760" w:type="dxa"/>
            <w:vAlign w:val="bottom"/>
            <w:tcBorders>
              <w:bottom w:val="single" w:sz="8" w:color="DC202E"/>
            </w:tcBorders>
          </w:tcPr>
          <w:p>
            <w:pPr>
              <w:jc w:val="center"/>
              <w:ind w:right="252"/>
              <w:spacing w:after="0"/>
              <w:rPr>
                <w:sz w:val="20"/>
                <w:szCs w:val="20"/>
                <w:color w:val="auto"/>
              </w:rPr>
            </w:pPr>
            <w:r>
              <w:rPr>
                <w:rFonts w:ascii="Arial" w:cs="Arial" w:eastAsia="Arial" w:hAnsi="Arial"/>
                <w:sz w:val="10"/>
                <w:szCs w:val="10"/>
                <w:b w:val="1"/>
                <w:bCs w:val="1"/>
                <w:color w:val="auto"/>
                <w:w w:val="98"/>
              </w:rPr>
              <w:t>2019</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7,814</w:t>
            </w:r>
          </w:p>
        </w:tc>
        <w:tc>
          <w:tcPr>
            <w:tcW w:w="1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6,481</w:t>
            </w:r>
          </w:p>
        </w:tc>
        <w:tc>
          <w:tcPr>
            <w:tcW w:w="76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gridSpan w:val="2"/>
          </w:tcPr>
          <w:p>
            <w:pPr>
              <w:jc w:val="right"/>
              <w:ind w:right="120"/>
              <w:spacing w:after="0"/>
              <w:rPr>
                <w:sz w:val="20"/>
                <w:szCs w:val="20"/>
                <w:color w:val="auto"/>
              </w:rPr>
            </w:pPr>
            <w:r>
              <w:rPr>
                <w:rFonts w:ascii="Arial" w:cs="Arial" w:eastAsia="Arial" w:hAnsi="Arial"/>
                <w:sz w:val="10"/>
                <w:szCs w:val="10"/>
                <w:color w:val="auto"/>
              </w:rPr>
              <w:t>21 %</w:t>
            </w:r>
          </w:p>
        </w:tc>
        <w:tc>
          <w:tcPr>
            <w:tcW w:w="50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6,104</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5,738</w:t>
            </w: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4,532</w:t>
            </w: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4,158</w:t>
            </w:r>
          </w:p>
        </w:tc>
        <w:tc>
          <w:tcPr>
            <w:tcW w:w="7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color w:val="auto"/>
              </w:rPr>
              <w:t>1,047</w:t>
            </w: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1,042</w:t>
            </w: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1,156</w:t>
            </w:r>
          </w:p>
        </w:tc>
        <w:tc>
          <w:tcPr>
            <w:tcW w:w="76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b w:val="1"/>
                <w:bCs w:val="1"/>
                <w:color w:val="auto"/>
              </w:rPr>
              <w:t>1,029</w:t>
            </w:r>
          </w:p>
        </w:tc>
        <w:tc>
          <w:tcPr>
            <w:tcW w:w="1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907</w:t>
            </w:r>
          </w:p>
        </w:tc>
        <w:tc>
          <w:tcPr>
            <w:tcW w:w="76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gridSpan w:val="2"/>
          </w:tcPr>
          <w:p>
            <w:pPr>
              <w:jc w:val="right"/>
              <w:ind w:right="120"/>
              <w:spacing w:after="0"/>
              <w:rPr>
                <w:sz w:val="20"/>
                <w:szCs w:val="20"/>
                <w:color w:val="auto"/>
              </w:rPr>
            </w:pPr>
            <w:r>
              <w:rPr>
                <w:rFonts w:ascii="Arial" w:cs="Arial" w:eastAsia="Arial" w:hAnsi="Arial"/>
                <w:sz w:val="10"/>
                <w:szCs w:val="10"/>
                <w:b w:val="1"/>
                <w:bCs w:val="1"/>
                <w:color w:val="auto"/>
              </w:rPr>
              <w:t>13 %</w:t>
            </w:r>
          </w:p>
        </w:tc>
        <w:tc>
          <w:tcPr>
            <w:tcW w:w="50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790</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15 %</w:t>
            </w:r>
          </w:p>
        </w:tc>
        <w:tc>
          <w:tcPr>
            <w:tcW w:w="0" w:type="dxa"/>
            <w:vAlign w:val="bottom"/>
          </w:tcPr>
          <w:p>
            <w:pPr>
              <w:spacing w:after="0"/>
              <w:rPr>
                <w:sz w:val="1"/>
                <w:szCs w:val="1"/>
                <w:color w:val="auto"/>
              </w:rPr>
            </w:pPr>
          </w:p>
        </w:tc>
      </w:tr>
      <w:tr>
        <w:trPr>
          <w:trHeight w:val="277"/>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3"/>
              </w:rPr>
              <w:t>2021 vs. 2020</w:t>
            </w:r>
          </w:p>
        </w:tc>
        <w:tc>
          <w:tcPr>
            <w:tcW w:w="760" w:type="dxa"/>
            <w:vAlign w:val="bottom"/>
            <w:tcBorders>
              <w:bottom w:val="single" w:sz="8" w:color="DC202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500" w:type="dxa"/>
            <w:vAlign w:val="bottom"/>
            <w:tcBorders>
              <w:bottom w:val="single" w:sz="8" w:color="DC202E"/>
            </w:tcBorders>
          </w:tcPr>
          <w:p>
            <w:pPr>
              <w:spacing w:after="0"/>
              <w:rPr>
                <w:sz w:val="24"/>
                <w:szCs w:val="24"/>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6"/>
              </w:rPr>
              <w:t>2020 vs. 2019</w:t>
            </w:r>
          </w:p>
        </w:tc>
        <w:tc>
          <w:tcPr>
            <w:tcW w:w="76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12"/>
              <w:spacing w:after="0"/>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right"/>
              <w:ind w:right="292"/>
              <w:spacing w:after="0"/>
              <w:rPr>
                <w:sz w:val="20"/>
                <w:szCs w:val="20"/>
                <w:color w:val="auto"/>
              </w:rPr>
            </w:pPr>
            <w:r>
              <w:rPr>
                <w:rFonts w:ascii="Arial" w:cs="Arial" w:eastAsia="Arial" w:hAnsi="Arial"/>
                <w:sz w:val="10"/>
                <w:szCs w:val="10"/>
                <w:b w:val="1"/>
                <w:bCs w:val="1"/>
                <w:color w:val="auto"/>
                <w:w w:val="94"/>
              </w:rPr>
              <w:t>Segment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b w:val="1"/>
                <w:bCs w:val="1"/>
                <w:color w:val="auto"/>
              </w:rPr>
              <w:t>Net</w:t>
            </w:r>
          </w:p>
        </w:tc>
        <w:tc>
          <w:tcPr>
            <w:tcW w:w="660" w:type="dxa"/>
            <w:vAlign w:val="bottom"/>
          </w:tcPr>
          <w:p>
            <w:pPr>
              <w:spacing w:after="0"/>
              <w:rPr>
                <w:sz w:val="10"/>
                <w:szCs w:val="10"/>
                <w:color w:val="auto"/>
              </w:rPr>
            </w:pPr>
          </w:p>
        </w:tc>
        <w:tc>
          <w:tcPr>
            <w:tcW w:w="760" w:type="dxa"/>
            <w:vAlign w:val="bottom"/>
          </w:tcPr>
          <w:p>
            <w:pPr>
              <w:jc w:val="right"/>
              <w:ind w:right="312"/>
              <w:spacing w:after="0"/>
              <w:rPr>
                <w:sz w:val="20"/>
                <w:szCs w:val="20"/>
                <w:color w:val="auto"/>
              </w:rPr>
            </w:pPr>
            <w:r>
              <w:rPr>
                <w:rFonts w:ascii="Arial" w:cs="Arial" w:eastAsia="Arial" w:hAnsi="Arial"/>
                <w:sz w:val="10"/>
                <w:szCs w:val="10"/>
                <w:b w:val="1"/>
                <w:bCs w:val="1"/>
                <w:color w:val="auto"/>
                <w:w w:val="89"/>
              </w:rPr>
              <w:t>Segment</w:t>
            </w:r>
          </w:p>
        </w:tc>
        <w:tc>
          <w:tcPr>
            <w:tcW w:w="0" w:type="dxa"/>
            <w:vAlign w:val="bottom"/>
          </w:tcPr>
          <w:p>
            <w:pPr>
              <w:spacing w:after="0"/>
              <w:rPr>
                <w:sz w:val="1"/>
                <w:szCs w:val="1"/>
                <w:color w:val="auto"/>
              </w:rPr>
            </w:pPr>
          </w:p>
        </w:tc>
      </w:tr>
      <w:tr>
        <w:trPr>
          <w:trHeight w:val="117"/>
        </w:trPr>
        <w:tc>
          <w:tcPr>
            <w:tcW w:w="4420" w:type="dxa"/>
            <w:vAlign w:val="bottom"/>
            <w:tcBorders>
              <w:bottom w:val="single" w:sz="8" w:color="DC202E"/>
            </w:tcBorders>
            <w:vMerge w:val="continue"/>
          </w:tcPr>
          <w:p>
            <w:pPr>
              <w:spacing w:after="0"/>
              <w:rPr>
                <w:sz w:val="10"/>
                <w:szCs w:val="10"/>
                <w:color w:val="auto"/>
              </w:rPr>
            </w:pP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Sales</w:t>
            </w: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Organic</w:t>
            </w:r>
          </w:p>
        </w:tc>
        <w:tc>
          <w:tcPr>
            <w:tcW w:w="21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22 %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6 %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c>
          <w:tcPr>
            <w:tcW w:w="10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2 %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2 %</w:t>
            </w:r>
          </w:p>
        </w:tc>
        <w:tc>
          <w:tcPr>
            <w:tcW w:w="2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(3)%</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4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21 %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13 %</w:t>
            </w:r>
          </w:p>
        </w:tc>
        <w:tc>
          <w:tcPr>
            <w:tcW w:w="2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6 %</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15 %</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3" w:lineRule="exact"/>
        <w:rPr>
          <w:sz w:val="20"/>
          <w:szCs w:val="20"/>
          <w:color w:val="auto"/>
        </w:rPr>
      </w:pPr>
    </w:p>
    <w:p>
      <w:pPr>
        <w:ind w:left="8"/>
        <w:spacing w:after="0"/>
        <w:rPr>
          <w:sz w:val="20"/>
          <w:szCs w:val="20"/>
          <w:color w:val="auto"/>
        </w:rPr>
      </w:pPr>
      <w:r>
        <w:rPr>
          <w:rFonts w:ascii="Arial" w:cs="Arial" w:eastAsia="Arial" w:hAnsi="Arial"/>
          <w:sz w:val="11"/>
          <w:szCs w:val="11"/>
          <w:color w:val="auto"/>
        </w:rPr>
        <w:t>Sales increased due to increased demand for certain products and favorable pricing.</w:t>
      </w:r>
    </w:p>
    <w:p>
      <w:pPr>
        <w:spacing w:after="0" w:line="63" w:lineRule="exact"/>
        <w:rPr>
          <w:sz w:val="20"/>
          <w:szCs w:val="20"/>
          <w:color w:val="auto"/>
        </w:rPr>
      </w:pPr>
    </w:p>
    <w:p>
      <w:pPr>
        <w:ind w:left="128" w:hanging="128"/>
        <w:spacing w:after="0"/>
        <w:tabs>
          <w:tab w:leader="none" w:pos="128" w:val="left"/>
        </w:tabs>
        <w:numPr>
          <w:ilvl w:val="0"/>
          <w:numId w:val="55"/>
        </w:numPr>
        <w:rPr>
          <w:rFonts w:ascii="Arial" w:cs="Arial" w:eastAsia="Arial" w:hAnsi="Arial"/>
          <w:sz w:val="11"/>
          <w:szCs w:val="11"/>
          <w:color w:val="D7282F"/>
        </w:rPr>
      </w:pPr>
      <w:r>
        <w:rPr>
          <w:rFonts w:ascii="Arial" w:cs="Arial" w:eastAsia="Arial" w:hAnsi="Arial"/>
          <w:sz w:val="11"/>
          <w:szCs w:val="11"/>
          <w:color w:val="auto"/>
        </w:rPr>
        <w:t>Sales in Safety and Retail decreased 1% (increased 5% organic) due to the sale of the retail footwear business, partially offset by increased demand for certain products.</w:t>
      </w:r>
    </w:p>
    <w:p>
      <w:pPr>
        <w:spacing w:after="0" w:line="71" w:lineRule="exact"/>
        <w:rPr>
          <w:rFonts w:ascii="Arial" w:cs="Arial" w:eastAsia="Arial" w:hAnsi="Arial"/>
          <w:sz w:val="11"/>
          <w:szCs w:val="11"/>
          <w:color w:val="D7282F"/>
        </w:rPr>
      </w:pPr>
    </w:p>
    <w:p>
      <w:pPr>
        <w:ind w:left="128" w:hanging="128"/>
        <w:spacing w:after="0"/>
        <w:tabs>
          <w:tab w:leader="none" w:pos="128" w:val="left"/>
        </w:tabs>
        <w:numPr>
          <w:ilvl w:val="0"/>
          <w:numId w:val="55"/>
        </w:numPr>
        <w:rPr>
          <w:rFonts w:ascii="Arial" w:cs="Arial" w:eastAsia="Arial" w:hAnsi="Arial"/>
          <w:sz w:val="11"/>
          <w:szCs w:val="11"/>
          <w:color w:val="D7282F"/>
        </w:rPr>
      </w:pPr>
      <w:r>
        <w:rPr>
          <w:rFonts w:ascii="Arial" w:cs="Arial" w:eastAsia="Arial" w:hAnsi="Arial"/>
          <w:sz w:val="11"/>
          <w:szCs w:val="11"/>
          <w:color w:val="auto"/>
        </w:rPr>
        <w:t>Sales in Productivity Solutions and Services increased 27% (increased 25% organic) due to higher demand on certain products.</w:t>
      </w:r>
    </w:p>
    <w:p>
      <w:pPr>
        <w:spacing w:after="0" w:line="71" w:lineRule="exact"/>
        <w:rPr>
          <w:rFonts w:ascii="Arial" w:cs="Arial" w:eastAsia="Arial" w:hAnsi="Arial"/>
          <w:sz w:val="11"/>
          <w:szCs w:val="11"/>
          <w:color w:val="D7282F"/>
        </w:rPr>
      </w:pPr>
    </w:p>
    <w:p>
      <w:pPr>
        <w:ind w:left="128" w:hanging="128"/>
        <w:spacing w:after="0"/>
        <w:tabs>
          <w:tab w:leader="none" w:pos="128" w:val="left"/>
        </w:tabs>
        <w:numPr>
          <w:ilvl w:val="0"/>
          <w:numId w:val="55"/>
        </w:numPr>
        <w:rPr>
          <w:rFonts w:ascii="Arial" w:cs="Arial" w:eastAsia="Arial" w:hAnsi="Arial"/>
          <w:sz w:val="11"/>
          <w:szCs w:val="11"/>
          <w:color w:val="D7282F"/>
        </w:rPr>
      </w:pPr>
      <w:r>
        <w:rPr>
          <w:rFonts w:ascii="Arial" w:cs="Arial" w:eastAsia="Arial" w:hAnsi="Arial"/>
          <w:sz w:val="11"/>
          <w:szCs w:val="11"/>
          <w:color w:val="auto"/>
        </w:rPr>
        <w:t>Sales in Warehouse and Workflow Solutions increased 50% (increased 49% organic) due to higher demand for warehouse automation and services.</w:t>
      </w:r>
    </w:p>
    <w:p>
      <w:pPr>
        <w:spacing w:after="0" w:line="71" w:lineRule="exact"/>
        <w:rPr>
          <w:rFonts w:ascii="Arial" w:cs="Arial" w:eastAsia="Arial" w:hAnsi="Arial"/>
          <w:sz w:val="11"/>
          <w:szCs w:val="11"/>
          <w:color w:val="D7282F"/>
        </w:rPr>
      </w:pPr>
    </w:p>
    <w:p>
      <w:pPr>
        <w:ind w:left="128" w:hanging="128"/>
        <w:spacing w:after="0"/>
        <w:tabs>
          <w:tab w:leader="none" w:pos="128" w:val="left"/>
        </w:tabs>
        <w:numPr>
          <w:ilvl w:val="0"/>
          <w:numId w:val="55"/>
        </w:numPr>
        <w:rPr>
          <w:rFonts w:ascii="Arial" w:cs="Arial" w:eastAsia="Arial" w:hAnsi="Arial"/>
          <w:sz w:val="11"/>
          <w:szCs w:val="11"/>
          <w:color w:val="D7282F"/>
        </w:rPr>
      </w:pPr>
      <w:r>
        <w:rPr>
          <w:rFonts w:ascii="Arial" w:cs="Arial" w:eastAsia="Arial" w:hAnsi="Arial"/>
          <w:sz w:val="11"/>
          <w:szCs w:val="11"/>
          <w:color w:val="auto"/>
        </w:rPr>
        <w:t>Sales in Advanced Sensing Technologies increased 5% (increased 3% organic) due to higher demand for certain products and the favorable impact of foreign currency translation.</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Cost of products and services sold increased primarily due to higher sales volumes, higher sales on lower margin products, the rising cost of materials, partially offset by the sale of the retail footwear business.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due to higher sales volumes and favorable pricing, partially offset by higher sales of lower margin products and the rising cost of materials.</w:t>
      </w: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27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29" w:name="page30"/>
    <w:bookmarkEnd w:id="29"/>
    <w:p>
      <w:pPr>
        <w:ind w:left="8"/>
        <w:spacing w:after="0"/>
        <w:rPr>
          <w:sz w:val="20"/>
          <w:szCs w:val="20"/>
          <w:color w:val="auto"/>
        </w:rPr>
      </w:pP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CORPORATE AND ALL OTHER</w:t>
      </w:r>
    </w:p>
    <w:p>
      <w:pPr>
        <w:spacing w:after="0" w:line="15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Corporate and All Other primarily includes unallocated corporate costs, interest expense on holding-company debt and the controlling majority-owned interest in Quantinuum. Corporate and All Other is not considered a separate reportable business segment as segment reporting criteria is not met for the activities reported with Corporate and All Other and the Company does not believe the results of operations are meaningful to investors. The Company continues to monitor the activities in Corporate and All Other to determine the need for further reportable business segment disaggregation.</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REPOSITIONING CHARGES</w:t>
      </w:r>
    </w:p>
    <w:p>
      <w:pPr>
        <w:spacing w:after="0" w:line="155"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1"/>
          <w:szCs w:val="11"/>
          <w:color w:val="auto"/>
        </w:rPr>
        <w:t>See Note 4 Repositioning and Other Charges of Notes to Consolidated Financial Statements for a discussion of our repositioning actions and related charges incurred in 2021, 2020, and 2019. Cash spending related to our repositioning actions was $382 million, $564 million and $249 million in 2021, 2020, and 2019, and was funded through operating cash flows.</w:t>
      </w:r>
    </w:p>
    <w:p>
      <w:pPr>
        <w:spacing w:after="0" w:line="279" w:lineRule="exact"/>
        <w:rPr>
          <w:sz w:val="20"/>
          <w:szCs w:val="20"/>
          <w:color w:val="auto"/>
        </w:rPr>
      </w:pPr>
    </w:p>
    <w:p>
      <w:pPr>
        <w:ind w:left="468" w:hanging="468"/>
        <w:spacing w:after="0"/>
        <w:tabs>
          <w:tab w:leader="none" w:pos="468" w:val="left"/>
        </w:tabs>
        <w:numPr>
          <w:ilvl w:val="0"/>
          <w:numId w:val="5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30" w:name="page31"/>
    <w:bookmarkEnd w:id="30"/>
    <w:p>
      <w:pPr>
        <w:ind w:left="8"/>
        <w:spacing w:after="0"/>
        <w:rPr>
          <w:sz w:val="20"/>
          <w:szCs w:val="20"/>
          <w:color w:val="auto"/>
        </w:rPr>
      </w:pPr>
      <w:r>
        <w:rPr>
          <w:rFonts w:ascii="Arial" w:cs="Arial" w:eastAsia="Arial" w:hAnsi="Arial"/>
          <w:sz w:val="24"/>
          <w:szCs w:val="24"/>
          <w:b w:val="1"/>
          <w:bCs w:val="1"/>
          <w:color w:val="auto"/>
        </w:rPr>
        <w:t>RISK FACTORS</w:t>
      </w:r>
    </w:p>
    <w:p>
      <w:pPr>
        <w:spacing w:after="0" w:line="278" w:lineRule="exact"/>
        <w:rPr>
          <w:sz w:val="20"/>
          <w:szCs w:val="20"/>
          <w:color w:val="auto"/>
        </w:rPr>
      </w:pPr>
    </w:p>
    <w:p>
      <w:pPr>
        <w:ind w:left="8" w:right="20"/>
        <w:spacing w:after="0" w:line="245" w:lineRule="auto"/>
        <w:rPr>
          <w:sz w:val="20"/>
          <w:szCs w:val="20"/>
          <w:color w:val="auto"/>
        </w:rPr>
      </w:pPr>
      <w:r>
        <w:rPr>
          <w:rFonts w:ascii="Arial" w:cs="Arial" w:eastAsia="Arial" w:hAnsi="Arial"/>
          <w:sz w:val="11"/>
          <w:szCs w:val="11"/>
          <w:color w:val="auto"/>
        </w:rPr>
        <w:t>Our business, operating results, cash flows and financial condition are subject to the material risks and uncertainties set forth below, any one of which could cause our actual results to vary materially from recent results or from our anticipated future results.</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MACROECONOMIC AND INDUSTRY RISKS</w:t>
      </w:r>
    </w:p>
    <w:p>
      <w:pPr>
        <w:spacing w:after="0" w:line="143"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b w:val="1"/>
          <w:bCs w:val="1"/>
          <w:color w:val="DC202E"/>
        </w:rPr>
        <w:t>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42" w:lineRule="exact"/>
        <w:rPr>
          <w:sz w:val="20"/>
          <w:szCs w:val="20"/>
          <w:color w:val="auto"/>
        </w:rPr>
      </w:pPr>
    </w:p>
    <w:p>
      <w:pPr>
        <w:jc w:val="both"/>
        <w:ind w:left="128" w:hanging="128"/>
        <w:spacing w:after="0" w:line="243" w:lineRule="auto"/>
        <w:tabs>
          <w:tab w:leader="none" w:pos="126" w:val="left"/>
        </w:tabs>
        <w:numPr>
          <w:ilvl w:val="0"/>
          <w:numId w:val="57"/>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Aerospace</w:t>
      </w:r>
      <w:r>
        <w:rPr>
          <w:rFonts w:ascii="Arial" w:cs="Arial" w:eastAsia="Arial" w:hAnsi="Arial"/>
          <w:sz w:val="11"/>
          <w:szCs w:val="11"/>
          <w:color w:val="auto"/>
        </w:rPr>
        <w:t>—Our Aerospace business is impacted by customer buying patterns of aftermarket parts, supplier stability, factory transitions, and global supply chain capacity constraints that may lead to shortages of crucial components.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Operating results may be adversely affected by downturns in the global demand for air travel, which may impact new aircraft production or result in the delay or cancellation of new aircraft orders, delays in launch schedules for new aircraft, the retirement of aircraft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public health, safety, or environmental events, such as the effects of the COVID-19 pandemic, which impacted our operating results.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30" w:lineRule="exact"/>
        <w:rPr>
          <w:rFonts w:ascii="Arial" w:cs="Arial" w:eastAsia="Arial" w:hAnsi="Arial"/>
          <w:sz w:val="11"/>
          <w:szCs w:val="11"/>
          <w:b w:val="1"/>
          <w:bCs w:val="1"/>
          <w:color w:val="D7282F"/>
        </w:rPr>
      </w:pPr>
    </w:p>
    <w:p>
      <w:pPr>
        <w:ind w:left="128" w:hanging="128"/>
        <w:spacing w:after="0" w:line="268" w:lineRule="auto"/>
        <w:tabs>
          <w:tab w:leader="none" w:pos="126" w:val="left"/>
        </w:tabs>
        <w:numPr>
          <w:ilvl w:val="0"/>
          <w:numId w:val="57"/>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Honeywell Building Technologies</w:t>
      </w:r>
      <w:r>
        <w:rPr>
          <w:rFonts w:ascii="Arial" w:cs="Arial" w:eastAsia="Arial" w:hAnsi="Arial"/>
          <w:sz w:val="11"/>
          <w:szCs w:val="11"/>
          <w:color w:val="auto"/>
        </w:rPr>
        <w:t>—Operating results may be adversely impacted by downturns in the level of global commercial construction activity (including retrofits and upgrades), lower capital spending and operating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expenditures on building projects, changes in the competitive landscape including new market entrants and new technologies, and fluctuations in inventory levels in distribution channels.</w:t>
      </w:r>
    </w:p>
    <w:p>
      <w:pPr>
        <w:spacing w:after="0" w:line="23" w:lineRule="exact"/>
        <w:rPr>
          <w:rFonts w:ascii="Arial" w:cs="Arial" w:eastAsia="Arial" w:hAnsi="Arial"/>
          <w:sz w:val="11"/>
          <w:szCs w:val="11"/>
          <w:b w:val="1"/>
          <w:bCs w:val="1"/>
          <w:color w:val="D7282F"/>
        </w:rPr>
      </w:pPr>
    </w:p>
    <w:p>
      <w:pPr>
        <w:jc w:val="both"/>
        <w:ind w:left="128" w:hanging="128"/>
        <w:spacing w:after="0" w:line="253" w:lineRule="auto"/>
        <w:tabs>
          <w:tab w:leader="none" w:pos="126" w:val="left"/>
        </w:tabs>
        <w:numPr>
          <w:ilvl w:val="0"/>
          <w:numId w:val="57"/>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Performance Materials and Technologies</w:t>
      </w:r>
      <w:r>
        <w:rPr>
          <w:rFonts w:ascii="Arial" w:cs="Arial" w:eastAsia="Arial" w:hAnsi="Arial"/>
          <w:sz w:val="11"/>
          <w:szCs w:val="11"/>
          <w:color w:val="auto"/>
        </w:rPr>
        <w:t>—Operating results may be adversely impacted by downturns in capacity utilization for chemical, industrial, refining, petrochemical, and semiconductor plants, our customers’ availability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for refinery construction and expansion, raw material demand and supply, product commoditization, continued illegal imports of hydrofluorocarbons into Europe,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22" w:lineRule="exact"/>
        <w:rPr>
          <w:rFonts w:ascii="Arial" w:cs="Arial" w:eastAsia="Arial" w:hAnsi="Arial"/>
          <w:sz w:val="11"/>
          <w:szCs w:val="11"/>
          <w:b w:val="1"/>
          <w:bCs w:val="1"/>
          <w:color w:val="D7282F"/>
        </w:rPr>
      </w:pPr>
    </w:p>
    <w:p>
      <w:pPr>
        <w:jc w:val="both"/>
        <w:ind w:left="128" w:right="20" w:hanging="128"/>
        <w:spacing w:after="0" w:line="253" w:lineRule="auto"/>
        <w:tabs>
          <w:tab w:leader="none" w:pos="126" w:val="left"/>
        </w:tabs>
        <w:numPr>
          <w:ilvl w:val="0"/>
          <w:numId w:val="57"/>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Safety and Productivity Solutions</w:t>
      </w:r>
      <w:r>
        <w:rPr>
          <w:rFonts w:ascii="Arial" w:cs="Arial" w:eastAsia="Arial" w:hAnsi="Arial"/>
          <w:sz w:val="11"/>
          <w:szCs w:val="11"/>
          <w:color w:val="auto"/>
        </w:rPr>
        <w:t>—Operating results may be adversely impacted by reduced investments in process automation, safety monitoring, and plant capacity utilization initiatives, fluctuations in retail markets, a slowdown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demand for safety products, changes in the competitive landscape, including new market entrants and technology that may lead to product commoditization, and adverse industry economic conditions, all of which could result in lower market share, reduced selling prices and lower margins.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C202E"/>
        </w:rPr>
        <w:t>The global COVID-19 pandemic and related impacts have adversely affected and may continue to adversely affect, our business, financial condition, results of operations, liquidity, and cash flow.</w:t>
      </w:r>
    </w:p>
    <w:p>
      <w:pPr>
        <w:spacing w:after="0" w:line="84" w:lineRule="exact"/>
        <w:rPr>
          <w:sz w:val="20"/>
          <w:szCs w:val="20"/>
          <w:color w:val="auto"/>
        </w:rPr>
      </w:pPr>
    </w:p>
    <w:p>
      <w:pPr>
        <w:jc w:val="both"/>
        <w:ind w:left="8"/>
        <w:spacing w:after="0" w:line="239" w:lineRule="auto"/>
        <w:rPr>
          <w:sz w:val="20"/>
          <w:szCs w:val="20"/>
          <w:color w:val="auto"/>
        </w:rPr>
      </w:pPr>
      <w:r>
        <w:rPr>
          <w:rFonts w:ascii="Arial" w:cs="Arial" w:eastAsia="Arial" w:hAnsi="Arial"/>
          <w:sz w:val="11"/>
          <w:szCs w:val="11"/>
          <w:color w:val="auto"/>
        </w:rPr>
        <w:t>The continued global spread of COVID-19 creates significant volatility, uncertainty and economic disruption that have impacted our business, operations, and financial results and may continue to do so. The extent to which the COVID-19 pandemic will continue to impact our business, operations and financial results will depend on numerous evolving factors that we may not be able to accurately predict, including: the duration, scope and severity of the pandemic, including emergence and impact of new variants; some of which have been, and may be in the future, more virulent or transmissible than the initial strain, and any continued increase in cases globally and across the United States in particular, including breakthrough infections among the fully vaccinated population, as well as the timing, availability, and acceptance of effective medical treatments and vaccines; the pace of vaccine deployment; the impact of vaccine mandates, governmental, business and individual decisions and actions; the impact of the pandemic on economic activity; and the extent to which we or our employees, customers, suppliers, service providers or other business partners may be prevented from conducting normal business activities, including due to shutdowns or other restrictive measures that may be requested or mandated by governmental authorities. These factors could, among other things, continue to disrupt (i) the purchasing, contracting and payment behaviors of our customers and their end-users; (ii) our operations, including our manufacturing activities, the shipment of our products, and the performance of our suppliers and service providers; and (iii) our liquidity and cash flow.</w:t>
      </w:r>
    </w:p>
    <w:p>
      <w:pPr>
        <w:spacing w:after="0" w:line="200" w:lineRule="exact"/>
        <w:rPr>
          <w:sz w:val="20"/>
          <w:szCs w:val="20"/>
          <w:color w:val="auto"/>
        </w:rPr>
      </w:pPr>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29</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31" w:name="page32"/>
    <w:bookmarkEnd w:id="31"/>
    <w:p>
      <w:pPr>
        <w:ind w:left="8"/>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
        <w:spacing w:after="0"/>
        <w:rPr>
          <w:sz w:val="20"/>
          <w:szCs w:val="20"/>
          <w:color w:val="auto"/>
        </w:rPr>
      </w:pPr>
      <w:r>
        <w:rPr>
          <w:rFonts w:ascii="Arial" w:cs="Arial" w:eastAsia="Arial" w:hAnsi="Arial"/>
          <w:sz w:val="11"/>
          <w:szCs w:val="11"/>
          <w:color w:val="auto"/>
        </w:rPr>
        <w:t>Risks arising from the COVID-19 pandemic impacting our business and that may continue to impact our business, financial condition, results of operations and prospects include, among other things:</w:t>
      </w:r>
    </w:p>
    <w:p>
      <w:pPr>
        <w:spacing w:after="0" w:line="60" w:lineRule="exact"/>
        <w:rPr>
          <w:sz w:val="20"/>
          <w:szCs w:val="20"/>
          <w:color w:val="auto"/>
        </w:rPr>
      </w:pPr>
    </w:p>
    <w:p>
      <w:pPr>
        <w:jc w:val="both"/>
        <w:ind w:left="128" w:hanging="128"/>
        <w:spacing w:after="0" w:line="244" w:lineRule="auto"/>
        <w:tabs>
          <w:tab w:leader="none" w:pos="126" w:val="left"/>
        </w:tabs>
        <w:numPr>
          <w:ilvl w:val="0"/>
          <w:numId w:val="58"/>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Customer Risk</w:t>
      </w:r>
      <w:r>
        <w:rPr>
          <w:rFonts w:ascii="Arial" w:cs="Arial" w:eastAsia="Arial" w:hAnsi="Arial"/>
          <w:sz w:val="11"/>
          <w:szCs w:val="11"/>
          <w:color w:val="auto"/>
        </w:rPr>
        <w:t>—Existing and potential customers and their end-users may continue to take actions to reduce or suspend operations, reduce or delay spending, cancel contracts, or cut costs in a manner that reduces demand for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products and services. In particular, lower demand for air travel may continue to cause our customers to delay or suspend spending in connection with the manufacturing, repair, overhaul or servicing of aircraft, and there may be long-term deterioration in demand for air travel that could impact our business beyond the current COVID-19 health crisis. Customers may also continue to attempt to renegotiate contracts and obtain concessions, face financial constraints on their ability to make payments to us on a timely basis or at all, or enter into bankruptcy or discontinue their business operations, and we may continue to be required to discount the pricing of our products. In addition, unfavorable customer site conditions, such as closure of or access restrictions to customer facilities, and disruptions to our customers’ third-party logistics, warehousing, inventory management, and distribution services may continue to limit our ability to sell products, meet billing milestones, or provide services.</w:t>
      </w:r>
    </w:p>
    <w:p>
      <w:pPr>
        <w:spacing w:after="0" w:line="29" w:lineRule="exact"/>
        <w:rPr>
          <w:rFonts w:ascii="Arial" w:cs="Arial" w:eastAsia="Arial" w:hAnsi="Arial"/>
          <w:sz w:val="11"/>
          <w:szCs w:val="11"/>
          <w:b w:val="1"/>
          <w:bCs w:val="1"/>
          <w:color w:val="D7282F"/>
        </w:rPr>
      </w:pPr>
    </w:p>
    <w:p>
      <w:pPr>
        <w:jc w:val="both"/>
        <w:ind w:left="128" w:hanging="128"/>
        <w:spacing w:after="0" w:line="241" w:lineRule="auto"/>
        <w:tabs>
          <w:tab w:leader="none" w:pos="126" w:val="left"/>
        </w:tabs>
        <w:numPr>
          <w:ilvl w:val="0"/>
          <w:numId w:val="58"/>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Operations Risk</w:t>
      </w:r>
      <w:r>
        <w:rPr>
          <w:rFonts w:ascii="Arial" w:cs="Arial" w:eastAsia="Arial" w:hAnsi="Arial"/>
          <w:sz w:val="11"/>
          <w:szCs w:val="11"/>
          <w:color w:val="auto"/>
        </w:rPr>
        <w:t>—The closure of our facilities, restrictions inhibiting our employees’ ability to access those facilities, materials and labor shortages, and disruptions to the ability of our suppliers or service providers to deliver goods 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services to us (including as a result of supplier facility closures or access restrictions, disruptions to their supply chains, and supplier liquidity or bankruptcy risk) could further disrupt our ability to provide our services and solutions and result in, among other things, higher costs which may not be recoverable under customer contracts, claims for liquidated damages in the event of delays, terminations of customer contracts and losses of revenue. Because the COVID-19 pandemic could adversely affect our near-term and long-term revenues, earnings, liquidity, and cash flows, we have taken and may be required to redeploy significant cost actions, including but not limited to reducing discretionary expenses (such as non-essential travel, contractors, and consultants), reducing hiring, canceling annual merit increases, reducing executive and board of director pay, reducing work schedules across the enterprise, shortening or staggering work schedules to match production with demand, and reducing staffing levels, as well as increasing supplier-based productivity and enhancing spending-limit controls. However, the extent to which our mitigation efforts are successful, if at all, is not currently ascertainable; also, our costs may not decrease at the same pace as revenue declines as many of our costs are less variable in nature, and we may not be able to or may not choose to significantly reduce them in an effort to remain focused on long-term outlook and growth opportunities. Further, our management of the impact of COVID-19 will continue to require significant investment of time from our management and employees, as well as resources across our global enterprise. The focus on managing and mitigating the impacts of COVID-19 on our business may cause us to divert or delay the application of our resources toward new initiatives or investments, which may adversely impact our future results of operations. Issues relating to the COVID-19 pandemic may also result in legal claims or litigation against us. In addition, remote work has increased the frequency of cybersecurity attacks, including phishing, and malware attempts that utilize COVID-19-related strategies, increasing the risk of a material cybersecurity incident that could result in the loss of proprietary or personal data, render us more vulnerable to future cybersecurity attacks, disrupt our operations, or otherwise cause us reputational or financial harm.</w:t>
      </w:r>
    </w:p>
    <w:p>
      <w:pPr>
        <w:spacing w:after="0" w:line="32" w:lineRule="exact"/>
        <w:rPr>
          <w:rFonts w:ascii="Arial" w:cs="Arial" w:eastAsia="Arial" w:hAnsi="Arial"/>
          <w:sz w:val="11"/>
          <w:szCs w:val="11"/>
          <w:b w:val="1"/>
          <w:bCs w:val="1"/>
          <w:color w:val="D7282F"/>
        </w:rPr>
      </w:pPr>
    </w:p>
    <w:p>
      <w:pPr>
        <w:jc w:val="both"/>
        <w:ind w:left="128" w:hanging="128"/>
        <w:spacing w:after="0" w:line="248" w:lineRule="auto"/>
        <w:tabs>
          <w:tab w:leader="none" w:pos="126" w:val="left"/>
        </w:tabs>
        <w:numPr>
          <w:ilvl w:val="0"/>
          <w:numId w:val="58"/>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Liquidity and Cash Flow Risk</w:t>
      </w:r>
      <w:r>
        <w:rPr>
          <w:rFonts w:ascii="Arial" w:cs="Arial" w:eastAsia="Arial" w:hAnsi="Arial"/>
          <w:sz w:val="11"/>
          <w:szCs w:val="11"/>
          <w:color w:val="auto"/>
        </w:rPr>
        <w:t>—Because of the customer and operations risks described above, our business may not continue to generate sufficient cash flow from operations in the future to service our debt and make necessary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expenditures. If we are unable to generate such cash flow, we may need to use existing cash balances to service our debt, and if such balances are insufficient, then we may be required to engage in one or more alternatives, such as selling assets, restructuring of existing debt, issuing new debt, or obtaining additional equity capital on terms that may be onerous or highly dilutive. Our ability to refinance our indebtedness will depend on the capital markets and our financial condition at such time.</w:t>
      </w:r>
    </w:p>
    <w:p>
      <w:pPr>
        <w:spacing w:after="0" w:line="65"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Due to the changing landscape of the COVID-19 pandemic and the responses to curb its spread, we cannot predict the ultimate impact the COVID-19 pandemic will have on our business, financial condition, results of operations, liquidity, and cash flow. Any recovery from the COVID-19 pandemic and related economic impact may be slowed or reversed by a variety of factors. In addition, even after the COVID-19 pandemic has subsided, we may continue to experience adverse impacts to our business as a result of its global economic impact, including any recession that may occur in the future. Further, many of the factors disclosed under Risk Factors in this Form 10-K are, and we anticipate will continue to be further, heightened or exacerbated by the impact of the COVID-19 pandemic.</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C202E"/>
        </w:rPr>
        <w:t>A significant percentage of our sales and operations is in non-U.S. jurisdictions and is subject to the economic, political, regulatory, foreign exchange, and other risks of international operations.</w:t>
      </w:r>
    </w:p>
    <w:p>
      <w:pPr>
        <w:spacing w:after="0" w:line="84"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including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281" w:lineRule="exact"/>
        <w:rPr>
          <w:sz w:val="20"/>
          <w:szCs w:val="20"/>
          <w:color w:val="auto"/>
        </w:rPr>
      </w:pPr>
    </w:p>
    <w:p>
      <w:pPr>
        <w:ind w:left="468" w:hanging="468"/>
        <w:spacing w:after="0"/>
        <w:tabs>
          <w:tab w:leader="none" w:pos="468" w:val="left"/>
        </w:tabs>
        <w:numPr>
          <w:ilvl w:val="0"/>
          <w:numId w:val="5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2" w:name="page33"/>
    <w:bookmarkEnd w:id="32"/>
    <w:p>
      <w:pPr>
        <w:jc w:val="right"/>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0"/>
          <w:szCs w:val="10"/>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The United States continues to implement certain trade actions, including imposing tariffs on certain goods imported from China and other countries, which has resulted in retaliatory tariffs by China and other countries. Additional tariffs, export controls and sanctions laws imposed by the United States on a broader range of imports, or further retaliatory trade measures taken by China or other countries in response, could increase the cost of our products. The United States and other countries may implement actions, including trade actions, tariffs, export controls, and sanctions, against other countries or localities, including potentially against certain Russian government, government-related, or other entities or individuals related to actions in Ukraine, which along with any retaliatory measures could increase costs, adversely affect our operations, or adversely affect our ability to meet contractual and financial obligations.</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Operating outside of the United States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68"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Operating outside the United States also exposes us to additional intellectual property risk. The laws and enforcement practices of certain jurisdictions in which we operate may not protect our intellectual property rights to the same extent as in the United States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color w:val="D7282F"/>
        </w:rPr>
        <w:t>Risks related to our defined benefit pension plans may adversely impact our results of operations and cash flow.</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D7282F"/>
        </w:rPr>
        <w:t>OPERATIONAL RISKS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b w:val="1"/>
          <w:bCs w:val="1"/>
          <w:color w:val="D7282F"/>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54"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The cost of raw materials is a key element in the cost of our products, particularly in Performance Materials and Technologies (copper, fluorspar, tungsten salts, ethylene, aluminum, and molybdenum) and in Aerospace (nickel, steel, titanium and other metals). As of December 31, 2021, Aerospace and Performance Materials and Technologies had 80% and 63%, respectively, of raw materials supply base under contract. Due to supply chain constraints and labor shortages, including as a result of the ongoing COVID-19 pandemic, there have been recent inflationary trends in the cost of raw materials, including increases in labor and freight costs, for the transportation of raw materials. Our inability to offset material price or labor inflation through increased prices to customers, formula-driven or long-term fixed price contracts with suppliers, productivity actions or commodity hedges could adversely affect our results of operations.</w:t>
      </w:r>
    </w:p>
    <w:p>
      <w:pPr>
        <w:spacing w:after="0" w:line="53" w:lineRule="exact"/>
        <w:rPr>
          <w:sz w:val="20"/>
          <w:szCs w:val="20"/>
          <w:color w:val="auto"/>
        </w:rPr>
      </w:pPr>
    </w:p>
    <w:p>
      <w:pPr>
        <w:jc w:val="both"/>
        <w:spacing w:after="0"/>
        <w:rPr>
          <w:sz w:val="20"/>
          <w:szCs w:val="20"/>
          <w:color w:val="auto"/>
        </w:rPr>
      </w:pPr>
      <w:r>
        <w:rPr>
          <w:rFonts w:ascii="Arial" w:cs="Arial" w:eastAsia="Arial" w:hAnsi="Arial"/>
          <w:sz w:val="11"/>
          <w:szCs w:val="11"/>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the ongoing COVID-19 pandemic,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31</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33" w:name="page34"/>
    <w:bookmarkEnd w:id="33"/>
    <w:p>
      <w:pPr>
        <w:ind w:left="8"/>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8" w:hanging="468"/>
        <w:spacing w:after="0"/>
        <w:tabs>
          <w:tab w:leader="none" w:pos="468" w:val="left"/>
        </w:tabs>
        <w:numPr>
          <w:ilvl w:val="0"/>
          <w:numId w:val="60"/>
        </w:numPr>
        <w:rPr>
          <w:rFonts w:ascii="Arial" w:cs="Arial" w:eastAsia="Arial" w:hAnsi="Arial"/>
          <w:sz w:val="11"/>
          <w:szCs w:val="11"/>
          <w:b w:val="1"/>
          <w:bCs w:val="1"/>
          <w:color w:val="D7282F"/>
        </w:rPr>
      </w:pPr>
      <w:r>
        <w:rPr>
          <w:rFonts w:ascii="Arial" w:cs="Arial" w:eastAsia="Arial" w:hAnsi="Arial"/>
          <w:sz w:val="9"/>
          <w:szCs w:val="9"/>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25"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DC202E"/>
        </w:rPr>
        <w:t>We may be unable to successfully execute or effectively integrate acquisitions, and divestitures may not occur as planned.</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11"/>
          <w:szCs w:val="11"/>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color w:val="D7282F"/>
        </w:rPr>
        <w:t>Our future growth is largely dependent upon our ability to develop new technologies and introduce new products that achieve market acceptance in increasingly competitive markets with acceptable margins.</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11"/>
          <w:szCs w:val="11"/>
          <w:color w:val="auto"/>
        </w:rPr>
        <w:t>Our future growth rate depends upon a number of factors, including our ability to (i) identify and evolve with emerging technological and broader industry trends in our target end-markets;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 (vii) achieve sufficient return on investment for new products introduced based on capital expenditures and research and development spending; (viii) respond to changes in overall trends related to end-market demand; and (ix)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1"/>
          <w:szCs w:val="11"/>
          <w:b w:val="1"/>
          <w:bCs w:val="1"/>
          <w:color w:val="D7282F"/>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11"/>
          <w:szCs w:val="11"/>
          <w:color w:val="auto"/>
        </w:rPr>
        <w:t>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trends in rising labor costs and labor availability, labor relations difficulties, or workforce stoppage could have a material adverse effect on our business, reputation, financial position and results of operations.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1"/>
          <w:szCs w:val="11"/>
          <w:b w:val="1"/>
          <w:bCs w:val="1"/>
          <w:color w:val="D7282F"/>
        </w:rPr>
        <w:t>As a supplier to the U.S. government, we are subject to unique risks, such as the right of the U.S. government to terminate contracts for convenience and to conduct audits and investigations of our operations and performance.</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33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35" w:name="page36"/>
    <w:bookmarkEnd w:id="35"/>
    <w:p>
      <w:pPr>
        <w:ind w:left="8"/>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operations and the prior operations of predecessor companies expose us to the risk of material environmental liabilities.</w:t>
      </w:r>
    </w:p>
    <w:p>
      <w:pPr>
        <w:spacing w:after="0" w:line="84" w:lineRule="exact"/>
        <w:rPr>
          <w:sz w:val="20"/>
          <w:szCs w:val="20"/>
          <w:color w:val="auto"/>
        </w:rPr>
      </w:pPr>
    </w:p>
    <w:p>
      <w:pPr>
        <w:jc w:val="both"/>
        <w:ind w:left="8"/>
        <w:spacing w:after="0" w:line="239" w:lineRule="auto"/>
        <w:rPr>
          <w:sz w:val="20"/>
          <w:szCs w:val="20"/>
          <w:color w:val="auto"/>
        </w:rPr>
      </w:pPr>
      <w:r>
        <w:rPr>
          <w:rFonts w:ascii="Arial" w:cs="Arial" w:eastAsia="Arial" w:hAnsi="Arial"/>
          <w:sz w:val="11"/>
          <w:szCs w:val="11"/>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Cybersecurity incidents could disrupt business operations, result in the loss of critical and confidential information, and adversely impact our reputation and results of operations.</w:t>
      </w:r>
    </w:p>
    <w:p>
      <w:pPr>
        <w:spacing w:after="0" w:line="84" w:lineRule="exact"/>
        <w:rPr>
          <w:sz w:val="20"/>
          <w:szCs w:val="20"/>
          <w:color w:val="auto"/>
        </w:rPr>
      </w:pPr>
    </w:p>
    <w:p>
      <w:pPr>
        <w:jc w:val="both"/>
        <w:ind w:left="8"/>
        <w:spacing w:after="0" w:line="239" w:lineRule="auto"/>
        <w:rPr>
          <w:sz w:val="20"/>
          <w:szCs w:val="20"/>
          <w:color w:val="auto"/>
        </w:rPr>
      </w:pPr>
      <w:r>
        <w:rPr>
          <w:rFonts w:ascii="Arial" w:cs="Arial" w:eastAsia="Arial" w:hAnsi="Arial"/>
          <w:sz w:val="11"/>
          <w:szCs w:val="11"/>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(against us or parties with whom we contract),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and its effects include financial loss, reputational damage, litigation with third parties, theft of intellectual property, fines levied by the Federal Trade Commission or other government agencies, diminution in the value of our investment in research, development and engineering, and increased cybersecurity protection and remediation costs due to the increasing sophistication and proliferation of threats, which in turn could adversely affect our competitiveness and results of operations. In addition, cybersecurity laws and regulations continue to evolve, and are increasingly demanding, both in the U.S. and globally, which adds compliance complexity and may increase our costs of compliance and expose us to reputational damage or litigation, monetary damages, regulatory enforcement actions or fines in one or more jurisdictions. While we carry cyber insurance, we cannot be certain that our coverage will be adequate for liabilities actually incurred, that insurance will continue to be available to us on economically reasonable terms, or at all, or that any insurer will not deny coverage as to any future claim.</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The development of technology products and services presents security and safety risks.</w:t>
      </w:r>
    </w:p>
    <w:p>
      <w:pPr>
        <w:spacing w:after="0" w:line="84"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An increasing number of our products, services, and technologies are delivered with Internet of Things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w:t>
      </w:r>
    </w:p>
    <w:p>
      <w:pPr>
        <w:spacing w:after="0" w:line="281" w:lineRule="exact"/>
        <w:rPr>
          <w:sz w:val="20"/>
          <w:szCs w:val="20"/>
          <w:color w:val="auto"/>
        </w:rPr>
      </w:pPr>
    </w:p>
    <w:p>
      <w:pPr>
        <w:ind w:left="468" w:hanging="468"/>
        <w:spacing w:after="0"/>
        <w:tabs>
          <w:tab w:leader="none" w:pos="468" w:val="left"/>
        </w:tabs>
        <w:numPr>
          <w:ilvl w:val="0"/>
          <w:numId w:val="6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b w:val="1"/>
          <w:bCs w:val="1"/>
          <w:color w:val="D7282F"/>
        </w:rPr>
        <w:t>Data privacy, data protection, and information security may require significant resources and present certain risks.</w:t>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1"/>
          <w:szCs w:val="11"/>
          <w:color w:val="auto"/>
        </w:rPr>
        <w:t>We collect, store, have access to and otherwise process certain confidential or sensitive data, including proprietary business information, personal data or other information that is subject to privacy and security laws, regulations and/or customer-imposed controls. Despite our efforts to protect such data, we may be vulnerable to material security breaches, theft, misplaced or lost data, programming errors, or employee errors that could potentially lead to the compromising of such data, improper use of our systems, software solutions or networks, unauthorized access, use, disclosure, modification or destruction of information, defective products, production downtimes and operational disruptions.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For example, European laws require us to have an approved legal mechanism to transfer personal data out of Europe; the European Union General Data Protection Regulation, which became enforceable in May 2018, superseded prior European Union data protection legislation and imposes more stringent requirements in how we collect and process personal data and provides for significantly greater penalties for noncompliance; and several other states and countries have passed or are considering laws that require personal data relating to their residents or citizens to be maintained on local servers and impose additional data transfer restrictions.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b w:val="1"/>
          <w:bCs w:val="1"/>
          <w:color w:val="D7282F"/>
        </w:rPr>
        <w:t>A material disruption of our operations, particularly at our manufacturing facilities or within our information technology infrastructure, could adversely affect our business.</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11"/>
          <w:szCs w:val="11"/>
          <w:color w:val="auto"/>
        </w:rPr>
        <w:t>Our facilities, supply chains, distribution systems, and information technology systems are subject to catastrophic loss due to natural disasters or other disruptions, including hurricanes and floods, power outages, fires, explosions, terrorism, equipment failures, sabotage, cyber incidents, any potential effects of climate change and adverse weather conditions, labor disputes, critical supply failure, inaccurate downtime forecast, political disruption, public health crises, like a regional or global pandemic, and other reasons, which can result in undesirable consequences, including financial losses and damaged relationships with customers. The ongoing COVID-19 pandemic has disrupted and may continue to disrupt our supply chain, distribution channels, production facilities, operations and customer demand, which has negatively impacted our operations and adversely affected our business and could continue to do so. We employ information technology systems and networks to support the business and rely on them to process, transmit and store electronic information, and to manage or support a variety of business processes and activities. Disruptions to our information technology infrastructure from system failures, shutdowns, power outages,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w:t>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b w:val="1"/>
          <w:bCs w:val="1"/>
          <w:color w:val="D7282F"/>
        </w:rPr>
        <w:t>Concentrations of credit, counterparty and market risk may adversely affect our results of operations and financial condition.</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economic conditions, including the impact of the COVID-19 pandemic, could also lead to concerns about the creditworthiness of counterparties in the same or similar industry or geography, impacting our ability to renew our long-term contractual arrangements or collect amounts due under these arrangements. Among other factors, changes in economic conditions could also result in the credit deterioration or insolvency of a significant counterparty.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35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37" w:name="page38"/>
    <w:bookmarkEnd w:id="37"/>
    <w:p>
      <w:pPr>
        <w:ind w:left="8"/>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We are impacted by increasing stakeholder interest in public company performance, disclosure, and goal-setting with respect to environmental, social, and governance (ESG) matters.</w:t>
      </w:r>
    </w:p>
    <w:p>
      <w:pPr>
        <w:spacing w:after="0" w:line="84" w:lineRule="exact"/>
        <w:rPr>
          <w:sz w:val="20"/>
          <w:szCs w:val="20"/>
          <w:color w:val="auto"/>
        </w:rPr>
      </w:pPr>
    </w:p>
    <w:p>
      <w:pPr>
        <w:jc w:val="both"/>
        <w:ind w:left="8"/>
        <w:spacing w:after="0" w:line="239" w:lineRule="auto"/>
        <w:rPr>
          <w:sz w:val="20"/>
          <w:szCs w:val="20"/>
          <w:color w:val="auto"/>
        </w:rPr>
      </w:pPr>
      <w:r>
        <w:rPr>
          <w:rFonts w:ascii="Arial" w:cs="Arial" w:eastAsia="Arial" w:hAnsi="Arial"/>
          <w:sz w:val="11"/>
          <w:szCs w:val="11"/>
          <w:color w:val="auto"/>
        </w:rPr>
        <w:t>In response to growing customer, investor, employee, governmental, and other stakeholder interest in our ESG practices, including our procedures, standards, performance metrics, and goals, we have increased reporting of our ESG programs and performance and have established and announced goals and other objectives related to ESG matters. These goal statements reflect our current plans and aspirations and are not guarantees that we will be able to achieve them. Our ability to achieve any goal or objective, including with respect to ESG initiatives, is subject to numerous risks, many of which are outside of our control. Examples of such risks include: (1) the availability and cost of low- or non-carbon-based energy sources and technologies, (2) evolving regulatory requirements affecting ESG standards or disclosures, (3) the availability of suppliers that can meet our sustainability, diversity and other standards, (4) our ability to recruit, develop, and retain diverse talent in our labor markets, and (5) the impact of our organic growth and acquisitions or dispositions of businesses or operations. In addition, standards for tracking and reporting on ESG matters have not been harmonized and continue to evolve. Our processes and controls for reporting of ESG matters may not always comply with evolving and disparate standards for identifying, measuring, and reporting ESG metrics, our interpretation of reporting standards may differ from those of others, and such standards may change over time, any of which could result in significant revisions to our performance metrics, goals or reported progress in achieving such goals. In addition, certain of our products and services, including offerings in our Defense and Space business unit, are unattractive to certain investors and may cause us to be increasingly subject to ESG-driven investment practices that preclude investment in our debt and equity.</w:t>
      </w:r>
    </w:p>
    <w:p>
      <w:pPr>
        <w:spacing w:after="0" w:line="72"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If our ESG practices or business portfolio do not meet evolving investor or other stakeholder expectations and standards, then our reputation, our ability to attract or retain employees and our attractiveness as an investment, supplier, business partner, or acquiror could be negatively impacted. In addition, our failure or perceived failure to pursue or fulfill our goals, targets, and objectives or to satisfy various reporting standards within the timelines we announce, or at all, could have similar negative impacts and expose us to government enforcement actions and private litigation.</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LEGAL AND REGULATORY RISKS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U.S. and non-U.S. tax liabilities are dependent, in part, upon the distribution of income among various jurisdictions in which we operate.</w:t>
      </w:r>
    </w:p>
    <w:p>
      <w:pPr>
        <w:spacing w:after="0" w:line="84"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Our future results of operations could be adversely affected by changes in the effective tax rate as a result of a change in the mix of earnings in countries with differing statutory tax rates, changes in tax laws (e.g., potential tax law changes in the United States to increase the U.S. Corporate tax rate),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Changes in legislation or government regulations or policies can have a significant impact on our results of operations.</w:t>
      </w:r>
    </w:p>
    <w:p>
      <w:pPr>
        <w:spacing w:after="0" w:line="84"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The sales and margins of each of our segments are directly impacted by government regulations, including environmental, safety, performance, and product certification regulations. Within Aerospace, the operating results of Commercial Original Equipment and Commercial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Within Honeywell Building Technologies and Safety and Productivity Solutions, the demand for and cost of providing products, services and solutions can be impacted by fire, security, safety, health care, environmental, and energy efficiency standards and regulations. Performance Materials and Technologies’ results of operations can be impacted by environmental standards, regulations, and judicial determinations</w:t>
      </w:r>
      <w:r>
        <w:rPr>
          <w:rFonts w:ascii="Arial" w:cs="Arial" w:eastAsia="Arial" w:hAnsi="Arial"/>
          <w:sz w:val="11"/>
          <w:szCs w:val="11"/>
          <w:i w:val="1"/>
          <w:iCs w:val="1"/>
          <w:color w:val="auto"/>
        </w:rPr>
        <w:t>.</w:t>
      </w:r>
      <w:r>
        <w:rPr>
          <w:rFonts w:ascii="Arial" w:cs="Arial" w:eastAsia="Arial" w:hAnsi="Arial"/>
          <w:sz w:val="11"/>
          <w:szCs w:val="11"/>
          <w:color w:val="auto"/>
        </w:rPr>
        <w:t xml:space="preserve">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spacing w:after="0" w:line="69"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Increased public awareness and concern regarding global climate change and other ESG matters may result in more international, regional and/or federal regulatory or other stakeholder requirements or expectations that could mandate more restrictive or expansive standards, such as stricter limits on greenhouse gas emissions or more prescriptive reporting of environmental, social, and governance metrics, practices and targets, than the voluntary commitments that the Company has adopted or require such changes on a more accelerated time frame. There continues to be a lack of consistent climate legislation, which creates economic and regulatory uncertainty; however, there has been an increasing amount of legislative and regulatory activity, particularly in the European Union, United Kingdom, and U.S. If environmental laws or regulations are either changed or adopted and impose significant operational restrictions and compliance requirements upon the Company or its products, they could negatively impact the Company’s business, capital expenditures, results of operations, financial condition and competitive position.</w:t>
      </w:r>
    </w:p>
    <w:p>
      <w:pPr>
        <w:spacing w:after="0" w:line="282" w:lineRule="exact"/>
        <w:rPr>
          <w:sz w:val="20"/>
          <w:szCs w:val="20"/>
          <w:color w:val="auto"/>
        </w:rPr>
      </w:pPr>
    </w:p>
    <w:p>
      <w:pPr>
        <w:ind w:left="468" w:hanging="468"/>
        <w:spacing w:after="0"/>
        <w:tabs>
          <w:tab w:leader="none" w:pos="468" w:val="left"/>
        </w:tabs>
        <w:numPr>
          <w:ilvl w:val="0"/>
          <w:numId w:val="6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b w:val="1"/>
          <w:bCs w:val="1"/>
          <w:color w:val="D7282F"/>
        </w:rPr>
        <w:t>We cannot predict with certainty the outcome of litigation matters, government proceedings and other contingencies and uncertainties.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0"/>
          <w:szCs w:val="10"/>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43"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b w:val="1"/>
          <w:bCs w:val="1"/>
          <w:color w:val="D7282F"/>
        </w:rPr>
        <w:t>Vaccine mandates applicable to us, including the U.S. presidential executive order concerning mandatory COVID-19 vaccination of U.S.-based employees of companies that work on or in support of federal contracts could have a material adverse impact on our business and results of operations.</w:t>
      </w:r>
    </w:p>
    <w:p>
      <w:pPr>
        <w:spacing w:after="0" w:line="54" w:lineRule="exact"/>
        <w:rPr>
          <w:sz w:val="20"/>
          <w:szCs w:val="20"/>
          <w:color w:val="auto"/>
        </w:rPr>
      </w:pPr>
    </w:p>
    <w:p>
      <w:pPr>
        <w:jc w:val="both"/>
        <w:spacing w:after="0"/>
        <w:rPr>
          <w:sz w:val="20"/>
          <w:szCs w:val="20"/>
          <w:color w:val="auto"/>
        </w:rPr>
      </w:pPr>
      <w:r>
        <w:rPr>
          <w:rFonts w:ascii="Arial" w:cs="Arial" w:eastAsia="Arial" w:hAnsi="Arial"/>
          <w:sz w:val="11"/>
          <w:szCs w:val="11"/>
          <w:color w:val="auto"/>
        </w:rPr>
        <w:t>On September 9, 2021, President Biden issued an executive order for U.S. government contractors to mandate vaccination against COVID-19. The executive order covers U.S.-based employees at work locations that directly work on or in support of contracts with the U.S. government. On December 7, 2021, the U.S. District Court for the Southern District of Georgia imposed a nationwide injunction of the executive order, temporarily staying all requirements in the executive order. The District Court’s order was appealed to the Eleventh Circuit Court of Appeals, which declined to lift the injunction. It is expected that the U.S. government will appeal the stay to the United States Supreme Court. We implemented a vaccine mandate requiring all U.S.-based employees at work locations that work on or in support of contracts with the U.S. government to receive their first vaccine dose, or a medical or religious exemption, by January 4, 2022. Employees who did not satisfy these requirements, which represented less than 1% of eligible employees, were placed on unpaid leave effective January 10, 2022, and were terminated if they had not taken steps to comply by January 28, 2022. The Company has adopted a vaccine mandate for all U.S.-based prospective and future employees.</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1"/>
          <w:szCs w:val="11"/>
          <w:color w:val="auto"/>
        </w:rPr>
        <w:t>In addition, on September 9, 2021, President Biden announced that he directed the OSHA to develop an ETS mandating either the full vaccination or weekly testing of employees for employers with 100 or more employees. The OSHA ETS was published in the federal register on November 5, 2021, and mandates that employees of employers with 100 or more employees either become fully vaccinated by receiving the final dose of an approved COVID-19 vaccine on or before January 4, 2022, or undergo weekly testing. On January 13, 2022, the U.S. Supreme Court re-imposed a stay of the ETS and returned the case to the Sixth Circuit Court of Appeals. The majority of the Supreme Court held that the challengers to the ETS were likely to prevail on the merits because OSHA exceeded its statutory authority. While the Supreme Court’s ruling enjoined OSHA from imposing its mandate, the ruling has no impact on the ability of private employers to impose their own vaccine mandate. On January 25, 2022, OSHA announced it was withdrawing the ETS as a result of the U.S. Supreme Court ruling. However, Honeywell has implemented a vaccine mandate for its U.S. employees who were not subject to the executive order described in the above paragraph.</w:t>
      </w:r>
    </w:p>
    <w:p>
      <w:pPr>
        <w:spacing w:after="0" w:line="69"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Additional vaccine mandates, or the requirement for employees to receive vaccine booster doses, may be announced in other jurisdictions in which our businesses operate. Our implementation of existing or additional vaccine mandates may result in attrition, including attrition of critically skilled labor, and difficulty securing future labor needs, which could have a material adverse effect on our business, financial condition, and results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37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39" w:name="page40"/>
    <w:bookmarkEnd w:id="39"/>
    <w:p>
      <w:pPr>
        <w:ind w:left="8"/>
        <w:spacing w:after="0"/>
        <w:rPr>
          <w:sz w:val="20"/>
          <w:szCs w:val="20"/>
          <w:color w:val="auto"/>
        </w:rPr>
      </w:pPr>
      <w:r>
        <w:rPr>
          <w:rFonts w:ascii="Arial" w:cs="Arial" w:eastAsia="Arial" w:hAnsi="Arial"/>
          <w:sz w:val="23"/>
          <w:szCs w:val="23"/>
          <w:b w:val="1"/>
          <w:bCs w:val="1"/>
          <w:color w:val="auto"/>
        </w:rPr>
        <w:t>QUANTITATIVE AND QUALITATIVE DISCLOSURES ABOUT MARKET RISKS</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relating to market risks is included within Liquidity and Capital Resources of our Form 10-K under the caption “Financial Instruments”.</w:t>
      </w:r>
    </w:p>
    <w:p>
      <w:pPr>
        <w:spacing w:after="0" w:line="284" w:lineRule="exact"/>
        <w:rPr>
          <w:sz w:val="20"/>
          <w:szCs w:val="20"/>
          <w:color w:val="auto"/>
        </w:rPr>
      </w:pPr>
    </w:p>
    <w:p>
      <w:pPr>
        <w:ind w:left="468" w:hanging="468"/>
        <w:spacing w:after="0"/>
        <w:tabs>
          <w:tab w:leader="none" w:pos="468" w:val="left"/>
        </w:tabs>
        <w:numPr>
          <w:ilvl w:val="0"/>
          <w:numId w:val="6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909" w:right="1440" w:bottom="1440" w:gutter="0" w:footer="0" w:header="0"/>
        </w:sectPr>
      </w:pPr>
    </w:p>
    <w:bookmarkStart w:id="40" w:name="page41"/>
    <w:bookmarkEnd w:id="40"/>
    <w:p>
      <w:pPr>
        <w:ind w:left="8"/>
        <w:spacing w:after="0"/>
        <w:rPr>
          <w:sz w:val="20"/>
          <w:szCs w:val="20"/>
          <w:color w:val="auto"/>
        </w:rPr>
      </w:pPr>
      <w:r>
        <w:rPr>
          <w:rFonts w:ascii="Arial" w:cs="Arial" w:eastAsia="Arial" w:hAnsi="Arial"/>
          <w:sz w:val="24"/>
          <w:szCs w:val="24"/>
          <w:b w:val="1"/>
          <w:bCs w:val="1"/>
          <w:color w:val="auto"/>
        </w:rPr>
        <w:t>LIQUIDITY AND CAPITAL RESOURCES</w:t>
      </w:r>
    </w:p>
    <w:p>
      <w:pPr>
        <w:spacing w:after="0" w:line="26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(Dollars in tables in millions)</w:t>
      </w:r>
    </w:p>
    <w:p>
      <w:pPr>
        <w:spacing w:after="0" w:line="84"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balances.</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CASH</w:t>
      </w:r>
    </w:p>
    <w:p>
      <w:pPr>
        <w:spacing w:after="0" w:line="15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December 31, 2021 and 2020, we held $11.5 billion and $15.2 billion, respectively, of cash and cash equivalents, including our short-term investments.</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BORROWINGS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Consolidated total borrowings were $19.6 billion and $22.4 billion as of December 31, 2021 and 2020, respectively.</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9340" w:type="dxa"/>
            <w:vAlign w:val="bottom"/>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C202E"/>
            </w:tcBorders>
          </w:tcPr>
          <w:p>
            <w:pPr>
              <w:spacing w:after="0"/>
              <w:rPr>
                <w:sz w:val="10"/>
                <w:szCs w:val="10"/>
                <w:color w:val="auto"/>
              </w:rPr>
            </w:pPr>
          </w:p>
        </w:tc>
      </w:tr>
      <w:tr>
        <w:trPr>
          <w:trHeight w:val="115"/>
        </w:trPr>
        <w:tc>
          <w:tcPr>
            <w:tcW w:w="934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Commercial paper and other short-term borrowings</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3,542</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3,597</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Variable rate notes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622</w:t>
            </w: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1,122</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Fixed rate notes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7"/>
              </w:rPr>
              <w:t>15,314</w:t>
            </w: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17,399</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121</w:t>
            </w: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266</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borrowings</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7"/>
              </w:rPr>
              <w:t>19,599</w:t>
            </w: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22,384</w:t>
            </w:r>
          </w:p>
        </w:tc>
      </w:tr>
    </w:tbl>
    <w:p>
      <w:pPr>
        <w:spacing w:after="0" w:line="136"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The weighted average interest rate on commercial paper and other short-term borrowings outstanding were 0.07% and 0.27% as of December 31, 2021 and 2020.</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also have the following revolving credit agreements:</w:t>
      </w:r>
    </w:p>
    <w:p>
      <w:pPr>
        <w:spacing w:after="0" w:line="72" w:lineRule="exact"/>
        <w:rPr>
          <w:sz w:val="20"/>
          <w:szCs w:val="20"/>
          <w:color w:val="auto"/>
        </w:rPr>
      </w:pPr>
    </w:p>
    <w:p>
      <w:pPr>
        <w:jc w:val="both"/>
        <w:ind w:left="128" w:hanging="128"/>
        <w:spacing w:after="0" w:line="242" w:lineRule="auto"/>
        <w:tabs>
          <w:tab w:leader="none" w:pos="126" w:val="left"/>
        </w:tabs>
        <w:numPr>
          <w:ilvl w:val="0"/>
          <w:numId w:val="64"/>
        </w:numPr>
        <w:rPr>
          <w:rFonts w:ascii="Arial" w:cs="Arial" w:eastAsia="Arial" w:hAnsi="Arial"/>
          <w:sz w:val="11"/>
          <w:szCs w:val="11"/>
          <w:b w:val="1"/>
          <w:bCs w:val="1"/>
          <w:color w:val="D7282F"/>
        </w:rPr>
      </w:pPr>
      <w:r>
        <w:rPr>
          <w:rFonts w:ascii="Arial" w:cs="Arial" w:eastAsia="Arial" w:hAnsi="Arial"/>
          <w:sz w:val="11"/>
          <w:szCs w:val="11"/>
          <w:color w:val="auto"/>
        </w:rPr>
        <w:t>A $1.5 billion 364-Day Credit Agreement (the 364-Day Credit Agreement) with a syndicate of banks, dated March 31, 2021, and amended on November 18, 2021. This 364-Day Credit Agreement is maintained for general corporate purposes. The 364-Day Credit Agreement replaced the 364-day credit agreement dated as of April 10, 2020, which was terminated on March 31, 2021. As of December 31, 2021, there were no outstanding borrowings under our 364-Day Credit Agreement.</w:t>
      </w:r>
    </w:p>
    <w:p>
      <w:pPr>
        <w:spacing w:after="0" w:line="31" w:lineRule="exact"/>
        <w:rPr>
          <w:rFonts w:ascii="Arial" w:cs="Arial" w:eastAsia="Arial" w:hAnsi="Arial"/>
          <w:sz w:val="11"/>
          <w:szCs w:val="11"/>
          <w:b w:val="1"/>
          <w:bCs w:val="1"/>
          <w:color w:val="D7282F"/>
        </w:rPr>
      </w:pPr>
    </w:p>
    <w:p>
      <w:pPr>
        <w:jc w:val="both"/>
        <w:ind w:left="128" w:hanging="128"/>
        <w:spacing w:after="0" w:line="230" w:lineRule="auto"/>
        <w:tabs>
          <w:tab w:leader="none" w:pos="126" w:val="left"/>
        </w:tabs>
        <w:numPr>
          <w:ilvl w:val="0"/>
          <w:numId w:val="64"/>
        </w:numPr>
        <w:rPr>
          <w:rFonts w:ascii="Arial" w:cs="Arial" w:eastAsia="Arial" w:hAnsi="Arial"/>
          <w:sz w:val="11"/>
          <w:szCs w:val="11"/>
          <w:color w:val="D7282F"/>
        </w:rPr>
      </w:pPr>
      <w:r>
        <w:rPr>
          <w:rFonts w:ascii="Arial" w:cs="Arial" w:eastAsia="Arial" w:hAnsi="Arial"/>
          <w:sz w:val="11"/>
          <w:szCs w:val="11"/>
          <w:color w:val="auto"/>
        </w:rPr>
        <w:t>A $4.0 billion Five Year Credit Agreement (the 5-Year Credit Agreement) with a syndicate of banks, dated March 31, 2021, and amended on November 18, 2021. This 5-Year Credit Agreement is maintained for general corporate purposes.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April 26, 2019. As of December 31, 2021, there were no outstanding borrowings under our 5-Year Credit Agreement.</w:t>
      </w:r>
    </w:p>
    <w:p>
      <w:pPr>
        <w:spacing w:after="0" w:line="68" w:lineRule="exact"/>
        <w:rPr>
          <w:sz w:val="20"/>
          <w:szCs w:val="20"/>
          <w:color w:val="auto"/>
        </w:rPr>
      </w:pPr>
    </w:p>
    <w:p>
      <w:pPr>
        <w:ind w:left="8" w:right="20"/>
        <w:spacing w:after="0" w:line="245" w:lineRule="auto"/>
        <w:rPr>
          <w:sz w:val="20"/>
          <w:szCs w:val="20"/>
          <w:color w:val="auto"/>
        </w:rPr>
      </w:pPr>
      <w:r>
        <w:rPr>
          <w:rFonts w:ascii="Arial" w:cs="Arial" w:eastAsia="Arial" w:hAnsi="Arial"/>
          <w:sz w:val="11"/>
          <w:szCs w:val="11"/>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39</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41" w:name="page42"/>
    <w:bookmarkEnd w:id="41"/>
    <w:p>
      <w:pPr>
        <w:ind w:left="8"/>
        <w:spacing w:after="0"/>
        <w:rPr>
          <w:sz w:val="20"/>
          <w:szCs w:val="20"/>
          <w:color w:val="auto"/>
        </w:rPr>
      </w:pP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CREDIT RATINGS</w:t>
      </w:r>
    </w:p>
    <w:p>
      <w:pPr>
        <w:spacing w:after="0" w:line="155"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December 31, 2021, S&amp;P Global Inc. (S&amp;P), Fitch Ratings Inc. (Fitch), and Moody’s Investor Service (Moody's) have ratings on our debt set forth in the table below:</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820" w:type="dxa"/>
            <w:vAlign w:val="bottom"/>
            <w:tcBorders>
              <w:bottom w:val="single" w:sz="8" w:color="DC202E"/>
            </w:tcBorders>
          </w:tcPr>
          <w:p>
            <w:pPr>
              <w:spacing w:after="0"/>
              <w:rPr>
                <w:sz w:val="10"/>
                <w:szCs w:val="10"/>
                <w:color w:val="auto"/>
              </w:rPr>
            </w:pPr>
          </w:p>
        </w:tc>
        <w:tc>
          <w:tcPr>
            <w:tcW w:w="4320" w:type="dxa"/>
            <w:vAlign w:val="bottom"/>
            <w:tcBorders>
              <w:bottom w:val="single" w:sz="8" w:color="DC202E"/>
            </w:tcBorders>
          </w:tcPr>
          <w:p>
            <w:pPr>
              <w:jc w:val="center"/>
              <w:ind w:left="2672"/>
              <w:spacing w:after="0"/>
              <w:rPr>
                <w:sz w:val="20"/>
                <w:szCs w:val="20"/>
                <w:color w:val="auto"/>
              </w:rPr>
            </w:pPr>
            <w:r>
              <w:rPr>
                <w:rFonts w:ascii="Arial" w:cs="Arial" w:eastAsia="Arial" w:hAnsi="Arial"/>
                <w:sz w:val="10"/>
                <w:szCs w:val="10"/>
                <w:b w:val="1"/>
                <w:bCs w:val="1"/>
                <w:color w:val="auto"/>
                <w:w w:val="97"/>
              </w:rPr>
              <w:t>S&amp;P</w:t>
            </w:r>
          </w:p>
        </w:tc>
        <w:tc>
          <w:tcPr>
            <w:tcW w:w="1600" w:type="dxa"/>
            <w:vAlign w:val="bottom"/>
            <w:tcBorders>
              <w:bottom w:val="single" w:sz="8" w:color="DC202E"/>
            </w:tcBorders>
          </w:tcPr>
          <w:p>
            <w:pPr>
              <w:jc w:val="center"/>
              <w:spacing w:after="0"/>
              <w:rPr>
                <w:sz w:val="20"/>
                <w:szCs w:val="20"/>
                <w:color w:val="auto"/>
              </w:rPr>
            </w:pPr>
            <w:r>
              <w:rPr>
                <w:rFonts w:ascii="Arial" w:cs="Arial" w:eastAsia="Arial" w:hAnsi="Arial"/>
                <w:sz w:val="10"/>
                <w:szCs w:val="10"/>
                <w:b w:val="1"/>
                <w:bCs w:val="1"/>
                <w:color w:val="auto"/>
              </w:rPr>
              <w:t>Fitch</w:t>
            </w:r>
          </w:p>
        </w:tc>
        <w:tc>
          <w:tcPr>
            <w:tcW w:w="1560" w:type="dxa"/>
            <w:vAlign w:val="bottom"/>
            <w:tcBorders>
              <w:bottom w:val="single" w:sz="8" w:color="DC202E"/>
            </w:tcBorders>
          </w:tcPr>
          <w:p>
            <w:pPr>
              <w:jc w:val="center"/>
              <w:ind w:left="92"/>
              <w:spacing w:after="0"/>
              <w:rPr>
                <w:sz w:val="20"/>
                <w:szCs w:val="20"/>
                <w:color w:val="auto"/>
              </w:rPr>
            </w:pPr>
            <w:r>
              <w:rPr>
                <w:rFonts w:ascii="Arial" w:cs="Arial" w:eastAsia="Arial" w:hAnsi="Arial"/>
                <w:sz w:val="10"/>
                <w:szCs w:val="10"/>
                <w:b w:val="1"/>
                <w:bCs w:val="1"/>
                <w:color w:val="auto"/>
                <w:w w:val="94"/>
              </w:rPr>
              <w:t>Moody's</w:t>
            </w:r>
          </w:p>
        </w:tc>
      </w:tr>
      <w:tr>
        <w:trPr>
          <w:trHeight w:val="115"/>
        </w:trPr>
        <w:tc>
          <w:tcPr>
            <w:tcW w:w="3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Outlook</w:t>
            </w:r>
          </w:p>
        </w:tc>
        <w:tc>
          <w:tcPr>
            <w:tcW w:w="4320" w:type="dxa"/>
            <w:vAlign w:val="bottom"/>
            <w:tcBorders>
              <w:bottom w:val="single" w:sz="8" w:color="939598"/>
            </w:tcBorders>
          </w:tcPr>
          <w:p>
            <w:pPr>
              <w:jc w:val="center"/>
              <w:ind w:left="2652"/>
              <w:spacing w:after="0"/>
              <w:rPr>
                <w:sz w:val="20"/>
                <w:szCs w:val="20"/>
                <w:color w:val="auto"/>
              </w:rPr>
            </w:pPr>
            <w:r>
              <w:rPr>
                <w:rFonts w:ascii="Arial" w:cs="Arial" w:eastAsia="Arial" w:hAnsi="Arial"/>
                <w:sz w:val="10"/>
                <w:szCs w:val="10"/>
                <w:color w:val="auto"/>
                <w:w w:val="91"/>
              </w:rPr>
              <w:t>Stable</w:t>
            </w:r>
          </w:p>
        </w:tc>
        <w:tc>
          <w:tcPr>
            <w:tcW w:w="1600" w:type="dxa"/>
            <w:vAlign w:val="bottom"/>
            <w:tcBorders>
              <w:bottom w:val="single" w:sz="8" w:color="939598"/>
            </w:tcBorders>
          </w:tcPr>
          <w:p>
            <w:pPr>
              <w:jc w:val="center"/>
              <w:spacing w:after="0"/>
              <w:rPr>
                <w:sz w:val="20"/>
                <w:szCs w:val="20"/>
                <w:color w:val="auto"/>
              </w:rPr>
            </w:pPr>
            <w:r>
              <w:rPr>
                <w:rFonts w:ascii="Arial" w:cs="Arial" w:eastAsia="Arial" w:hAnsi="Arial"/>
                <w:sz w:val="10"/>
                <w:szCs w:val="10"/>
                <w:color w:val="auto"/>
                <w:w w:val="98"/>
              </w:rPr>
              <w:t>Stable</w:t>
            </w:r>
          </w:p>
        </w:tc>
        <w:tc>
          <w:tcPr>
            <w:tcW w:w="1560" w:type="dxa"/>
            <w:vAlign w:val="bottom"/>
            <w:tcBorders>
              <w:bottom w:val="single" w:sz="8" w:color="939598"/>
            </w:tcBorders>
          </w:tcPr>
          <w:p>
            <w:pPr>
              <w:jc w:val="center"/>
              <w:ind w:left="92"/>
              <w:spacing w:after="0"/>
              <w:rPr>
                <w:sz w:val="20"/>
                <w:szCs w:val="20"/>
                <w:color w:val="auto"/>
              </w:rPr>
            </w:pPr>
            <w:r>
              <w:rPr>
                <w:rFonts w:ascii="Arial" w:cs="Arial" w:eastAsia="Arial" w:hAnsi="Arial"/>
                <w:sz w:val="10"/>
                <w:szCs w:val="10"/>
                <w:color w:val="auto"/>
                <w:w w:val="91"/>
              </w:rPr>
              <w:t>Stable</w:t>
            </w:r>
          </w:p>
        </w:tc>
      </w:tr>
      <w:tr>
        <w:trPr>
          <w:trHeight w:val="115"/>
        </w:trPr>
        <w:tc>
          <w:tcPr>
            <w:tcW w:w="3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Short-term</w:t>
            </w:r>
          </w:p>
        </w:tc>
        <w:tc>
          <w:tcPr>
            <w:tcW w:w="4320" w:type="dxa"/>
            <w:vAlign w:val="bottom"/>
            <w:tcBorders>
              <w:bottom w:val="single" w:sz="8" w:color="939598"/>
            </w:tcBorders>
          </w:tcPr>
          <w:p>
            <w:pPr>
              <w:jc w:val="center"/>
              <w:ind w:left="2652"/>
              <w:spacing w:after="0"/>
              <w:rPr>
                <w:sz w:val="20"/>
                <w:szCs w:val="20"/>
                <w:color w:val="auto"/>
              </w:rPr>
            </w:pPr>
            <w:r>
              <w:rPr>
                <w:rFonts w:ascii="Arial" w:cs="Arial" w:eastAsia="Arial" w:hAnsi="Arial"/>
                <w:sz w:val="10"/>
                <w:szCs w:val="10"/>
                <w:color w:val="auto"/>
                <w:w w:val="89"/>
              </w:rPr>
              <w:t>A-1</w:t>
            </w:r>
          </w:p>
        </w:tc>
        <w:tc>
          <w:tcPr>
            <w:tcW w:w="1600" w:type="dxa"/>
            <w:vAlign w:val="bottom"/>
            <w:tcBorders>
              <w:bottom w:val="single" w:sz="8" w:color="939598"/>
            </w:tcBorders>
          </w:tcPr>
          <w:p>
            <w:pPr>
              <w:jc w:val="center"/>
              <w:spacing w:after="0"/>
              <w:rPr>
                <w:sz w:val="20"/>
                <w:szCs w:val="20"/>
                <w:color w:val="auto"/>
              </w:rPr>
            </w:pPr>
            <w:r>
              <w:rPr>
                <w:rFonts w:ascii="Arial" w:cs="Arial" w:eastAsia="Arial" w:hAnsi="Arial"/>
                <w:sz w:val="10"/>
                <w:szCs w:val="10"/>
                <w:color w:val="auto"/>
              </w:rPr>
              <w:t>F1</w:t>
            </w:r>
          </w:p>
        </w:tc>
        <w:tc>
          <w:tcPr>
            <w:tcW w:w="1560" w:type="dxa"/>
            <w:vAlign w:val="bottom"/>
            <w:tcBorders>
              <w:bottom w:val="single" w:sz="8" w:color="939598"/>
            </w:tcBorders>
          </w:tcPr>
          <w:p>
            <w:pPr>
              <w:jc w:val="center"/>
              <w:ind w:left="92"/>
              <w:spacing w:after="0"/>
              <w:rPr>
                <w:sz w:val="20"/>
                <w:szCs w:val="20"/>
                <w:color w:val="auto"/>
              </w:rPr>
            </w:pPr>
            <w:r>
              <w:rPr>
                <w:rFonts w:ascii="Arial" w:cs="Arial" w:eastAsia="Arial" w:hAnsi="Arial"/>
                <w:sz w:val="10"/>
                <w:szCs w:val="10"/>
                <w:color w:val="auto"/>
                <w:w w:val="81"/>
              </w:rPr>
              <w:t>P1</w:t>
            </w:r>
          </w:p>
        </w:tc>
      </w:tr>
      <w:tr>
        <w:trPr>
          <w:trHeight w:val="115"/>
        </w:trPr>
        <w:tc>
          <w:tcPr>
            <w:tcW w:w="38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Long-term</w:t>
            </w:r>
          </w:p>
        </w:tc>
        <w:tc>
          <w:tcPr>
            <w:tcW w:w="4320" w:type="dxa"/>
            <w:vAlign w:val="bottom"/>
            <w:tcBorders>
              <w:bottom w:val="single" w:sz="8" w:color="DC202E"/>
            </w:tcBorders>
          </w:tcPr>
          <w:p>
            <w:pPr>
              <w:jc w:val="center"/>
              <w:ind w:left="2652"/>
              <w:spacing w:after="0"/>
              <w:rPr>
                <w:sz w:val="20"/>
                <w:szCs w:val="20"/>
                <w:color w:val="auto"/>
              </w:rPr>
            </w:pPr>
            <w:r>
              <w:rPr>
                <w:rFonts w:ascii="Arial" w:cs="Arial" w:eastAsia="Arial" w:hAnsi="Arial"/>
                <w:sz w:val="10"/>
                <w:szCs w:val="10"/>
                <w:color w:val="auto"/>
                <w:w w:val="89"/>
              </w:rPr>
              <w:t>A</w:t>
            </w:r>
          </w:p>
        </w:tc>
        <w:tc>
          <w:tcPr>
            <w:tcW w:w="1600" w:type="dxa"/>
            <w:vAlign w:val="bottom"/>
            <w:tcBorders>
              <w:bottom w:val="single" w:sz="8" w:color="DC202E"/>
            </w:tcBorders>
          </w:tcPr>
          <w:p>
            <w:pPr>
              <w:jc w:val="center"/>
              <w:spacing w:after="0"/>
              <w:rPr>
                <w:sz w:val="20"/>
                <w:szCs w:val="20"/>
                <w:color w:val="auto"/>
              </w:rPr>
            </w:pPr>
            <w:r>
              <w:rPr>
                <w:rFonts w:ascii="Arial" w:cs="Arial" w:eastAsia="Arial" w:hAnsi="Arial"/>
                <w:sz w:val="10"/>
                <w:szCs w:val="10"/>
                <w:color w:val="auto"/>
              </w:rPr>
              <w:t>A</w:t>
            </w:r>
          </w:p>
        </w:tc>
        <w:tc>
          <w:tcPr>
            <w:tcW w:w="1560" w:type="dxa"/>
            <w:vAlign w:val="bottom"/>
            <w:tcBorders>
              <w:bottom w:val="single" w:sz="8" w:color="DC202E"/>
            </w:tcBorders>
          </w:tcPr>
          <w:p>
            <w:pPr>
              <w:jc w:val="center"/>
              <w:ind w:left="92"/>
              <w:spacing w:after="0"/>
              <w:rPr>
                <w:sz w:val="20"/>
                <w:szCs w:val="20"/>
                <w:color w:val="auto"/>
              </w:rPr>
            </w:pPr>
            <w:r>
              <w:rPr>
                <w:rFonts w:ascii="Arial" w:cs="Arial" w:eastAsia="Arial" w:hAnsi="Arial"/>
                <w:sz w:val="10"/>
                <w:szCs w:val="10"/>
                <w:color w:val="auto"/>
                <w:w w:val="81"/>
              </w:rPr>
              <w:t>A2</w:t>
            </w:r>
          </w:p>
        </w:tc>
      </w:tr>
    </w:tbl>
    <w:p>
      <w:pPr>
        <w:spacing w:after="0" w:line="24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CASH FLOW SUMMARY</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cash flows from operating, investing, and financing activities, as reflected in the Consolidated Statement of Cash Flows, are summarized as follows: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15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51"/>
        </w:trPr>
        <w:tc>
          <w:tcPr>
            <w:tcW w:w="838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Cash provided by (used for):</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Operating activities</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6,038</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6,208</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6,897</w:t>
            </w:r>
          </w:p>
        </w:tc>
      </w:tr>
      <w:tr>
        <w:trPr>
          <w:trHeight w:val="115"/>
        </w:trPr>
        <w:tc>
          <w:tcPr>
            <w:tcW w:w="83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Investing activities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4"/>
              </w:rPr>
              <w:t>(1,061)</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(987)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(533)</w:t>
            </w:r>
          </w:p>
        </w:tc>
      </w:tr>
      <w:tr>
        <w:trPr>
          <w:trHeight w:val="115"/>
        </w:trPr>
        <w:tc>
          <w:tcPr>
            <w:tcW w:w="83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Financing activities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4"/>
              </w:rPr>
              <w:t>(8,254)</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(81)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(6,600)</w:t>
            </w:r>
          </w:p>
        </w:tc>
      </w:tr>
      <w:tr>
        <w:trPr>
          <w:trHeight w:val="115"/>
        </w:trPr>
        <w:tc>
          <w:tcPr>
            <w:tcW w:w="83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Effect of exchange rate changes on cash</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(39)</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68</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increase (decrease) in cash and cash equivalents</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4"/>
              </w:rPr>
              <w:t>(3,316)</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5,208</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(220)</w:t>
            </w:r>
          </w:p>
        </w:tc>
      </w:tr>
    </w:tbl>
    <w:p>
      <w:pPr>
        <w:spacing w:after="0" w:line="1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2021 compared with 2020</w:t>
      </w:r>
    </w:p>
    <w:p>
      <w:pPr>
        <w:spacing w:after="0" w:line="12"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Cash provided by operating activities decreased primarily due to an unfavorable impact to working capital, partially offset by the increase in net income attributable to Honeywell during 2021, which excludes the 2020 non-cash charges associated with the reduction in value of the reimbursement receivables due from Garrett Motion Inc. (Garrett).</w:t>
      </w:r>
    </w:p>
    <w:p>
      <w:pPr>
        <w:spacing w:after="0" w:line="66"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1"/>
          <w:szCs w:val="11"/>
          <w:color w:val="auto"/>
        </w:rPr>
        <w:t>Cash used for investing activities increased by $74 million primarily due to a $1,065 million increase in cash paid for acquisitions, net of cash acquired, and $120 million net increase in investments, partially offset by $586 million cash receipts from Garrett, $341 million increase in cash receipts from settlements of derivative contracts, and $203 million in proceeds from the sale of the retail footwear business.</w:t>
      </w:r>
    </w:p>
    <w:p>
      <w:pPr>
        <w:spacing w:after="0" w:line="66"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Cash used for financing activities increased by $8,173 million primarily due to a $7,608 million decrease in proceeds from the issuance of long-term debt and a $609 million increase in repayments of long-term debt, partially offset by a decrease in repurchases of common stock of $334 million.</w:t>
      </w:r>
    </w:p>
    <w:p>
      <w:pPr>
        <w:spacing w:after="0" w:line="279" w:lineRule="exact"/>
        <w:rPr>
          <w:sz w:val="20"/>
          <w:szCs w:val="20"/>
          <w:color w:val="auto"/>
        </w:rPr>
      </w:pPr>
    </w:p>
    <w:p>
      <w:pPr>
        <w:ind w:left="468" w:hanging="468"/>
        <w:spacing w:after="0"/>
        <w:tabs>
          <w:tab w:leader="none" w:pos="468" w:val="left"/>
        </w:tabs>
        <w:numPr>
          <w:ilvl w:val="0"/>
          <w:numId w:val="6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CASH REQUIREMENTS AND ASSESSMENT OF CURRENT LIQUIDITY</w:t>
      </w:r>
    </w:p>
    <w:p>
      <w:pPr>
        <w:spacing w:after="0" w:line="155"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In addition to our normal operating cash requirements, our principal future cash requirements will be to fund capital expenditures, share repurchases, dividends, strategic acquisitions, and debt repayments. Specifically, we expect our primary cash requirements in 2022 to be as follows:</w:t>
      </w:r>
    </w:p>
    <w:p>
      <w:pPr>
        <w:spacing w:after="0" w:line="66" w:lineRule="exact"/>
        <w:rPr>
          <w:sz w:val="20"/>
          <w:szCs w:val="20"/>
          <w:color w:val="auto"/>
        </w:rPr>
      </w:pPr>
    </w:p>
    <w:p>
      <w:pPr>
        <w:ind w:left="128" w:hanging="128"/>
        <w:spacing w:after="0"/>
        <w:tabs>
          <w:tab w:leader="none" w:pos="128" w:val="left"/>
        </w:tabs>
        <w:numPr>
          <w:ilvl w:val="0"/>
          <w:numId w:val="66"/>
        </w:numPr>
        <w:rPr>
          <w:rFonts w:ascii="Arial" w:cs="Arial" w:eastAsia="Arial" w:hAnsi="Arial"/>
          <w:sz w:val="10"/>
          <w:szCs w:val="10"/>
          <w:b w:val="1"/>
          <w:bCs w:val="1"/>
          <w:color w:val="D7282F"/>
        </w:rPr>
      </w:pPr>
      <w:r>
        <w:rPr>
          <w:rFonts w:ascii="Arial" w:cs="Arial" w:eastAsia="Arial" w:hAnsi="Arial"/>
          <w:sz w:val="10"/>
          <w:szCs w:val="10"/>
          <w:color w:val="auto"/>
        </w:rPr>
        <w:t>Capital expenditures—we expect to spend approximately $1.2 billion for capital expenditures in 2022 primarily for growth, production and capacity expansion, implementation of cost reduction measures, maintenance, and replacement.</w:t>
      </w:r>
    </w:p>
    <w:p>
      <w:pPr>
        <w:spacing w:after="0" w:line="65" w:lineRule="exact"/>
        <w:rPr>
          <w:rFonts w:ascii="Arial" w:cs="Arial" w:eastAsia="Arial" w:hAnsi="Arial"/>
          <w:sz w:val="10"/>
          <w:szCs w:val="10"/>
          <w:b w:val="1"/>
          <w:bCs w:val="1"/>
          <w:color w:val="D7282F"/>
        </w:rPr>
      </w:pPr>
    </w:p>
    <w:p>
      <w:pPr>
        <w:jc w:val="both"/>
        <w:ind w:left="128" w:hanging="128"/>
        <w:spacing w:after="0" w:line="242" w:lineRule="auto"/>
        <w:tabs>
          <w:tab w:leader="none" w:pos="126" w:val="left"/>
        </w:tabs>
        <w:numPr>
          <w:ilvl w:val="0"/>
          <w:numId w:val="66"/>
        </w:numPr>
        <w:rPr>
          <w:rFonts w:ascii="Arial" w:cs="Arial" w:eastAsia="Arial" w:hAnsi="Arial"/>
          <w:sz w:val="11"/>
          <w:szCs w:val="11"/>
          <w:b w:val="1"/>
          <w:bCs w:val="1"/>
          <w:color w:val="D7282F"/>
        </w:rPr>
      </w:pPr>
      <w:r>
        <w:rPr>
          <w:rFonts w:ascii="Arial" w:cs="Arial" w:eastAsia="Arial" w:hAnsi="Arial"/>
          <w:sz w:val="11"/>
          <w:szCs w:val="11"/>
          <w:color w:val="auto"/>
        </w:rPr>
        <w:t>Share repurchases—under our share repurchase program, $7.1 billion was available as of December 31, 2021 for additional share repurchases. We expect to repurchase outstanding shares from time to time to offset the dilutive impact of employee stock-based compensation plans, including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40" w:lineRule="exact"/>
        <w:rPr>
          <w:rFonts w:ascii="Arial" w:cs="Arial" w:eastAsia="Arial" w:hAnsi="Arial"/>
          <w:sz w:val="11"/>
          <w:szCs w:val="11"/>
          <w:b w:val="1"/>
          <w:bCs w:val="1"/>
          <w:color w:val="D7282F"/>
        </w:rPr>
      </w:pPr>
    </w:p>
    <w:p>
      <w:pPr>
        <w:ind w:left="128" w:hanging="128"/>
        <w:spacing w:after="0"/>
        <w:tabs>
          <w:tab w:leader="none" w:pos="128" w:val="left"/>
        </w:tabs>
        <w:numPr>
          <w:ilvl w:val="0"/>
          <w:numId w:val="66"/>
        </w:numPr>
        <w:rPr>
          <w:rFonts w:ascii="Arial" w:cs="Arial" w:eastAsia="Arial" w:hAnsi="Arial"/>
          <w:sz w:val="11"/>
          <w:szCs w:val="11"/>
          <w:b w:val="1"/>
          <w:bCs w:val="1"/>
          <w:color w:val="D7282F"/>
        </w:rPr>
      </w:pPr>
      <w:r>
        <w:rPr>
          <w:rFonts w:ascii="Arial" w:cs="Arial" w:eastAsia="Arial" w:hAnsi="Arial"/>
          <w:sz w:val="11"/>
          <w:szCs w:val="11"/>
          <w:color w:val="auto"/>
        </w:rPr>
        <w:t>Dividends—we increased our quarterly dividend rate by 5% to $0.98 per share of common stock effective with the fourth quarter 2021 dividend. We intend to continue to pay quarterly dividends in 2022.</w:t>
      </w:r>
    </w:p>
    <w:p>
      <w:pPr>
        <w:spacing w:after="0" w:line="72"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We continue to identify opportunities to improve our liquidity and working capital efficiency, which includes the extension of payment terms with our suppliers. In addition, multiple third-party financial institutions offer a voluntary supply chain financing (SCF) program which enables our suppliers, at their sole discretion, to sell their receivables from the Company to these financial institutions on terms that are negotiated between the supplier and the respective financial institution. We agree on commercial terms for the goods and services we procure from our suppliers, including prices, quantities and payment terms, regardless of whether the supplier elects to participate in the SCF program. Our suppliers’ voluntary participation in the SCF program has no bearing on our payment terms and we have no economic interest in a supplier’s decision to participate in the SCF program.</w:t>
      </w:r>
    </w:p>
    <w:p>
      <w:pPr>
        <w:spacing w:after="0" w:line="68"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Amounts due to our suppliers that elected to participate in the SCF programs are included in Accounts payable on the Consolidated Balance Sheet. At December 31, 2021, Accounts payable included approximately $700 million payable to suppliers who have elected to participate in the SCF program. Amounts settled with third-party financial institutions through the SCF program increased approximately $300 million for the year ended December 31, 2021. The increase for the year ended December 31, 2021, reflects a combination of an extension of payment terms with suppliers and increased utilization of our SCF program. All activity related to amounts due to suppliers that elected to participate in the SCF program is reflected in Cash flows from operating activities in our Consolidated Statement of Cash Flows. While access to SCF could decrease if our credit ratings are downgraded, we do not believe that changes in the availability of SCF will have a significant impact on our liquidity. The impact of this program is not material to our overall liquidity.</w:t>
      </w:r>
    </w:p>
    <w:p>
      <w:pPr>
        <w:spacing w:after="0" w:line="70"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We sell trade receivables to unaffiliated financial institutions without recourse. Transfers of the receivables are accounted for as sales and, accordingly, receivables sold are excluded from Accounts receivable—net on the Consolidated Balance Sheet and are reflected in Cash flows from operating activities on the Consolidated Statement of Cash Flows. The difference between the carrying amount of the trade receivables sold and the cash received is recorded in Cost of products and services sold on the Consolidated Statement of Operations.</w:t>
      </w:r>
    </w:p>
    <w:p>
      <w:pPr>
        <w:spacing w:after="0" w:line="67"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Finally, 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67"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9 Long-term Debt and Credit Agreements of Notes to Consolidated Financial Statements for additional discussion of items impacting our liquidity.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41</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43" w:name="page44"/>
    <w:bookmarkEnd w:id="43"/>
    <w:p>
      <w:pPr>
        <w:ind w:left="8"/>
        <w:spacing w:after="0"/>
        <w:rPr>
          <w:sz w:val="20"/>
          <w:szCs w:val="20"/>
          <w:color w:val="auto"/>
        </w:rPr>
      </w:pP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CONTRACTUAL OBLIGATIONS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Following is a summary of our significant contractual obligations and probable liability payments at December 31, 2021:</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46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080" w:type="dxa"/>
            <w:vAlign w:val="bottom"/>
            <w:tcBorders>
              <w:bottom w:val="single" w:sz="8" w:color="DC202E"/>
            </w:tcBorders>
            <w:gridSpan w:val="2"/>
          </w:tcPr>
          <w:p>
            <w:pPr>
              <w:jc w:val="right"/>
              <w:ind w:right="92"/>
              <w:spacing w:after="0"/>
              <w:rPr>
                <w:sz w:val="20"/>
                <w:szCs w:val="20"/>
                <w:color w:val="auto"/>
              </w:rPr>
            </w:pPr>
            <w:r>
              <w:rPr>
                <w:rFonts w:ascii="Arial" w:cs="Arial" w:eastAsia="Arial" w:hAnsi="Arial"/>
                <w:sz w:val="10"/>
                <w:szCs w:val="10"/>
                <w:b w:val="1"/>
                <w:bCs w:val="1"/>
                <w:color w:val="auto"/>
                <w:w w:val="96"/>
              </w:rPr>
              <w:t>Payments by Period</w:t>
            </w:r>
          </w:p>
        </w:tc>
        <w:tc>
          <w:tcPr>
            <w:tcW w:w="380" w:type="dxa"/>
            <w:vAlign w:val="bottom"/>
            <w:tcBorders>
              <w:bottom w:val="single" w:sz="8" w:color="DC202E"/>
            </w:tcBorders>
          </w:tcPr>
          <w:p>
            <w:pPr>
              <w:spacing w:after="0"/>
              <w:rPr>
                <w:sz w:val="10"/>
                <w:szCs w:val="10"/>
                <w:color w:val="auto"/>
              </w:rPr>
            </w:pPr>
          </w:p>
        </w:tc>
        <w:tc>
          <w:tcPr>
            <w:tcW w:w="480" w:type="dxa"/>
            <w:vAlign w:val="bottom"/>
            <w:tcBorders>
              <w:bottom w:val="single" w:sz="8" w:color="DC202E"/>
            </w:tcBorders>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232"/>
        </w:trPr>
        <w:tc>
          <w:tcPr>
            <w:tcW w:w="4640" w:type="dxa"/>
            <w:vAlign w:val="bottom"/>
            <w:tcBorders>
              <w:bottom w:val="single" w:sz="8" w:color="DC202E"/>
            </w:tcBorders>
          </w:tcPr>
          <w:p>
            <w:pPr>
              <w:spacing w:after="0"/>
              <w:rPr>
                <w:sz w:val="20"/>
                <w:szCs w:val="20"/>
                <w:color w:val="auto"/>
              </w:rPr>
            </w:pPr>
          </w:p>
        </w:tc>
        <w:tc>
          <w:tcPr>
            <w:tcW w:w="2060" w:type="dxa"/>
            <w:vAlign w:val="bottom"/>
            <w:tcBorders>
              <w:bottom w:val="single" w:sz="8" w:color="DC202E"/>
            </w:tcBorders>
          </w:tcPr>
          <w:p>
            <w:pPr>
              <w:spacing w:after="0"/>
              <w:rPr>
                <w:sz w:val="20"/>
                <w:szCs w:val="20"/>
                <w:color w:val="auto"/>
              </w:rPr>
            </w:pPr>
          </w:p>
        </w:tc>
        <w:tc>
          <w:tcPr>
            <w:tcW w:w="680" w:type="dxa"/>
            <w:vAlign w:val="bottom"/>
            <w:tcBorders>
              <w:bottom w:val="single" w:sz="8" w:color="DC202E"/>
            </w:tcBorders>
          </w:tcPr>
          <w:p>
            <w:pPr>
              <w:jc w:val="right"/>
              <w:ind w:right="234"/>
              <w:spacing w:after="0"/>
              <w:rPr>
                <w:sz w:val="20"/>
                <w:szCs w:val="20"/>
                <w:color w:val="auto"/>
              </w:rPr>
            </w:pPr>
            <w:r>
              <w:rPr>
                <w:rFonts w:ascii="Arial" w:cs="Arial" w:eastAsia="Arial" w:hAnsi="Arial"/>
                <w:sz w:val="19"/>
                <w:szCs w:val="19"/>
                <w:b w:val="1"/>
                <w:bCs w:val="1"/>
                <w:color w:val="auto"/>
                <w:w w:val="84"/>
                <w:vertAlign w:val="subscript"/>
              </w:rPr>
              <w:t>Total</w:t>
            </w:r>
            <w:r>
              <w:rPr>
                <w:rFonts w:ascii="Arial" w:cs="Arial" w:eastAsia="Arial" w:hAnsi="Arial"/>
                <w:sz w:val="6"/>
                <w:szCs w:val="6"/>
                <w:b w:val="1"/>
                <w:bCs w:val="1"/>
                <w:color w:val="auto"/>
                <w:w w:val="84"/>
              </w:rPr>
              <w:t>(6)(7)</w:t>
            </w:r>
          </w:p>
        </w:tc>
        <w:tc>
          <w:tcPr>
            <w:tcW w:w="340" w:type="dxa"/>
            <w:vAlign w:val="bottom"/>
            <w:tcBorders>
              <w:bottom w:val="single" w:sz="8" w:color="DC202E"/>
            </w:tcBorders>
          </w:tcPr>
          <w:p>
            <w:pPr>
              <w:spacing w:after="0"/>
              <w:rPr>
                <w:sz w:val="20"/>
                <w:szCs w:val="20"/>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1080" w:type="dxa"/>
            <w:vAlign w:val="bottom"/>
            <w:tcBorders>
              <w:bottom w:val="single" w:sz="8" w:color="DC202E"/>
            </w:tcBorders>
            <w:gridSpan w:val="2"/>
          </w:tcPr>
          <w:p>
            <w:pPr>
              <w:ind w:left="240"/>
              <w:spacing w:after="0"/>
              <w:rPr>
                <w:sz w:val="20"/>
                <w:szCs w:val="20"/>
                <w:color w:val="auto"/>
              </w:rPr>
            </w:pPr>
            <w:r>
              <w:rPr>
                <w:rFonts w:ascii="Arial" w:cs="Arial" w:eastAsia="Arial" w:hAnsi="Arial"/>
                <w:sz w:val="10"/>
                <w:szCs w:val="10"/>
                <w:b w:val="1"/>
                <w:bCs w:val="1"/>
                <w:color w:val="auto"/>
              </w:rPr>
              <w:t>2023 - 2024</w:t>
            </w:r>
          </w:p>
        </w:tc>
        <w:tc>
          <w:tcPr>
            <w:tcW w:w="860" w:type="dxa"/>
            <w:vAlign w:val="bottom"/>
            <w:tcBorders>
              <w:bottom w:val="single" w:sz="8" w:color="DC202E"/>
            </w:tcBorders>
            <w:gridSpan w:val="2"/>
          </w:tcPr>
          <w:p>
            <w:pPr>
              <w:ind w:left="120"/>
              <w:spacing w:after="0"/>
              <w:rPr>
                <w:sz w:val="20"/>
                <w:szCs w:val="20"/>
                <w:color w:val="auto"/>
              </w:rPr>
            </w:pPr>
            <w:r>
              <w:rPr>
                <w:rFonts w:ascii="Arial" w:cs="Arial" w:eastAsia="Arial" w:hAnsi="Arial"/>
                <w:sz w:val="10"/>
                <w:szCs w:val="10"/>
                <w:b w:val="1"/>
                <w:bCs w:val="1"/>
                <w:color w:val="auto"/>
              </w:rPr>
              <w:t>2025 - 2026</w:t>
            </w:r>
          </w:p>
        </w:tc>
        <w:tc>
          <w:tcPr>
            <w:tcW w:w="1000" w:type="dxa"/>
            <w:vAlign w:val="bottom"/>
            <w:tcBorders>
              <w:bottom w:val="single" w:sz="8" w:color="DC202E"/>
            </w:tcBorders>
            <w:gridSpan w:val="2"/>
          </w:tcPr>
          <w:p>
            <w:pPr>
              <w:jc w:val="right"/>
              <w:ind w:right="212"/>
              <w:spacing w:after="0"/>
              <w:rPr>
                <w:sz w:val="20"/>
                <w:szCs w:val="20"/>
                <w:color w:val="auto"/>
              </w:rPr>
            </w:pPr>
            <w:r>
              <w:rPr>
                <w:rFonts w:ascii="Arial" w:cs="Arial" w:eastAsia="Arial" w:hAnsi="Arial"/>
                <w:sz w:val="10"/>
                <w:szCs w:val="10"/>
                <w:b w:val="1"/>
                <w:bCs w:val="1"/>
                <w:color w:val="auto"/>
              </w:rPr>
              <w:t>Thereafter</w:t>
            </w:r>
          </w:p>
        </w:tc>
      </w:tr>
      <w:tr>
        <w:trPr>
          <w:trHeight w:val="115"/>
        </w:trPr>
        <w:tc>
          <w:tcPr>
            <w:tcW w:w="4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Long-term debt, including finance leases</w:t>
            </w:r>
            <w:r>
              <w:rPr>
                <w:rFonts w:ascii="Arial" w:cs="Arial" w:eastAsia="Arial" w:hAnsi="Arial"/>
                <w:sz w:val="6"/>
                <w:szCs w:val="6"/>
                <w:color w:val="auto"/>
              </w:rPr>
              <w:t>(1)</w:t>
            </w:r>
          </w:p>
        </w:tc>
        <w:tc>
          <w:tcPr>
            <w:tcW w:w="20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16,057</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1,803</w:t>
            </w:r>
          </w:p>
        </w:tc>
        <w:tc>
          <w:tcPr>
            <w:tcW w:w="480" w:type="dxa"/>
            <w:vAlign w:val="bottom"/>
            <w:tcBorders>
              <w:bottom w:val="single" w:sz="8" w:color="939598"/>
            </w:tcBorders>
          </w:tcPr>
          <w:p>
            <w:pPr>
              <w:ind w:left="2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3,154</w:t>
            </w:r>
          </w:p>
        </w:tc>
        <w:tc>
          <w:tcPr>
            <w:tcW w:w="380" w:type="dxa"/>
            <w:vAlign w:val="bottom"/>
            <w:tcBorders>
              <w:bottom w:val="single" w:sz="8" w:color="939598"/>
            </w:tcBorders>
          </w:tcPr>
          <w:p>
            <w:pPr>
              <w:ind w:left="12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2,761</w:t>
            </w:r>
          </w:p>
        </w:tc>
        <w:tc>
          <w:tcPr>
            <w:tcW w:w="4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8,339</w:t>
            </w:r>
          </w:p>
        </w:tc>
      </w:tr>
      <w:tr>
        <w:trPr>
          <w:trHeight w:val="115"/>
        </w:trPr>
        <w:tc>
          <w:tcPr>
            <w:tcW w:w="4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Interest payments on long-term debt, including finance leases</w:t>
            </w:r>
          </w:p>
        </w:tc>
        <w:tc>
          <w:tcPr>
            <w:tcW w:w="206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4,030</w:t>
            </w:r>
          </w:p>
        </w:tc>
        <w:tc>
          <w:tcPr>
            <w:tcW w:w="3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356</w:t>
            </w:r>
          </w:p>
        </w:tc>
        <w:tc>
          <w:tcPr>
            <w:tcW w:w="4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679</w:t>
            </w:r>
          </w:p>
        </w:tc>
        <w:tc>
          <w:tcPr>
            <w:tcW w:w="38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586</w:t>
            </w:r>
          </w:p>
        </w:tc>
        <w:tc>
          <w:tcPr>
            <w:tcW w:w="46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2,409</w:t>
            </w:r>
          </w:p>
        </w:tc>
      </w:tr>
      <w:tr>
        <w:trPr>
          <w:trHeight w:val="115"/>
        </w:trPr>
        <w:tc>
          <w:tcPr>
            <w:tcW w:w="4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Operating lease liabilities</w:t>
            </w:r>
          </w:p>
        </w:tc>
        <w:tc>
          <w:tcPr>
            <w:tcW w:w="206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1,164</w:t>
            </w:r>
          </w:p>
        </w:tc>
        <w:tc>
          <w:tcPr>
            <w:tcW w:w="3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215</w:t>
            </w:r>
          </w:p>
        </w:tc>
        <w:tc>
          <w:tcPr>
            <w:tcW w:w="4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341</w:t>
            </w:r>
          </w:p>
        </w:tc>
        <w:tc>
          <w:tcPr>
            <w:tcW w:w="38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204</w:t>
            </w:r>
          </w:p>
        </w:tc>
        <w:tc>
          <w:tcPr>
            <w:tcW w:w="46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404</w:t>
            </w:r>
          </w:p>
        </w:tc>
      </w:tr>
      <w:tr>
        <w:trPr>
          <w:trHeight w:val="115"/>
        </w:trPr>
        <w:tc>
          <w:tcPr>
            <w:tcW w:w="4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Purchase obligations</w:t>
            </w:r>
            <w:r>
              <w:rPr>
                <w:rFonts w:ascii="Arial" w:cs="Arial" w:eastAsia="Arial" w:hAnsi="Arial"/>
                <w:sz w:val="6"/>
                <w:szCs w:val="6"/>
                <w:color w:val="auto"/>
              </w:rPr>
              <w:t>(2)</w:t>
            </w:r>
          </w:p>
        </w:tc>
        <w:tc>
          <w:tcPr>
            <w:tcW w:w="206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2,585</w:t>
            </w:r>
          </w:p>
        </w:tc>
        <w:tc>
          <w:tcPr>
            <w:tcW w:w="3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1,067</w:t>
            </w:r>
          </w:p>
        </w:tc>
        <w:tc>
          <w:tcPr>
            <w:tcW w:w="4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784</w:t>
            </w:r>
          </w:p>
        </w:tc>
        <w:tc>
          <w:tcPr>
            <w:tcW w:w="38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562</w:t>
            </w:r>
          </w:p>
        </w:tc>
        <w:tc>
          <w:tcPr>
            <w:tcW w:w="46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172</w:t>
            </w:r>
          </w:p>
        </w:tc>
      </w:tr>
      <w:tr>
        <w:trPr>
          <w:trHeight w:val="115"/>
        </w:trPr>
        <w:tc>
          <w:tcPr>
            <w:tcW w:w="4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Estimated environmental liability payments</w:t>
            </w:r>
            <w:r>
              <w:rPr>
                <w:rFonts w:ascii="Arial" w:cs="Arial" w:eastAsia="Arial" w:hAnsi="Arial"/>
                <w:sz w:val="6"/>
                <w:szCs w:val="6"/>
                <w:color w:val="auto"/>
              </w:rPr>
              <w:t>(3)</w:t>
            </w:r>
          </w:p>
        </w:tc>
        <w:tc>
          <w:tcPr>
            <w:tcW w:w="206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618</w:t>
            </w:r>
          </w:p>
        </w:tc>
        <w:tc>
          <w:tcPr>
            <w:tcW w:w="3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225</w:t>
            </w:r>
          </w:p>
        </w:tc>
        <w:tc>
          <w:tcPr>
            <w:tcW w:w="4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241</w:t>
            </w:r>
          </w:p>
        </w:tc>
        <w:tc>
          <w:tcPr>
            <w:tcW w:w="38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115</w:t>
            </w:r>
          </w:p>
        </w:tc>
        <w:tc>
          <w:tcPr>
            <w:tcW w:w="46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37</w:t>
            </w:r>
          </w:p>
        </w:tc>
      </w:tr>
      <w:tr>
        <w:trPr>
          <w:trHeight w:val="115"/>
        </w:trPr>
        <w:tc>
          <w:tcPr>
            <w:tcW w:w="4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Asbestos related liability payments</w:t>
            </w:r>
            <w:r>
              <w:rPr>
                <w:rFonts w:ascii="Arial" w:cs="Arial" w:eastAsia="Arial" w:hAnsi="Arial"/>
                <w:sz w:val="6"/>
                <w:szCs w:val="6"/>
                <w:color w:val="auto"/>
              </w:rPr>
              <w:t>(4)</w:t>
            </w:r>
          </w:p>
        </w:tc>
        <w:tc>
          <w:tcPr>
            <w:tcW w:w="206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2,061</w:t>
            </w:r>
          </w:p>
        </w:tc>
        <w:tc>
          <w:tcPr>
            <w:tcW w:w="3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261</w:t>
            </w:r>
          </w:p>
        </w:tc>
        <w:tc>
          <w:tcPr>
            <w:tcW w:w="48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456</w:t>
            </w:r>
          </w:p>
        </w:tc>
        <w:tc>
          <w:tcPr>
            <w:tcW w:w="38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396</w:t>
            </w:r>
          </w:p>
        </w:tc>
        <w:tc>
          <w:tcPr>
            <w:tcW w:w="46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948</w:t>
            </w:r>
          </w:p>
        </w:tc>
      </w:tr>
      <w:tr>
        <w:trPr>
          <w:trHeight w:val="115"/>
        </w:trPr>
        <w:tc>
          <w:tcPr>
            <w:tcW w:w="46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Asbestos insurance recoveries</w:t>
            </w:r>
            <w:r>
              <w:rPr>
                <w:rFonts w:ascii="Arial" w:cs="Arial" w:eastAsia="Arial" w:hAnsi="Arial"/>
                <w:sz w:val="6"/>
                <w:szCs w:val="6"/>
                <w:color w:val="auto"/>
              </w:rPr>
              <w:t>(5)</w:t>
            </w:r>
          </w:p>
        </w:tc>
        <w:tc>
          <w:tcPr>
            <w:tcW w:w="206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(363)</w:t>
            </w:r>
          </w:p>
        </w:tc>
        <w:tc>
          <w:tcPr>
            <w:tcW w:w="3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(41)</w:t>
            </w:r>
          </w:p>
        </w:tc>
        <w:tc>
          <w:tcPr>
            <w:tcW w:w="48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(74)</w:t>
            </w:r>
          </w:p>
        </w:tc>
        <w:tc>
          <w:tcPr>
            <w:tcW w:w="380" w:type="dxa"/>
            <w:vAlign w:val="bottom"/>
            <w:tcBorders>
              <w:bottom w:val="single" w:sz="8" w:color="DC202E"/>
            </w:tcBorders>
          </w:tcPr>
          <w:p>
            <w:pPr>
              <w:spacing w:after="0"/>
              <w:rPr>
                <w:sz w:val="10"/>
                <w:szCs w:val="10"/>
                <w:color w:val="auto"/>
              </w:rPr>
            </w:pPr>
          </w:p>
        </w:tc>
        <w:tc>
          <w:tcPr>
            <w:tcW w:w="4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(54)</w:t>
            </w:r>
          </w:p>
        </w:tc>
        <w:tc>
          <w:tcPr>
            <w:tcW w:w="460" w:type="dxa"/>
            <w:vAlign w:val="bottom"/>
            <w:tcBorders>
              <w:bottom w:val="single" w:sz="8" w:color="DC202E"/>
            </w:tcBorders>
          </w:tcPr>
          <w:p>
            <w:pPr>
              <w:spacing w:after="0"/>
              <w:rPr>
                <w:sz w:val="10"/>
                <w:szCs w:val="10"/>
                <w:color w:val="auto"/>
              </w:rPr>
            </w:pPr>
          </w:p>
        </w:tc>
        <w:tc>
          <w:tcPr>
            <w:tcW w:w="5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(194)</w:t>
            </w:r>
          </w:p>
        </w:tc>
      </w:tr>
      <w:tr>
        <w:trPr>
          <w:trHeight w:val="115"/>
        </w:trPr>
        <w:tc>
          <w:tcPr>
            <w:tcW w:w="4640" w:type="dxa"/>
            <w:vAlign w:val="bottom"/>
            <w:tcBorders>
              <w:bottom w:val="single" w:sz="8" w:color="DC202E"/>
            </w:tcBorders>
          </w:tcPr>
          <w:p>
            <w:pPr>
              <w:spacing w:after="0"/>
              <w:rPr>
                <w:sz w:val="10"/>
                <w:szCs w:val="10"/>
                <w:color w:val="auto"/>
              </w:rPr>
            </w:pPr>
          </w:p>
        </w:tc>
        <w:tc>
          <w:tcPr>
            <w:tcW w:w="20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26,152</w:t>
            </w: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3,886</w:t>
            </w:r>
          </w:p>
        </w:tc>
        <w:tc>
          <w:tcPr>
            <w:tcW w:w="480" w:type="dxa"/>
            <w:vAlign w:val="bottom"/>
            <w:tcBorders>
              <w:bottom w:val="single" w:sz="8" w:color="DC202E"/>
            </w:tcBorders>
          </w:tcPr>
          <w:p>
            <w:pPr>
              <w:ind w:left="240"/>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5,581</w:t>
            </w:r>
          </w:p>
        </w:tc>
        <w:tc>
          <w:tcPr>
            <w:tcW w:w="380" w:type="dxa"/>
            <w:vAlign w:val="bottom"/>
            <w:tcBorders>
              <w:bottom w:val="single" w:sz="8" w:color="DC202E"/>
            </w:tcBorders>
          </w:tcPr>
          <w:p>
            <w:pPr>
              <w:ind w:left="120"/>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4,570</w:t>
            </w:r>
          </w:p>
        </w:tc>
        <w:tc>
          <w:tcPr>
            <w:tcW w:w="46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12,115</w:t>
            </w:r>
          </w:p>
        </w:tc>
      </w:tr>
    </w:tbl>
    <w:p>
      <w:pPr>
        <w:spacing w:after="0" w:line="105" w:lineRule="exact"/>
        <w:rPr>
          <w:sz w:val="20"/>
          <w:szCs w:val="20"/>
          <w:color w:val="auto"/>
        </w:rPr>
      </w:pPr>
    </w:p>
    <w:p>
      <w:pPr>
        <w:ind w:left="188" w:hanging="188"/>
        <w:spacing w:after="0"/>
        <w:tabs>
          <w:tab w:leader="none" w:pos="188" w:val="left"/>
        </w:tabs>
        <w:numPr>
          <w:ilvl w:val="0"/>
          <w:numId w:val="67"/>
        </w:numPr>
        <w:rPr>
          <w:rFonts w:ascii="Arial" w:cs="Arial" w:eastAsia="Arial" w:hAnsi="Arial"/>
          <w:sz w:val="11"/>
          <w:szCs w:val="11"/>
          <w:color w:val="auto"/>
          <w:vertAlign w:val="superscript"/>
        </w:rPr>
      </w:pPr>
      <w:r>
        <w:rPr>
          <w:rFonts w:ascii="Arial" w:cs="Arial" w:eastAsia="Arial" w:hAnsi="Arial"/>
          <w:sz w:val="8"/>
          <w:szCs w:val="8"/>
          <w:color w:val="auto"/>
        </w:rPr>
        <w:t>Assumes all long-term debt is outstanding until scheduled maturity.</w:t>
      </w:r>
    </w:p>
    <w:p>
      <w:pPr>
        <w:spacing w:after="0" w:line="39" w:lineRule="exact"/>
        <w:rPr>
          <w:rFonts w:ascii="Arial" w:cs="Arial" w:eastAsia="Arial" w:hAnsi="Arial"/>
          <w:sz w:val="11"/>
          <w:szCs w:val="11"/>
          <w:color w:val="auto"/>
          <w:vertAlign w:val="superscript"/>
        </w:rPr>
      </w:pPr>
    </w:p>
    <w:p>
      <w:pPr>
        <w:ind w:left="168" w:hanging="168"/>
        <w:spacing w:after="0" w:line="199" w:lineRule="auto"/>
        <w:tabs>
          <w:tab w:leader="none" w:pos="168" w:val="left"/>
        </w:tabs>
        <w:numPr>
          <w:ilvl w:val="0"/>
          <w:numId w:val="67"/>
        </w:numPr>
        <w:rPr>
          <w:rFonts w:ascii="Arial" w:cs="Arial" w:eastAsia="Arial" w:hAnsi="Arial"/>
          <w:sz w:val="11"/>
          <w:szCs w:val="11"/>
          <w:color w:val="auto"/>
          <w:vertAlign w:val="superscript"/>
        </w:rPr>
      </w:pPr>
      <w:r>
        <w:rPr>
          <w:rFonts w:ascii="Arial" w:cs="Arial" w:eastAsia="Arial" w:hAnsi="Arial"/>
          <w:sz w:val="8"/>
          <w:szCs w:val="8"/>
          <w:color w:val="auto"/>
        </w:rPr>
        <w:t>Purchase obligations are entered into with various vendors in the normal course of business and are consistent with our expected requirements.</w:t>
      </w:r>
    </w:p>
    <w:p>
      <w:pPr>
        <w:spacing w:after="0" w:line="39" w:lineRule="exact"/>
        <w:rPr>
          <w:rFonts w:ascii="Arial" w:cs="Arial" w:eastAsia="Arial" w:hAnsi="Arial"/>
          <w:sz w:val="11"/>
          <w:szCs w:val="11"/>
          <w:color w:val="auto"/>
          <w:vertAlign w:val="superscript"/>
        </w:rPr>
      </w:pPr>
    </w:p>
    <w:p>
      <w:pPr>
        <w:ind w:left="168" w:hanging="168"/>
        <w:spacing w:after="0" w:line="216" w:lineRule="auto"/>
        <w:tabs>
          <w:tab w:leader="none" w:pos="168" w:val="left"/>
        </w:tabs>
        <w:numPr>
          <w:ilvl w:val="0"/>
          <w:numId w:val="67"/>
        </w:numPr>
        <w:rPr>
          <w:rFonts w:ascii="Arial" w:cs="Arial" w:eastAsia="Arial" w:hAnsi="Arial"/>
          <w:sz w:val="11"/>
          <w:szCs w:val="11"/>
          <w:color w:val="auto"/>
          <w:vertAlign w:val="superscript"/>
        </w:rPr>
      </w:pPr>
      <w:r>
        <w:rPr>
          <w:rFonts w:ascii="Arial" w:cs="Arial" w:eastAsia="Arial" w:hAnsi="Arial"/>
          <w:sz w:val="8"/>
          <w:szCs w:val="8"/>
          <w:color w:val="auto"/>
        </w:rPr>
        <w:t>The payment amounts in the table only reflect the environmental liabilities which are probable and reasonably estimable as of December 31, 2021.</w:t>
      </w:r>
    </w:p>
    <w:p>
      <w:pPr>
        <w:spacing w:after="0" w:line="44" w:lineRule="exact"/>
        <w:rPr>
          <w:rFonts w:ascii="Arial" w:cs="Arial" w:eastAsia="Arial" w:hAnsi="Arial"/>
          <w:sz w:val="11"/>
          <w:szCs w:val="11"/>
          <w:color w:val="auto"/>
          <w:vertAlign w:val="superscript"/>
        </w:rPr>
      </w:pPr>
    </w:p>
    <w:p>
      <w:pPr>
        <w:ind w:left="168" w:hanging="168"/>
        <w:spacing w:after="0" w:line="218" w:lineRule="auto"/>
        <w:tabs>
          <w:tab w:leader="none" w:pos="170" w:val="left"/>
        </w:tabs>
        <w:numPr>
          <w:ilvl w:val="0"/>
          <w:numId w:val="67"/>
        </w:numPr>
        <w:rPr>
          <w:rFonts w:ascii="Arial" w:cs="Arial" w:eastAsia="Arial" w:hAnsi="Arial"/>
          <w:sz w:val="11"/>
          <w:szCs w:val="11"/>
          <w:color w:val="auto"/>
          <w:vertAlign w:val="superscript"/>
        </w:rPr>
      </w:pPr>
      <w:r>
        <w:rPr>
          <w:rFonts w:ascii="Arial" w:cs="Arial" w:eastAsia="Arial" w:hAnsi="Arial"/>
          <w:sz w:val="8"/>
          <w:szCs w:val="8"/>
          <w:color w:val="auto"/>
        </w:rPr>
        <w:t>These amounts are estimates of asbestos related cash payments for NARCO and Bendix based on our asbestos related liabilities which are probable and reasonably estimable as of December 31, 2021. See Asbestos Matters in Note 19 Commitments and Contingencies of Notes to Consolidated Financial Statements for additional information.</w:t>
      </w:r>
    </w:p>
    <w:p>
      <w:pPr>
        <w:spacing w:after="0" w:line="18" w:lineRule="exact"/>
        <w:rPr>
          <w:rFonts w:ascii="Arial" w:cs="Arial" w:eastAsia="Arial" w:hAnsi="Arial"/>
          <w:sz w:val="11"/>
          <w:szCs w:val="11"/>
          <w:color w:val="auto"/>
          <w:vertAlign w:val="superscript"/>
        </w:rPr>
      </w:pPr>
    </w:p>
    <w:p>
      <w:pPr>
        <w:ind w:left="168" w:hanging="168"/>
        <w:spacing w:after="0"/>
        <w:tabs>
          <w:tab w:leader="none" w:pos="168" w:val="left"/>
        </w:tabs>
        <w:numPr>
          <w:ilvl w:val="0"/>
          <w:numId w:val="67"/>
        </w:numPr>
        <w:rPr>
          <w:rFonts w:ascii="Arial" w:cs="Arial" w:eastAsia="Arial" w:hAnsi="Arial"/>
          <w:sz w:val="11"/>
          <w:szCs w:val="11"/>
          <w:color w:val="auto"/>
          <w:vertAlign w:val="superscript"/>
        </w:rPr>
      </w:pPr>
      <w:r>
        <w:rPr>
          <w:rFonts w:ascii="Arial" w:cs="Arial" w:eastAsia="Arial" w:hAnsi="Arial"/>
          <w:sz w:val="8"/>
          <w:szCs w:val="8"/>
          <w:color w:val="auto"/>
        </w:rPr>
        <w:t>These amounts represent our insurance recoveries that are deemed probable for asbestos related liabilities as of December 31, 2021. See Asbestos Matters in Note 19 Commitments and Contingencies of Notes to Consolidated Financial Statements for additional information.</w:t>
      </w:r>
    </w:p>
    <w:p>
      <w:pPr>
        <w:spacing w:after="0" w:line="39" w:lineRule="exact"/>
        <w:rPr>
          <w:rFonts w:ascii="Arial" w:cs="Arial" w:eastAsia="Arial" w:hAnsi="Arial"/>
          <w:sz w:val="11"/>
          <w:szCs w:val="11"/>
          <w:color w:val="auto"/>
          <w:vertAlign w:val="superscript"/>
        </w:rPr>
      </w:pPr>
    </w:p>
    <w:p>
      <w:pPr>
        <w:ind w:left="168" w:hanging="168"/>
        <w:spacing w:after="0" w:line="216" w:lineRule="auto"/>
        <w:tabs>
          <w:tab w:leader="none" w:pos="168" w:val="left"/>
        </w:tabs>
        <w:numPr>
          <w:ilvl w:val="0"/>
          <w:numId w:val="67"/>
        </w:numPr>
        <w:rPr>
          <w:rFonts w:ascii="Arial" w:cs="Arial" w:eastAsia="Arial" w:hAnsi="Arial"/>
          <w:sz w:val="11"/>
          <w:szCs w:val="11"/>
          <w:color w:val="auto"/>
          <w:vertAlign w:val="superscript"/>
        </w:rPr>
      </w:pPr>
      <w:r>
        <w:rPr>
          <w:rFonts w:ascii="Arial" w:cs="Arial" w:eastAsia="Arial" w:hAnsi="Arial"/>
          <w:sz w:val="8"/>
          <w:szCs w:val="8"/>
          <w:color w:val="auto"/>
        </w:rPr>
        <w:t>The table excludes tax liability payments, including those for unrecognized tax benefits. See Note 5 Income Taxes of Notes to Consolidated Financial Statements for additional information.</w:t>
      </w:r>
    </w:p>
    <w:p>
      <w:pPr>
        <w:spacing w:after="0" w:line="30" w:lineRule="exact"/>
        <w:rPr>
          <w:rFonts w:ascii="Arial" w:cs="Arial" w:eastAsia="Arial" w:hAnsi="Arial"/>
          <w:sz w:val="11"/>
          <w:szCs w:val="11"/>
          <w:color w:val="auto"/>
          <w:vertAlign w:val="superscript"/>
        </w:rPr>
      </w:pPr>
    </w:p>
    <w:p>
      <w:pPr>
        <w:ind w:left="188" w:hanging="188"/>
        <w:spacing w:after="0" w:line="216" w:lineRule="auto"/>
        <w:tabs>
          <w:tab w:leader="none" w:pos="188" w:val="left"/>
        </w:tabs>
        <w:numPr>
          <w:ilvl w:val="0"/>
          <w:numId w:val="67"/>
        </w:numPr>
        <w:rPr>
          <w:rFonts w:ascii="Arial" w:cs="Arial" w:eastAsia="Arial" w:hAnsi="Arial"/>
          <w:sz w:val="11"/>
          <w:szCs w:val="11"/>
          <w:color w:val="auto"/>
          <w:vertAlign w:val="superscript"/>
        </w:rPr>
      </w:pPr>
      <w:r>
        <w:rPr>
          <w:rFonts w:ascii="Arial" w:cs="Arial" w:eastAsia="Arial" w:hAnsi="Arial"/>
          <w:sz w:val="8"/>
          <w:szCs w:val="8"/>
          <w:color w:val="auto"/>
        </w:rPr>
        <w:t>The table excludes expected proceeds from the indemnification and reimbursement agreements entered into with Resideo. See Note 19 Commitments and Contingencies of Notes to Consolidated Financial Statements for additional information.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ASBESTOS MATTERS</w:t>
      </w:r>
    </w:p>
    <w:p>
      <w:pPr>
        <w:spacing w:after="0" w:line="15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Payments, net of insurance recoveries, related to known asbestos matters were $240 million, $229 million and $163 million for the years ended December 31, 2021, 2020 and 2019, respectively, and are estimated to be approximately $220 million in 2022. We expect to make payment associated with these asbestos matters from operating cash flows. The timing of these payments depends on several factors, including the timing of litigation and settlements of liability claims.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ENVIRONMENTAL MATTERS</w:t>
      </w:r>
    </w:p>
    <w:p>
      <w:pPr>
        <w:spacing w:after="0" w:line="15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Accruals during the year for environmental matters deemed probable and reasonably estimable were $168 million, $173 million and $213 million for the years ended December 31, 2021, 2020 and 2019, respectively. In addition, for the years ended December 31, 2021, 2020 and 2019, we incurred operating costs for ongoing businesses of approximately $88 million, $88 million and $99 million, respectively, relating to compliance with environmental regulations.</w:t>
      </w:r>
    </w:p>
    <w:p>
      <w:pPr>
        <w:spacing w:after="0" w:line="66"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Payments related to known environmental matters were $210 million, $216 million and $256 million for the years ended December 31, 2021, 2020 and 2019, respectively, and are estimated to be approximately $225 million in 2022. We expect to make payment associated with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color w:val="auto"/>
        </w:rPr>
        <w:t>Reimbursements from Resideo for payments related to environmental matters at certain sites, as defined in the indemnification and reimbursement agreement, were $140 million in 2021 and are expected to be $140 million in 2022.</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19 Commitments and Contingencies of Notes to Consolidated Financial Statements for further discussion of our environmental matters and the indemnification and reimbursement agreement entered into with Resideo.</w:t>
      </w:r>
    </w:p>
    <w:p>
      <w:pPr>
        <w:spacing w:after="0" w:line="284" w:lineRule="exact"/>
        <w:rPr>
          <w:sz w:val="20"/>
          <w:szCs w:val="20"/>
          <w:color w:val="auto"/>
        </w:rPr>
      </w:pPr>
    </w:p>
    <w:p>
      <w:pPr>
        <w:ind w:left="468" w:hanging="468"/>
        <w:spacing w:after="0"/>
        <w:tabs>
          <w:tab w:leader="none" w:pos="468" w:val="left"/>
        </w:tabs>
        <w:numPr>
          <w:ilvl w:val="0"/>
          <w:numId w:val="6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44" w:name="page45"/>
    <w:bookmarkEnd w:id="44"/>
    <w:p>
      <w:pPr>
        <w:ind w:left="9748"/>
        <w:spacing w:after="0"/>
        <w:rPr>
          <w:sz w:val="20"/>
          <w:szCs w:val="20"/>
          <w:color w:val="auto"/>
        </w:rPr>
      </w:pP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FINANCIAL INSTRUMENTS</w:t>
      </w:r>
    </w:p>
    <w:p>
      <w:pPr>
        <w:spacing w:after="0" w:line="155" w:lineRule="exact"/>
        <w:rPr>
          <w:sz w:val="20"/>
          <w:szCs w:val="20"/>
          <w:color w:val="auto"/>
        </w:rPr>
      </w:pPr>
    </w:p>
    <w:p>
      <w:pPr>
        <w:ind w:left="8" w:right="20"/>
        <w:spacing w:after="0" w:line="245" w:lineRule="auto"/>
        <w:rPr>
          <w:sz w:val="20"/>
          <w:szCs w:val="20"/>
          <w:color w:val="auto"/>
        </w:rPr>
      </w:pPr>
      <w:r>
        <w:rPr>
          <w:rFonts w:ascii="Arial" w:cs="Arial" w:eastAsia="Arial" w:hAnsi="Arial"/>
          <w:sz w:val="11"/>
          <w:szCs w:val="11"/>
          <w:color w:val="auto"/>
        </w:rPr>
        <w:t>The Company uses derivative financial instruments to reduce our risks from interest and foreign currency exchange rate fluctuations. Derivative financial instruments are not used for trading or other speculative purposes and we do not use leveraged derivative financial instruments.</w:t>
      </w:r>
    </w:p>
    <w:p>
      <w:pPr>
        <w:spacing w:after="0" w:line="66"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at December 31, 2021 and 2020.</w:t>
      </w:r>
    </w:p>
    <w:p>
      <w:pPr>
        <w:spacing w:after="0" w:line="6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gridSpan w:val="2"/>
          </w:tcPr>
          <w:p>
            <w:pPr>
              <w:jc w:val="center"/>
              <w:ind w:right="52"/>
              <w:spacing w:after="0"/>
              <w:rPr>
                <w:sz w:val="20"/>
                <w:szCs w:val="20"/>
                <w:color w:val="auto"/>
              </w:rPr>
            </w:pPr>
            <w:r>
              <w:rPr>
                <w:rFonts w:ascii="Arial" w:cs="Arial" w:eastAsia="Arial" w:hAnsi="Arial"/>
                <w:sz w:val="10"/>
                <w:szCs w:val="10"/>
                <w:b w:val="1"/>
                <w:bCs w:val="1"/>
                <w:color w:val="auto"/>
                <w:w w:val="96"/>
              </w:rPr>
              <w:t>Estimated</w:t>
            </w:r>
          </w:p>
        </w:tc>
        <w:tc>
          <w:tcPr>
            <w:tcW w:w="0" w:type="dxa"/>
            <w:vAlign w:val="bottom"/>
          </w:tcPr>
          <w:p>
            <w:pPr>
              <w:spacing w:after="0"/>
              <w:rPr>
                <w:sz w:val="1"/>
                <w:szCs w:val="1"/>
                <w:color w:val="auto"/>
              </w:rPr>
            </w:pPr>
          </w:p>
        </w:tc>
      </w:tr>
      <w:tr>
        <w:trPr>
          <w:trHeight w:val="90"/>
        </w:trPr>
        <w:tc>
          <w:tcPr>
            <w:tcW w:w="48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780" w:type="dxa"/>
            <w:vAlign w:val="bottom"/>
            <w:vMerge w:val="restart"/>
          </w:tcPr>
          <w:p>
            <w:pPr>
              <w:jc w:val="center"/>
              <w:ind w:right="312"/>
              <w:spacing w:after="0"/>
              <w:rPr>
                <w:sz w:val="20"/>
                <w:szCs w:val="20"/>
                <w:color w:val="auto"/>
              </w:rPr>
            </w:pPr>
            <w:r>
              <w:rPr>
                <w:rFonts w:ascii="Arial" w:cs="Arial" w:eastAsia="Arial" w:hAnsi="Arial"/>
                <w:sz w:val="10"/>
                <w:szCs w:val="10"/>
                <w:b w:val="1"/>
                <w:bCs w:val="1"/>
                <w:color w:val="auto"/>
                <w:w w:val="95"/>
              </w:rPr>
              <w:t>Face or</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0"/>
        </w:trPr>
        <w:tc>
          <w:tcPr>
            <w:tcW w:w="48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w w:val="92"/>
              </w:rPr>
              <w:t>Carrying</w:t>
            </w:r>
          </w:p>
        </w:tc>
        <w:tc>
          <w:tcPr>
            <w:tcW w:w="200" w:type="dxa"/>
            <w:vAlign w:val="bottom"/>
          </w:tcPr>
          <w:p>
            <w:pPr>
              <w:spacing w:after="0"/>
              <w:rPr>
                <w:sz w:val="7"/>
                <w:szCs w:val="7"/>
                <w:color w:val="auto"/>
              </w:rPr>
            </w:pPr>
          </w:p>
        </w:tc>
        <w:tc>
          <w:tcPr>
            <w:tcW w:w="780" w:type="dxa"/>
            <w:vAlign w:val="bottom"/>
            <w:vMerge w:val="restart"/>
          </w:tcPr>
          <w:p>
            <w:pPr>
              <w:jc w:val="right"/>
              <w:ind w:right="452"/>
              <w:spacing w:after="0"/>
              <w:rPr>
                <w:sz w:val="20"/>
                <w:szCs w:val="20"/>
                <w:color w:val="auto"/>
              </w:rPr>
            </w:pPr>
            <w:r>
              <w:rPr>
                <w:rFonts w:ascii="Arial" w:cs="Arial" w:eastAsia="Arial" w:hAnsi="Arial"/>
                <w:sz w:val="10"/>
                <w:szCs w:val="10"/>
                <w:b w:val="1"/>
                <w:bCs w:val="1"/>
                <w:color w:val="auto"/>
              </w:rPr>
              <w:t>Fair</w:t>
            </w:r>
          </w:p>
        </w:tc>
        <w:tc>
          <w:tcPr>
            <w:tcW w:w="880" w:type="dxa"/>
            <w:vAlign w:val="bottom"/>
            <w:gridSpan w:val="2"/>
          </w:tcPr>
          <w:p>
            <w:pPr>
              <w:jc w:val="center"/>
              <w:ind w:right="52"/>
              <w:spacing w:after="0" w:line="90" w:lineRule="exact"/>
              <w:rPr>
                <w:sz w:val="20"/>
                <w:szCs w:val="20"/>
                <w:color w:val="auto"/>
              </w:rPr>
            </w:pPr>
            <w:r>
              <w:rPr>
                <w:rFonts w:ascii="Arial" w:cs="Arial" w:eastAsia="Arial" w:hAnsi="Arial"/>
                <w:sz w:val="10"/>
                <w:szCs w:val="10"/>
                <w:b w:val="1"/>
                <w:bCs w:val="1"/>
                <w:color w:val="auto"/>
                <w:w w:val="97"/>
              </w:rPr>
              <w:t>(Decrease)</w:t>
            </w:r>
          </w:p>
        </w:tc>
        <w:tc>
          <w:tcPr>
            <w:tcW w:w="0" w:type="dxa"/>
            <w:vAlign w:val="bottom"/>
          </w:tcPr>
          <w:p>
            <w:pPr>
              <w:spacing w:after="0"/>
              <w:rPr>
                <w:sz w:val="1"/>
                <w:szCs w:val="1"/>
                <w:color w:val="auto"/>
              </w:rPr>
            </w:pPr>
          </w:p>
        </w:tc>
      </w:tr>
      <w:tr>
        <w:trPr>
          <w:trHeight w:val="90"/>
        </w:trPr>
        <w:tc>
          <w:tcPr>
            <w:tcW w:w="48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780" w:type="dxa"/>
            <w:vAlign w:val="bottom"/>
          </w:tcPr>
          <w:p>
            <w:pPr>
              <w:jc w:val="center"/>
              <w:ind w:right="312"/>
              <w:spacing w:after="0" w:line="90" w:lineRule="exact"/>
              <w:rPr>
                <w:sz w:val="20"/>
                <w:szCs w:val="20"/>
                <w:color w:val="auto"/>
              </w:rPr>
            </w:pPr>
            <w:r>
              <w:rPr>
                <w:rFonts w:ascii="Arial" w:cs="Arial" w:eastAsia="Arial" w:hAnsi="Arial"/>
                <w:sz w:val="10"/>
                <w:szCs w:val="10"/>
                <w:b w:val="1"/>
                <w:bCs w:val="1"/>
                <w:color w:val="auto"/>
                <w:w w:val="94"/>
              </w:rPr>
              <w:t>Notional</w:t>
            </w: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jc w:val="center"/>
              <w:ind w:right="252"/>
              <w:spacing w:after="0" w:line="90" w:lineRule="exact"/>
              <w:rPr>
                <w:sz w:val="20"/>
                <w:szCs w:val="20"/>
                <w:color w:val="auto"/>
              </w:rPr>
            </w:pPr>
            <w:r>
              <w:rPr>
                <w:rFonts w:ascii="Arial" w:cs="Arial" w:eastAsia="Arial" w:hAnsi="Arial"/>
                <w:sz w:val="10"/>
                <w:szCs w:val="10"/>
                <w:b w:val="1"/>
                <w:bCs w:val="1"/>
                <w:color w:val="auto"/>
                <w:w w:val="93"/>
              </w:rPr>
              <w:t>in Fair</w:t>
            </w:r>
          </w:p>
        </w:tc>
        <w:tc>
          <w:tcPr>
            <w:tcW w:w="0" w:type="dxa"/>
            <w:vAlign w:val="bottom"/>
          </w:tcPr>
          <w:p>
            <w:pPr>
              <w:spacing w:after="0"/>
              <w:rPr>
                <w:sz w:val="1"/>
                <w:szCs w:val="1"/>
                <w:color w:val="auto"/>
              </w:rPr>
            </w:pPr>
          </w:p>
        </w:tc>
      </w:tr>
      <w:tr>
        <w:trPr>
          <w:trHeight w:val="117"/>
        </w:trPr>
        <w:tc>
          <w:tcPr>
            <w:tcW w:w="4860" w:type="dxa"/>
            <w:vAlign w:val="bottom"/>
            <w:tcBorders>
              <w:bottom w:val="single" w:sz="8" w:color="DC202E"/>
            </w:tcBorders>
          </w:tcPr>
          <w:p>
            <w:pPr>
              <w:spacing w:after="0"/>
              <w:rPr>
                <w:sz w:val="10"/>
                <w:szCs w:val="10"/>
                <w:color w:val="auto"/>
              </w:rPr>
            </w:pPr>
          </w:p>
        </w:tc>
        <w:tc>
          <w:tcPr>
            <w:tcW w:w="282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center"/>
              <w:ind w:right="332"/>
              <w:spacing w:after="0"/>
              <w:rPr>
                <w:sz w:val="20"/>
                <w:szCs w:val="20"/>
                <w:color w:val="auto"/>
              </w:rPr>
            </w:pPr>
            <w:r>
              <w:rPr>
                <w:rFonts w:ascii="Arial" w:cs="Arial" w:eastAsia="Arial" w:hAnsi="Arial"/>
                <w:sz w:val="10"/>
                <w:szCs w:val="10"/>
                <w:b w:val="1"/>
                <w:bCs w:val="1"/>
                <w:color w:val="auto"/>
                <w:w w:val="95"/>
              </w:rPr>
              <w:t>Amount</w:t>
            </w:r>
          </w:p>
        </w:tc>
        <w:tc>
          <w:tcPr>
            <w:tcW w:w="2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w w:val="99"/>
              </w:rPr>
              <w:t>Value</w:t>
            </w:r>
            <w:r>
              <w:rPr>
                <w:rFonts w:ascii="Arial" w:cs="Arial" w:eastAsia="Arial" w:hAnsi="Arial"/>
                <w:sz w:val="6"/>
                <w:szCs w:val="6"/>
                <w:b w:val="1"/>
                <w:bCs w:val="1"/>
                <w:color w:val="auto"/>
                <w:w w:val="99"/>
              </w:rPr>
              <w:t>(1)</w:t>
            </w:r>
          </w:p>
        </w:tc>
        <w:tc>
          <w:tcPr>
            <w:tcW w:w="2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w w:val="99"/>
              </w:rPr>
              <w:t>Value</w:t>
            </w:r>
            <w:r>
              <w:rPr>
                <w:rFonts w:ascii="Arial" w:cs="Arial" w:eastAsia="Arial" w:hAnsi="Arial"/>
                <w:sz w:val="6"/>
                <w:szCs w:val="6"/>
                <w:b w:val="1"/>
                <w:bCs w:val="1"/>
                <w:color w:val="auto"/>
                <w:w w:val="99"/>
              </w:rPr>
              <w:t>(1)</w:t>
            </w:r>
          </w:p>
        </w:tc>
        <w:tc>
          <w:tcPr>
            <w:tcW w:w="18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center"/>
              <w:ind w:right="252"/>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6"/>
                <w:szCs w:val="6"/>
                <w:b w:val="1"/>
                <w:bCs w:val="1"/>
                <w:color w:val="auto"/>
                <w:w w:val="93"/>
              </w:rPr>
              <w:t>(2)</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December 31, 2021</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Interest Rate Sensitive Instruments</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Long-term debt (including current maturities)</w:t>
            </w:r>
          </w:p>
        </w:tc>
        <w:tc>
          <w:tcPr>
            <w:tcW w:w="2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16,057</w:t>
            </w:r>
          </w:p>
        </w:tc>
        <w:tc>
          <w:tcPr>
            <w:tcW w:w="2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(16,057)</w:t>
            </w:r>
          </w:p>
        </w:tc>
        <w:tc>
          <w:tcPr>
            <w:tcW w:w="2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(17,022)</w:t>
            </w:r>
          </w:p>
        </w:tc>
        <w:tc>
          <w:tcPr>
            <w:tcW w:w="1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(1,148)</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Interest rate swap agreements</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3,150</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60</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60</w:t>
            </w: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(112)</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Foreign Exchange Rate Sensitive Instruments</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Foreign currency exchange contracts</w:t>
            </w:r>
            <w:r>
              <w:rPr>
                <w:rFonts w:ascii="Arial" w:cs="Arial" w:eastAsia="Arial" w:hAnsi="Arial"/>
                <w:sz w:val="6"/>
                <w:szCs w:val="6"/>
                <w:color w:val="auto"/>
              </w:rPr>
              <w:t>(3)</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12,671</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92</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92</w:t>
            </w: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(628)</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Cross currency swap agreements</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1,200</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w:t>
            </w: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December 31, 2020</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Interest Rate Sensitive Instruments</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Long-term debt (including current maturities)</w:t>
            </w:r>
          </w:p>
        </w:tc>
        <w:tc>
          <w:tcPr>
            <w:tcW w:w="2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18,787</w:t>
            </w:r>
          </w:p>
        </w:tc>
        <w:tc>
          <w:tcPr>
            <w:tcW w:w="2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(18,787)</w:t>
            </w:r>
          </w:p>
        </w:tc>
        <w:tc>
          <w:tcPr>
            <w:tcW w:w="2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(20,176)</w:t>
            </w:r>
          </w:p>
        </w:tc>
        <w:tc>
          <w:tcPr>
            <w:tcW w:w="1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(1,063)</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Interest rate swap agreements</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3,950</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194</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194</w:t>
            </w: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(148)</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Foreign Exchange Rate Sensitive Instruments</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Foreign currency exchange contracts</w:t>
            </w:r>
            <w:r>
              <w:rPr>
                <w:rFonts w:ascii="Arial" w:cs="Arial" w:eastAsia="Arial" w:hAnsi="Arial"/>
                <w:sz w:val="6"/>
                <w:szCs w:val="6"/>
                <w:color w:val="auto"/>
              </w:rPr>
              <w:t>(3)</w:t>
            </w:r>
          </w:p>
        </w:tc>
        <w:tc>
          <w:tcPr>
            <w:tcW w:w="282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16,123</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52</w:t>
            </w:r>
          </w:p>
        </w:tc>
        <w:tc>
          <w:tcPr>
            <w:tcW w:w="2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52</w:t>
            </w:r>
          </w:p>
        </w:tc>
        <w:tc>
          <w:tcPr>
            <w:tcW w:w="18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(334)</w:t>
            </w:r>
          </w:p>
        </w:tc>
        <w:tc>
          <w:tcPr>
            <w:tcW w:w="0" w:type="dxa"/>
            <w:vAlign w:val="bottom"/>
          </w:tcPr>
          <w:p>
            <w:pPr>
              <w:spacing w:after="0"/>
              <w:rPr>
                <w:sz w:val="1"/>
                <w:szCs w:val="1"/>
                <w:color w:val="auto"/>
              </w:rPr>
            </w:pPr>
          </w:p>
        </w:tc>
      </w:tr>
      <w:tr>
        <w:trPr>
          <w:trHeight w:val="115"/>
        </w:trPr>
        <w:tc>
          <w:tcPr>
            <w:tcW w:w="4860" w:type="dxa"/>
            <w:vAlign w:val="bottom"/>
            <w:tcBorders>
              <w:bottom w:val="single" w:sz="8" w:color="DC202E"/>
            </w:tcBorders>
          </w:tcPr>
          <w:p>
            <w:pPr>
              <w:ind w:left="160"/>
              <w:spacing w:after="0"/>
              <w:rPr>
                <w:sz w:val="20"/>
                <w:szCs w:val="20"/>
                <w:color w:val="auto"/>
              </w:rPr>
            </w:pPr>
            <w:r>
              <w:rPr>
                <w:rFonts w:ascii="Arial" w:cs="Arial" w:eastAsia="Arial" w:hAnsi="Arial"/>
                <w:sz w:val="10"/>
                <w:szCs w:val="10"/>
                <w:color w:val="auto"/>
              </w:rPr>
              <w:t>Cross currency swap agreements</w:t>
            </w:r>
          </w:p>
        </w:tc>
        <w:tc>
          <w:tcPr>
            <w:tcW w:w="282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1,200</w:t>
            </w:r>
          </w:p>
        </w:tc>
        <w:tc>
          <w:tcPr>
            <w:tcW w:w="2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(50)</w:t>
            </w:r>
          </w:p>
        </w:tc>
        <w:tc>
          <w:tcPr>
            <w:tcW w:w="2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(50)</w:t>
            </w:r>
          </w:p>
        </w:tc>
        <w:tc>
          <w:tcPr>
            <w:tcW w:w="18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(125)</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88" w:hanging="188"/>
        <w:spacing w:after="0"/>
        <w:tabs>
          <w:tab w:leader="none" w:pos="188" w:val="left"/>
        </w:tabs>
        <w:numPr>
          <w:ilvl w:val="0"/>
          <w:numId w:val="69"/>
        </w:numPr>
        <w:rPr>
          <w:rFonts w:ascii="Arial" w:cs="Arial" w:eastAsia="Arial" w:hAnsi="Arial"/>
          <w:sz w:val="11"/>
          <w:szCs w:val="11"/>
          <w:color w:val="auto"/>
          <w:vertAlign w:val="superscript"/>
        </w:rPr>
      </w:pPr>
      <w:r>
        <w:rPr>
          <w:rFonts w:ascii="Arial" w:cs="Arial" w:eastAsia="Arial" w:hAnsi="Arial"/>
          <w:sz w:val="8"/>
          <w:szCs w:val="8"/>
          <w:color w:val="auto"/>
        </w:rPr>
        <w:t>Asset or (liability).</w:t>
      </w:r>
    </w:p>
    <w:p>
      <w:pPr>
        <w:spacing w:after="0" w:line="44" w:lineRule="exact"/>
        <w:rPr>
          <w:rFonts w:ascii="Arial" w:cs="Arial" w:eastAsia="Arial" w:hAnsi="Arial"/>
          <w:sz w:val="11"/>
          <w:szCs w:val="11"/>
          <w:color w:val="auto"/>
          <w:vertAlign w:val="superscript"/>
        </w:rPr>
      </w:pPr>
    </w:p>
    <w:p>
      <w:pPr>
        <w:ind w:left="168" w:hanging="168"/>
        <w:spacing w:after="0" w:line="218" w:lineRule="auto"/>
        <w:tabs>
          <w:tab w:leader="none" w:pos="170" w:val="left"/>
        </w:tabs>
        <w:numPr>
          <w:ilvl w:val="0"/>
          <w:numId w:val="69"/>
        </w:numPr>
        <w:rPr>
          <w:rFonts w:ascii="Arial" w:cs="Arial" w:eastAsia="Arial" w:hAnsi="Arial"/>
          <w:sz w:val="11"/>
          <w:szCs w:val="11"/>
          <w:color w:val="auto"/>
          <w:vertAlign w:val="superscript"/>
        </w:rPr>
      </w:pPr>
      <w:r>
        <w:rPr>
          <w:rFonts w:ascii="Arial" w:cs="Arial" w:eastAsia="Arial" w:hAnsi="Arial"/>
          <w:sz w:val="8"/>
          <w:szCs w:val="8"/>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27" w:lineRule="exact"/>
        <w:rPr>
          <w:rFonts w:ascii="Arial" w:cs="Arial" w:eastAsia="Arial" w:hAnsi="Arial"/>
          <w:sz w:val="11"/>
          <w:szCs w:val="11"/>
          <w:color w:val="auto"/>
          <w:vertAlign w:val="superscript"/>
        </w:rPr>
      </w:pPr>
    </w:p>
    <w:p>
      <w:pPr>
        <w:ind w:left="168" w:hanging="168"/>
        <w:spacing w:after="0"/>
        <w:tabs>
          <w:tab w:leader="none" w:pos="168" w:val="left"/>
        </w:tabs>
        <w:numPr>
          <w:ilvl w:val="0"/>
          <w:numId w:val="69"/>
        </w:numPr>
        <w:rPr>
          <w:rFonts w:ascii="Arial" w:cs="Arial" w:eastAsia="Arial" w:hAnsi="Arial"/>
          <w:sz w:val="11"/>
          <w:szCs w:val="11"/>
          <w:color w:val="auto"/>
          <w:vertAlign w:val="superscript"/>
        </w:rPr>
      </w:pPr>
      <w:r>
        <w:rPr>
          <w:rFonts w:ascii="Arial" w:cs="Arial" w:eastAsia="Arial" w:hAnsi="Arial"/>
          <w:sz w:val="8"/>
          <w:szCs w:val="8"/>
          <w:color w:val="auto"/>
        </w:rPr>
        <w:t>Changes in the fair value of foreign currency exchange contracts are offset by changes in the fair value, cash flows, or net investments of underlying hedged foreign currency transactions or foreign operations.</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11 Derivative Instruments and Hedging Transactions to Consolidated Financial Statements for further discussion.</w:t>
      </w: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43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45" w:name="page46"/>
    <w:bookmarkEnd w:id="45"/>
    <w:p>
      <w:pPr>
        <w:ind w:left="8"/>
        <w:spacing w:after="0"/>
        <w:rPr>
          <w:sz w:val="20"/>
          <w:szCs w:val="20"/>
          <w:color w:val="auto"/>
        </w:rPr>
      </w:pPr>
      <w:r>
        <w:rPr>
          <w:rFonts w:ascii="Arial" w:cs="Arial" w:eastAsia="Arial" w:hAnsi="Arial"/>
          <w:sz w:val="24"/>
          <w:szCs w:val="24"/>
          <w:b w:val="1"/>
          <w:bCs w:val="1"/>
          <w:color w:val="auto"/>
        </w:rPr>
        <w:t>CRITICAL ACCOUNTING ESTIMATES</w:t>
      </w:r>
    </w:p>
    <w:p>
      <w:pPr>
        <w:spacing w:after="0" w:line="278"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spacing w:after="0" w:line="57" w:lineRule="exact"/>
        <w:rPr>
          <w:sz w:val="20"/>
          <w:szCs w:val="20"/>
          <w:color w:val="auto"/>
        </w:rPr>
      </w:pPr>
    </w:p>
    <w:p>
      <w:pPr>
        <w:jc w:val="both"/>
        <w:ind w:left="8"/>
        <w:spacing w:after="0" w:line="269" w:lineRule="auto"/>
        <w:rPr>
          <w:sz w:val="20"/>
          <w:szCs w:val="20"/>
          <w:color w:val="auto"/>
        </w:rPr>
      </w:pPr>
      <w:r>
        <w:rPr>
          <w:rFonts w:ascii="Arial" w:cs="Arial" w:eastAsia="Arial" w:hAnsi="Arial"/>
          <w:sz w:val="10"/>
          <w:szCs w:val="10"/>
          <w:b w:val="1"/>
          <w:bCs w:val="1"/>
          <w:i w:val="1"/>
          <w:iCs w:val="1"/>
          <w:color w:val="auto"/>
        </w:rPr>
        <w:t>Sales Recognition on Long-Term Contracts</w:t>
      </w:r>
      <w:r>
        <w:rPr>
          <w:rFonts w:ascii="Arial" w:cs="Arial" w:eastAsia="Arial" w:hAnsi="Arial"/>
          <w:sz w:val="10"/>
          <w:szCs w:val="10"/>
          <w:color w:val="auto"/>
        </w:rPr>
        <w:t>—We recognize sales for long-term contracts with performance obligations satisfied over time using either an input or output method. We recognize revenue over time as we perform on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43"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b w:val="1"/>
          <w:bCs w:val="1"/>
          <w:i w:val="1"/>
          <w:iCs w:val="1"/>
          <w:color w:val="auto"/>
        </w:rPr>
        <w:t>Income Taxes</w:t>
      </w:r>
      <w:r>
        <w:rPr>
          <w:rFonts w:ascii="Arial" w:cs="Arial" w:eastAsia="Arial" w:hAnsi="Arial"/>
          <w:sz w:val="11"/>
          <w:szCs w:val="11"/>
          <w:color w:val="auto"/>
        </w:rPr>
        <w:t>—On a recurring basis, we assess the need for a valuation allowance against our deferred tax assets by considering all available positive and negative evidence, such as past operating results, projections of future taxable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62" w:lineRule="exact"/>
        <w:rPr>
          <w:sz w:val="20"/>
          <w:szCs w:val="20"/>
          <w:color w:val="auto"/>
        </w:rPr>
      </w:pPr>
    </w:p>
    <w:p>
      <w:pPr>
        <w:jc w:val="both"/>
        <w:ind w:left="8" w:right="20"/>
        <w:spacing w:after="0" w:line="241" w:lineRule="auto"/>
        <w:rPr>
          <w:sz w:val="20"/>
          <w:szCs w:val="20"/>
          <w:color w:val="auto"/>
        </w:rPr>
      </w:pPr>
      <w:r>
        <w:rPr>
          <w:rFonts w:ascii="Arial" w:cs="Arial" w:eastAsia="Arial" w:hAnsi="Arial"/>
          <w:sz w:val="11"/>
          <w:szCs w:val="11"/>
          <w:color w:val="auto"/>
        </w:rPr>
        <w:t>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further discussion of additional income tax policies, see Note 1 Summary of Significant Accounting Policies of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8" w:hanging="468"/>
        <w:spacing w:after="0"/>
        <w:tabs>
          <w:tab w:leader="none" w:pos="468" w:val="left"/>
        </w:tabs>
        <w:numPr>
          <w:ilvl w:val="0"/>
          <w:numId w:val="7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8"/>
          <w:szCs w:val="8"/>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8"/>
        <w:spacing w:after="0" w:line="246" w:lineRule="auto"/>
        <w:rPr>
          <w:sz w:val="20"/>
          <w:szCs w:val="20"/>
          <w:color w:val="auto"/>
        </w:rPr>
      </w:pPr>
      <w:r>
        <w:rPr>
          <w:rFonts w:ascii="Arial" w:cs="Arial" w:eastAsia="Arial" w:hAnsi="Arial"/>
          <w:sz w:val="11"/>
          <w:szCs w:val="11"/>
          <w:b w:val="1"/>
          <w:bCs w:val="1"/>
          <w:i w:val="1"/>
          <w:iCs w:val="1"/>
          <w:color w:val="auto"/>
        </w:rPr>
        <w:t>Goodwill and Indefinite-Lived Intangible Assets Impairment Testing</w:t>
      </w:r>
      <w:r>
        <w:rPr>
          <w:rFonts w:ascii="Arial" w:cs="Arial" w:eastAsia="Arial" w:hAnsi="Arial"/>
          <w:sz w:val="11"/>
          <w:szCs w:val="11"/>
          <w:color w:val="auto"/>
        </w:rPr>
        <w:t>—Goodwill and intangible assets deemed to have indefinite lives are not amortized, but are subject to annual, or more frequent if necessary, impairment testing.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testing goodwill and indefinite-lived intangible assets, the fair value is estimated utilizing a discounted cash flow approach utilizing cash flow forecasts, including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analyses on key estimates and assumptions. Once the fair value is determined, if the carrying amount exceeds the fair value, it is impaired. Any impairment is measured as the difference between the carrying amount and its fair value.</w:t>
      </w:r>
    </w:p>
    <w:p>
      <w:pPr>
        <w:spacing w:after="0" w:line="54" w:lineRule="exact"/>
        <w:rPr>
          <w:sz w:val="20"/>
          <w:szCs w:val="20"/>
          <w:color w:val="auto"/>
        </w:rPr>
      </w:pPr>
    </w:p>
    <w:p>
      <w:pPr>
        <w:jc w:val="both"/>
        <w:ind w:left="8"/>
        <w:spacing w:after="0" w:line="290" w:lineRule="auto"/>
        <w:rPr>
          <w:sz w:val="20"/>
          <w:szCs w:val="20"/>
          <w:color w:val="auto"/>
        </w:rPr>
      </w:pPr>
      <w:r>
        <w:rPr>
          <w:rFonts w:ascii="Arial" w:cs="Arial" w:eastAsia="Arial" w:hAnsi="Arial"/>
          <w:sz w:val="10"/>
          <w:szCs w:val="10"/>
          <w:b w:val="1"/>
          <w:bCs w:val="1"/>
          <w:i w:val="1"/>
          <w:iCs w:val="1"/>
          <w:color w:val="auto"/>
        </w:rPr>
        <w:t>Finite-Lived Intangible Assets</w:t>
      </w:r>
      <w:r>
        <w:rPr>
          <w:rFonts w:ascii="Arial" w:cs="Arial" w:eastAsia="Arial" w:hAnsi="Arial"/>
          <w:sz w:val="10"/>
          <w:szCs w:val="10"/>
          <w:color w:val="auto"/>
        </w:rPr>
        <w:t>—The determination of useful lives (for depreciation/amortization purposes) and whether or not intangible assets are impaired involves the use of accounting estimates and assumptions, changes in which</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could materially impact our financial condition or operating performance if actual results differ from such estimates and assumptions. We evaluate the recoverability of the carrying amount of our finite-lived intangible assets whenever events or changes in circumstances indicate that the carrying amount of a finite-lived intangible asset group may not be fully recoverable. The principal factors in considering when to perform an impairment review are as follows:</w:t>
      </w:r>
    </w:p>
    <w:p>
      <w:pPr>
        <w:spacing w:after="0" w:line="45" w:lineRule="exact"/>
        <w:rPr>
          <w:sz w:val="20"/>
          <w:szCs w:val="20"/>
          <w:color w:val="auto"/>
        </w:rPr>
      </w:pPr>
    </w:p>
    <w:p>
      <w:pPr>
        <w:ind w:left="128" w:hanging="128"/>
        <w:spacing w:after="0"/>
        <w:tabs>
          <w:tab w:leader="none" w:pos="128" w:val="left"/>
        </w:tabs>
        <w:numPr>
          <w:ilvl w:val="0"/>
          <w:numId w:val="71"/>
        </w:numPr>
        <w:rPr>
          <w:rFonts w:ascii="Arial" w:cs="Arial" w:eastAsia="Arial" w:hAnsi="Arial"/>
          <w:sz w:val="11"/>
          <w:szCs w:val="11"/>
          <w:color w:val="D7282F"/>
        </w:rPr>
      </w:pPr>
      <w:r>
        <w:rPr>
          <w:rFonts w:ascii="Arial" w:cs="Arial" w:eastAsia="Arial" w:hAnsi="Arial"/>
          <w:sz w:val="11"/>
          <w:szCs w:val="11"/>
          <w:color w:val="auto"/>
        </w:rPr>
        <w:t>Significant under-performance (i.e., declines in sales, earnings or cash flows) of a business or product line in relation to expectations;</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71"/>
        </w:numPr>
        <w:rPr>
          <w:rFonts w:ascii="Arial" w:cs="Arial" w:eastAsia="Arial" w:hAnsi="Arial"/>
          <w:sz w:val="11"/>
          <w:szCs w:val="11"/>
          <w:color w:val="D7282F"/>
        </w:rPr>
      </w:pPr>
      <w:r>
        <w:rPr>
          <w:rFonts w:ascii="Arial" w:cs="Arial" w:eastAsia="Arial" w:hAnsi="Arial"/>
          <w:sz w:val="11"/>
          <w:szCs w:val="11"/>
          <w:color w:val="auto"/>
        </w:rPr>
        <w:t>Annual operating plans or strategic plan outlook that indicate an unfavorable trend in operating performance of a business or product line;</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71"/>
        </w:numPr>
        <w:rPr>
          <w:rFonts w:ascii="Arial" w:cs="Arial" w:eastAsia="Arial" w:hAnsi="Arial"/>
          <w:sz w:val="11"/>
          <w:szCs w:val="11"/>
          <w:color w:val="D7282F"/>
        </w:rPr>
      </w:pPr>
      <w:r>
        <w:rPr>
          <w:rFonts w:ascii="Arial" w:cs="Arial" w:eastAsia="Arial" w:hAnsi="Arial"/>
          <w:sz w:val="11"/>
          <w:szCs w:val="11"/>
          <w:color w:val="auto"/>
        </w:rPr>
        <w:t>Significant negative industry or economic trends; or</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71"/>
        </w:numPr>
        <w:rPr>
          <w:rFonts w:ascii="Arial" w:cs="Arial" w:eastAsia="Arial" w:hAnsi="Arial"/>
          <w:sz w:val="11"/>
          <w:szCs w:val="11"/>
          <w:color w:val="D7282F"/>
        </w:rPr>
      </w:pPr>
      <w:r>
        <w:rPr>
          <w:rFonts w:ascii="Arial" w:cs="Arial" w:eastAsia="Arial" w:hAnsi="Arial"/>
          <w:sz w:val="11"/>
          <w:szCs w:val="11"/>
          <w:color w:val="auto"/>
        </w:rPr>
        <w:t>Significant changes or planned changes in our use of the assets.</w:t>
      </w:r>
    </w:p>
    <w:p>
      <w:pPr>
        <w:spacing w:after="0" w:line="72"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assumptions as to expected industry and business growth rates, sales volume, selling prices and costs, cash flows,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 from assumptions could materially affect the valuations.</w:t>
      </w:r>
    </w:p>
    <w:p>
      <w:pPr>
        <w:spacing w:after="0" w:line="57"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b w:val="1"/>
          <w:bCs w:val="1"/>
          <w:i w:val="1"/>
          <w:iCs w:val="1"/>
          <w:color w:val="auto"/>
        </w:rPr>
        <w:t>Defined Benefit Pension Plans</w:t>
      </w:r>
      <w:r>
        <w:rPr>
          <w:rFonts w:ascii="Arial" w:cs="Arial" w:eastAsia="Arial" w:hAnsi="Arial"/>
          <w:sz w:val="11"/>
          <w:szCs w:val="11"/>
          <w:color w:val="auto"/>
        </w:rPr>
        <w:t>—We sponsor both funded and unfunded U.S. and non-U.S. defined benefit pension plans. For financial reporting purposes, net periodic pension (income) expense is calculated annually based upon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key assumptions used in developing our net periodic pension (income) expense for our U.S. plans included the following:</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800" w:type="dxa"/>
            <w:vAlign w:val="bottom"/>
            <w:tcBorders>
              <w:bottom w:val="single" w:sz="8" w:color="DC202E"/>
            </w:tcBorders>
          </w:tcPr>
          <w:p>
            <w:pPr>
              <w:ind w:left="8580"/>
              <w:spacing w:after="0"/>
              <w:rPr>
                <w:sz w:val="20"/>
                <w:szCs w:val="20"/>
                <w:color w:val="auto"/>
              </w:rPr>
            </w:pPr>
            <w:r>
              <w:rPr>
                <w:rFonts w:ascii="Arial" w:cs="Arial" w:eastAsia="Arial" w:hAnsi="Arial"/>
                <w:sz w:val="10"/>
                <w:szCs w:val="10"/>
                <w:b w:val="1"/>
                <w:bCs w:val="1"/>
                <w:color w:val="auto"/>
                <w:w w:val="89"/>
              </w:rPr>
              <w:t>2021</w:t>
            </w:r>
          </w:p>
        </w:tc>
        <w:tc>
          <w:tcPr>
            <w:tcW w:w="60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2020</w:t>
            </w:r>
          </w:p>
        </w:tc>
        <w:tc>
          <w:tcPr>
            <w:tcW w:w="86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2019</w:t>
            </w:r>
          </w:p>
        </w:tc>
      </w:tr>
      <w:tr>
        <w:trPr>
          <w:trHeight w:val="115"/>
        </w:trPr>
        <w:tc>
          <w:tcPr>
            <w:tcW w:w="88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Discount Rate:</w:t>
            </w:r>
          </w:p>
        </w:tc>
        <w:tc>
          <w:tcPr>
            <w:tcW w:w="600" w:type="dxa"/>
            <w:vAlign w:val="bottom"/>
            <w:tcBorders>
              <w:bottom w:val="single" w:sz="8" w:color="939598"/>
            </w:tcBorders>
          </w:tcPr>
          <w:p>
            <w:pPr>
              <w:spacing w:after="0"/>
              <w:rPr>
                <w:sz w:val="10"/>
                <w:szCs w:val="10"/>
                <w:color w:val="auto"/>
              </w:rPr>
            </w:pPr>
          </w:p>
        </w:tc>
        <w:tc>
          <w:tcPr>
            <w:tcW w:w="10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r>
      <w:tr>
        <w:trPr>
          <w:trHeight w:val="115"/>
        </w:trPr>
        <w:tc>
          <w:tcPr>
            <w:tcW w:w="88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Projected benefit obligation</w:t>
            </w:r>
          </w:p>
        </w:tc>
        <w:tc>
          <w:tcPr>
            <w:tcW w:w="6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2.50 %</w:t>
            </w:r>
          </w:p>
        </w:tc>
        <w:tc>
          <w:tcPr>
            <w:tcW w:w="10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3.22 %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4.35 %</w:t>
            </w:r>
          </w:p>
        </w:tc>
      </w:tr>
      <w:tr>
        <w:trPr>
          <w:trHeight w:val="115"/>
        </w:trPr>
        <w:tc>
          <w:tcPr>
            <w:tcW w:w="88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Service cost</w:t>
            </w:r>
          </w:p>
        </w:tc>
        <w:tc>
          <w:tcPr>
            <w:tcW w:w="6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2.68 %</w:t>
            </w:r>
          </w:p>
        </w:tc>
        <w:tc>
          <w:tcPr>
            <w:tcW w:w="10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3.33 %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4.47 %</w:t>
            </w:r>
          </w:p>
        </w:tc>
      </w:tr>
      <w:tr>
        <w:trPr>
          <w:trHeight w:val="115"/>
        </w:trPr>
        <w:tc>
          <w:tcPr>
            <w:tcW w:w="88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Interest cost</w:t>
            </w:r>
          </w:p>
        </w:tc>
        <w:tc>
          <w:tcPr>
            <w:tcW w:w="6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1.76 %</w:t>
            </w:r>
          </w:p>
        </w:tc>
        <w:tc>
          <w:tcPr>
            <w:tcW w:w="10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2.76 %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3.94 %</w:t>
            </w:r>
          </w:p>
        </w:tc>
      </w:tr>
      <w:tr>
        <w:trPr>
          <w:trHeight w:val="115"/>
        </w:trPr>
        <w:tc>
          <w:tcPr>
            <w:tcW w:w="88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Assets:</w:t>
            </w:r>
          </w:p>
        </w:tc>
        <w:tc>
          <w:tcPr>
            <w:tcW w:w="600" w:type="dxa"/>
            <w:vAlign w:val="bottom"/>
            <w:tcBorders>
              <w:bottom w:val="single" w:sz="8" w:color="939598"/>
            </w:tcBorders>
          </w:tcPr>
          <w:p>
            <w:pPr>
              <w:spacing w:after="0"/>
              <w:rPr>
                <w:sz w:val="10"/>
                <w:szCs w:val="10"/>
                <w:color w:val="auto"/>
              </w:rPr>
            </w:pPr>
          </w:p>
        </w:tc>
        <w:tc>
          <w:tcPr>
            <w:tcW w:w="10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r>
      <w:tr>
        <w:trPr>
          <w:trHeight w:val="115"/>
        </w:trPr>
        <w:tc>
          <w:tcPr>
            <w:tcW w:w="88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Expected rate of return</w:t>
            </w:r>
          </w:p>
        </w:tc>
        <w:tc>
          <w:tcPr>
            <w:tcW w:w="6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6.15 %</w:t>
            </w:r>
          </w:p>
        </w:tc>
        <w:tc>
          <w:tcPr>
            <w:tcW w:w="10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6.15 %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6.75 %</w:t>
            </w:r>
          </w:p>
        </w:tc>
      </w:tr>
      <w:tr>
        <w:trPr>
          <w:trHeight w:val="115"/>
        </w:trPr>
        <w:tc>
          <w:tcPr>
            <w:tcW w:w="88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Actual rate of return</w:t>
            </w:r>
          </w:p>
        </w:tc>
        <w:tc>
          <w:tcPr>
            <w:tcW w:w="6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6.84 %</w:t>
            </w:r>
          </w:p>
        </w:tc>
        <w:tc>
          <w:tcPr>
            <w:tcW w:w="10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13.81 %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21.20 %</w:t>
            </w:r>
          </w:p>
        </w:tc>
      </w:tr>
      <w:tr>
        <w:trPr>
          <w:trHeight w:val="115"/>
        </w:trPr>
        <w:tc>
          <w:tcPr>
            <w:tcW w:w="880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Actual 10 year average annual compounded rate of return</w:t>
            </w:r>
          </w:p>
        </w:tc>
        <w:tc>
          <w:tcPr>
            <w:tcW w:w="60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w w:val="97"/>
              </w:rPr>
              <w:t>11.37 %</w:t>
            </w:r>
          </w:p>
        </w:tc>
        <w:tc>
          <w:tcPr>
            <w:tcW w:w="10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10.64 %</w:t>
            </w: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11.10 %</w:t>
            </w:r>
          </w:p>
        </w:tc>
      </w:tr>
    </w:tbl>
    <w:p>
      <w:pPr>
        <w:spacing w:after="0" w:line="136"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Adjustments were expenses of $40 million, $44 million and $123 million for the years ended December 31, 2021, 2020 and 2019, respectively.</w:t>
      </w:r>
    </w:p>
    <w:p>
      <w:pPr>
        <w:spacing w:after="0" w:line="26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45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47" w:name="page48"/>
    <w:bookmarkEnd w:id="47"/>
    <w:p>
      <w:pPr>
        <w:ind w:left="8"/>
        <w:spacing w:after="0"/>
        <w:rPr>
          <w:sz w:val="20"/>
          <w:szCs w:val="20"/>
          <w:color w:val="auto"/>
        </w:rPr>
      </w:pPr>
      <w:r>
        <w:rPr>
          <w:rFonts w:ascii="Arial" w:cs="Arial" w:eastAsia="Arial" w:hAnsi="Arial"/>
          <w:sz w:val="8"/>
          <w:szCs w:val="8"/>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We determine the expected long-term rate of return on plan assets utilizing historical plan asset returns over varying long-term periods combined with our expectations of future market conditions and asset mix considerations (see Note 20 Pension and Other Postretirement Benefits of Notes to Consolidated Financial Statements for details on the actual various asset classes and targeted asset allocation percentages for our pension plans). We plan to use an expected rate of return on plan assets of 6.40% for 2022, which is an increase in the assumption used for 2021.</w:t>
      </w:r>
    </w:p>
    <w:p>
      <w:pPr>
        <w:spacing w:after="0" w:line="67"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used a 2.87% discount rate to determine benefit obligations as of December 31, 2021, reflecting an increase in the market interest rate environment since the prior year-end.</w:t>
      </w:r>
    </w:p>
    <w:p>
      <w:pPr>
        <w:spacing w:after="0" w:line="67"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p>
      <w:pPr>
        <w:spacing w:after="0" w:line="6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100" w:type="dxa"/>
            <w:vAlign w:val="bottom"/>
            <w:vMerge w:val="restart"/>
          </w:tcPr>
          <w:p>
            <w:pPr>
              <w:spacing w:after="0"/>
              <w:rPr>
                <w:sz w:val="20"/>
                <w:szCs w:val="20"/>
                <w:color w:val="auto"/>
              </w:rPr>
            </w:pPr>
            <w:r>
              <w:rPr>
                <w:rFonts w:ascii="Arial" w:cs="Arial" w:eastAsia="Arial" w:hAnsi="Arial"/>
                <w:sz w:val="10"/>
                <w:szCs w:val="10"/>
                <w:b w:val="1"/>
                <w:bCs w:val="1"/>
                <w:color w:val="auto"/>
              </w:rPr>
              <w:t>Change in Assumption</w:t>
            </w:r>
          </w:p>
        </w:tc>
        <w:tc>
          <w:tcPr>
            <w:tcW w:w="4020" w:type="dxa"/>
            <w:vAlign w:val="bottom"/>
          </w:tcPr>
          <w:p>
            <w:pPr>
              <w:jc w:val="center"/>
              <w:ind w:left="1492"/>
              <w:spacing w:after="0"/>
              <w:rPr>
                <w:sz w:val="20"/>
                <w:szCs w:val="20"/>
                <w:color w:val="auto"/>
              </w:rPr>
            </w:pPr>
            <w:r>
              <w:rPr>
                <w:rFonts w:ascii="Arial" w:cs="Arial" w:eastAsia="Arial" w:hAnsi="Arial"/>
                <w:sz w:val="10"/>
                <w:szCs w:val="10"/>
                <w:b w:val="1"/>
                <w:bCs w:val="1"/>
                <w:color w:val="auto"/>
                <w:w w:val="94"/>
              </w:rPr>
              <w:t>Impact on 2022 Pension</w:t>
            </w:r>
          </w:p>
        </w:tc>
        <w:tc>
          <w:tcPr>
            <w:tcW w:w="2180" w:type="dxa"/>
            <w:vAlign w:val="bottom"/>
            <w:vMerge w:val="restart"/>
          </w:tcPr>
          <w:p>
            <w:pPr>
              <w:ind w:left="700"/>
              <w:spacing w:after="0"/>
              <w:rPr>
                <w:sz w:val="20"/>
                <w:szCs w:val="20"/>
                <w:color w:val="auto"/>
              </w:rPr>
            </w:pPr>
            <w:r>
              <w:rPr>
                <w:rFonts w:ascii="Arial" w:cs="Arial" w:eastAsia="Arial" w:hAnsi="Arial"/>
                <w:sz w:val="10"/>
                <w:szCs w:val="10"/>
                <w:b w:val="1"/>
                <w:bCs w:val="1"/>
                <w:color w:val="auto"/>
              </w:rPr>
              <w:t>Impact on PBO</w:t>
            </w:r>
          </w:p>
        </w:tc>
        <w:tc>
          <w:tcPr>
            <w:tcW w:w="0" w:type="dxa"/>
            <w:vAlign w:val="bottom"/>
          </w:tcPr>
          <w:p>
            <w:pPr>
              <w:spacing w:after="0"/>
              <w:rPr>
                <w:sz w:val="1"/>
                <w:szCs w:val="1"/>
                <w:color w:val="auto"/>
              </w:rPr>
            </w:pPr>
          </w:p>
        </w:tc>
      </w:tr>
      <w:tr>
        <w:trPr>
          <w:trHeight w:val="117"/>
        </w:trPr>
        <w:tc>
          <w:tcPr>
            <w:tcW w:w="5100" w:type="dxa"/>
            <w:vAlign w:val="bottom"/>
            <w:tcBorders>
              <w:bottom w:val="single" w:sz="8" w:color="DC202E"/>
            </w:tcBorders>
            <w:vMerge w:val="continue"/>
          </w:tcPr>
          <w:p>
            <w:pPr>
              <w:spacing w:after="0"/>
              <w:rPr>
                <w:sz w:val="10"/>
                <w:szCs w:val="10"/>
                <w:color w:val="auto"/>
              </w:rPr>
            </w:pPr>
          </w:p>
        </w:tc>
        <w:tc>
          <w:tcPr>
            <w:tcW w:w="4020" w:type="dxa"/>
            <w:vAlign w:val="bottom"/>
            <w:tcBorders>
              <w:bottom w:val="single" w:sz="8" w:color="DC202E"/>
            </w:tcBorders>
          </w:tcPr>
          <w:p>
            <w:pPr>
              <w:jc w:val="center"/>
              <w:ind w:left="1492"/>
              <w:spacing w:after="0"/>
              <w:rPr>
                <w:sz w:val="20"/>
                <w:szCs w:val="20"/>
                <w:color w:val="auto"/>
              </w:rPr>
            </w:pPr>
            <w:r>
              <w:rPr>
                <w:rFonts w:ascii="Arial" w:cs="Arial" w:eastAsia="Arial" w:hAnsi="Arial"/>
                <w:sz w:val="10"/>
                <w:szCs w:val="10"/>
                <w:b w:val="1"/>
                <w:bCs w:val="1"/>
                <w:color w:val="auto"/>
                <w:w w:val="94"/>
              </w:rPr>
              <w:t>Ongoing Expense</w:t>
            </w:r>
          </w:p>
        </w:tc>
        <w:tc>
          <w:tcPr>
            <w:tcW w:w="2180" w:type="dxa"/>
            <w:vAlign w:val="bottom"/>
            <w:tcBorders>
              <w:bottom w:val="single" w:sz="8" w:color="DC202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0.25 percentage point decrease in discount rate</w:t>
            </w:r>
          </w:p>
        </w:tc>
        <w:tc>
          <w:tcPr>
            <w:tcW w:w="4020" w:type="dxa"/>
            <w:vAlign w:val="bottom"/>
            <w:tcBorders>
              <w:bottom w:val="single" w:sz="8" w:color="939598"/>
            </w:tcBorders>
          </w:tcPr>
          <w:p>
            <w:pPr>
              <w:jc w:val="center"/>
              <w:ind w:left="1712"/>
              <w:spacing w:after="0"/>
              <w:rPr>
                <w:sz w:val="20"/>
                <w:szCs w:val="20"/>
                <w:color w:val="auto"/>
              </w:rPr>
            </w:pPr>
            <w:r>
              <w:rPr>
                <w:rFonts w:ascii="Arial" w:cs="Arial" w:eastAsia="Arial" w:hAnsi="Arial"/>
                <w:sz w:val="10"/>
                <w:szCs w:val="10"/>
                <w:color w:val="auto"/>
                <w:w w:val="96"/>
              </w:rPr>
              <w:t>Decrease $29 million</w:t>
            </w:r>
          </w:p>
        </w:tc>
        <w:tc>
          <w:tcPr>
            <w:tcW w:w="2180" w:type="dxa"/>
            <w:vAlign w:val="bottom"/>
            <w:tcBorders>
              <w:bottom w:val="single" w:sz="8" w:color="939598"/>
            </w:tcBorders>
          </w:tcPr>
          <w:p>
            <w:pPr>
              <w:jc w:val="center"/>
              <w:ind w:left="72"/>
              <w:spacing w:after="0"/>
              <w:rPr>
                <w:sz w:val="20"/>
                <w:szCs w:val="20"/>
                <w:color w:val="auto"/>
              </w:rPr>
            </w:pPr>
            <w:r>
              <w:rPr>
                <w:rFonts w:ascii="Arial" w:cs="Arial" w:eastAsia="Arial" w:hAnsi="Arial"/>
                <w:sz w:val="10"/>
                <w:szCs w:val="10"/>
                <w:color w:val="auto"/>
                <w:w w:val="95"/>
              </w:rPr>
              <w:t>Increase $500 million</w:t>
            </w:r>
          </w:p>
        </w:tc>
        <w:tc>
          <w:tcPr>
            <w:tcW w:w="0" w:type="dxa"/>
            <w:vAlign w:val="bottom"/>
          </w:tcPr>
          <w:p>
            <w:pPr>
              <w:spacing w:after="0"/>
              <w:rPr>
                <w:sz w:val="1"/>
                <w:szCs w:val="1"/>
                <w:color w:val="auto"/>
              </w:rPr>
            </w:pPr>
          </w:p>
        </w:tc>
      </w:tr>
      <w:tr>
        <w:trPr>
          <w:trHeight w:val="115"/>
        </w:trPr>
        <w:tc>
          <w:tcPr>
            <w:tcW w:w="51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0.25 percentage point increase in discount rate</w:t>
            </w:r>
          </w:p>
        </w:tc>
        <w:tc>
          <w:tcPr>
            <w:tcW w:w="4020" w:type="dxa"/>
            <w:vAlign w:val="bottom"/>
            <w:tcBorders>
              <w:bottom w:val="single" w:sz="8" w:color="939598"/>
            </w:tcBorders>
          </w:tcPr>
          <w:p>
            <w:pPr>
              <w:jc w:val="center"/>
              <w:ind w:left="1712"/>
              <w:spacing w:after="0"/>
              <w:rPr>
                <w:sz w:val="20"/>
                <w:szCs w:val="20"/>
                <w:color w:val="auto"/>
              </w:rPr>
            </w:pPr>
            <w:r>
              <w:rPr>
                <w:rFonts w:ascii="Arial" w:cs="Arial" w:eastAsia="Arial" w:hAnsi="Arial"/>
                <w:sz w:val="10"/>
                <w:szCs w:val="10"/>
                <w:color w:val="auto"/>
                <w:w w:val="96"/>
              </w:rPr>
              <w:t>Increase $27 million</w:t>
            </w:r>
          </w:p>
        </w:tc>
        <w:tc>
          <w:tcPr>
            <w:tcW w:w="2180" w:type="dxa"/>
            <w:vAlign w:val="bottom"/>
            <w:tcBorders>
              <w:bottom w:val="single" w:sz="8" w:color="939598"/>
            </w:tcBorders>
          </w:tcPr>
          <w:p>
            <w:pPr>
              <w:jc w:val="center"/>
              <w:ind w:left="72"/>
              <w:spacing w:after="0"/>
              <w:rPr>
                <w:sz w:val="20"/>
                <w:szCs w:val="20"/>
                <w:color w:val="auto"/>
              </w:rPr>
            </w:pPr>
            <w:r>
              <w:rPr>
                <w:rFonts w:ascii="Arial" w:cs="Arial" w:eastAsia="Arial" w:hAnsi="Arial"/>
                <w:sz w:val="10"/>
                <w:szCs w:val="10"/>
                <w:color w:val="auto"/>
                <w:w w:val="94"/>
              </w:rPr>
              <w:t>Decrease $475 million</w:t>
            </w:r>
          </w:p>
        </w:tc>
        <w:tc>
          <w:tcPr>
            <w:tcW w:w="0" w:type="dxa"/>
            <w:vAlign w:val="bottom"/>
          </w:tcPr>
          <w:p>
            <w:pPr>
              <w:spacing w:after="0"/>
              <w:rPr>
                <w:sz w:val="1"/>
                <w:szCs w:val="1"/>
                <w:color w:val="auto"/>
              </w:rPr>
            </w:pPr>
          </w:p>
        </w:tc>
      </w:tr>
      <w:tr>
        <w:trPr>
          <w:trHeight w:val="115"/>
        </w:trPr>
        <w:tc>
          <w:tcPr>
            <w:tcW w:w="51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0.25 percentage point decrease in expected rate of return on assets</w:t>
            </w:r>
          </w:p>
        </w:tc>
        <w:tc>
          <w:tcPr>
            <w:tcW w:w="4020" w:type="dxa"/>
            <w:vAlign w:val="bottom"/>
            <w:tcBorders>
              <w:bottom w:val="single" w:sz="8" w:color="939598"/>
            </w:tcBorders>
          </w:tcPr>
          <w:p>
            <w:pPr>
              <w:jc w:val="center"/>
              <w:ind w:left="1712"/>
              <w:spacing w:after="0"/>
              <w:rPr>
                <w:sz w:val="20"/>
                <w:szCs w:val="20"/>
                <w:color w:val="auto"/>
              </w:rPr>
            </w:pPr>
            <w:r>
              <w:rPr>
                <w:rFonts w:ascii="Arial" w:cs="Arial" w:eastAsia="Arial" w:hAnsi="Arial"/>
                <w:sz w:val="10"/>
                <w:szCs w:val="10"/>
                <w:color w:val="auto"/>
                <w:w w:val="96"/>
              </w:rPr>
              <w:t>Increase $50 million</w:t>
            </w:r>
          </w:p>
        </w:tc>
        <w:tc>
          <w:tcPr>
            <w:tcW w:w="2180" w:type="dxa"/>
            <w:vAlign w:val="bottom"/>
            <w:tcBorders>
              <w:bottom w:val="single" w:sz="8" w:color="939598"/>
            </w:tcBorders>
          </w:tcPr>
          <w:p>
            <w:pPr>
              <w:jc w:val="center"/>
              <w:ind w:left="7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15"/>
        </w:trPr>
        <w:tc>
          <w:tcPr>
            <w:tcW w:w="51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0.25 percentage point increase in expected rate of return on assets</w:t>
            </w:r>
          </w:p>
        </w:tc>
        <w:tc>
          <w:tcPr>
            <w:tcW w:w="4020" w:type="dxa"/>
            <w:vAlign w:val="bottom"/>
            <w:tcBorders>
              <w:bottom w:val="single" w:sz="8" w:color="DC202E"/>
            </w:tcBorders>
          </w:tcPr>
          <w:p>
            <w:pPr>
              <w:jc w:val="center"/>
              <w:ind w:left="1712"/>
              <w:spacing w:after="0"/>
              <w:rPr>
                <w:sz w:val="20"/>
                <w:szCs w:val="20"/>
                <w:color w:val="auto"/>
              </w:rPr>
            </w:pPr>
            <w:r>
              <w:rPr>
                <w:rFonts w:ascii="Arial" w:cs="Arial" w:eastAsia="Arial" w:hAnsi="Arial"/>
                <w:sz w:val="10"/>
                <w:szCs w:val="10"/>
                <w:color w:val="auto"/>
                <w:w w:val="96"/>
              </w:rPr>
              <w:t>Decrease $50 million</w:t>
            </w:r>
          </w:p>
        </w:tc>
        <w:tc>
          <w:tcPr>
            <w:tcW w:w="2180" w:type="dxa"/>
            <w:vAlign w:val="bottom"/>
            <w:tcBorders>
              <w:bottom w:val="single" w:sz="8" w:color="DC202E"/>
            </w:tcBorders>
          </w:tcPr>
          <w:p>
            <w:pPr>
              <w:jc w:val="center"/>
              <w:ind w:left="7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8"/>
        <w:spacing w:after="0" w:line="273" w:lineRule="auto"/>
        <w:rPr>
          <w:sz w:val="20"/>
          <w:szCs w:val="20"/>
          <w:color w:val="auto"/>
        </w:rPr>
      </w:pPr>
      <w:r>
        <w:rPr>
          <w:rFonts w:ascii="Arial" w:cs="Arial" w:eastAsia="Arial" w:hAnsi="Arial"/>
          <w:sz w:val="10"/>
          <w:szCs w:val="10"/>
          <w:color w:val="auto"/>
        </w:rPr>
        <w:t>Pension ongoing income for our world-wide pension plans is expected to be approximately $1,008 million in 2022 compared with Pension ongoing income of $1,083 million in 2021. The expected decrease in pension income is primarily due to lower expected return on plan assets caused by a change in allocation of UK plan assets and higher interest costs caused by increased discount rates in our U.S. and UK plans. Also, if required, a MTM Adjustment will be recorded in the fourth quarter of 2022 in accordance with our pension accounting method as previously described. It is difficult to reliably forecast or predict whether there will be a MTM Adjustment in 2022,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41" w:lineRule="exact"/>
        <w:rPr>
          <w:sz w:val="20"/>
          <w:szCs w:val="20"/>
          <w:color w:val="auto"/>
        </w:rPr>
      </w:pPr>
    </w:p>
    <w:p>
      <w:pPr>
        <w:jc w:val="both"/>
        <w:ind w:left="8"/>
        <w:spacing w:after="0" w:line="246" w:lineRule="auto"/>
        <w:rPr>
          <w:sz w:val="20"/>
          <w:szCs w:val="20"/>
          <w:color w:val="auto"/>
        </w:rPr>
      </w:pPr>
      <w:r>
        <w:rPr>
          <w:rFonts w:ascii="Arial" w:cs="Arial" w:eastAsia="Arial" w:hAnsi="Arial"/>
          <w:sz w:val="11"/>
          <w:szCs w:val="11"/>
          <w:b w:val="1"/>
          <w:bCs w:val="1"/>
          <w:i w:val="1"/>
          <w:iCs w:val="1"/>
          <w:color w:val="auto"/>
        </w:rPr>
        <w:t>Asbestos Related Liabilities and Insurance Recoveries</w:t>
      </w:r>
      <w:r>
        <w:rPr>
          <w:rFonts w:ascii="Arial" w:cs="Arial" w:eastAsia="Arial" w:hAnsi="Arial"/>
          <w:sz w:val="11"/>
          <w:szCs w:val="11"/>
          <w:color w:val="auto"/>
        </w:rPr>
        <w:t>—In connection with the recognition of liabilities for asbestos related matters, we record asbestos related insurance recoveries that are deemed probable. In assessing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66" w:lineRule="exact"/>
        <w:rPr>
          <w:sz w:val="20"/>
          <w:szCs w:val="20"/>
          <w:color w:val="auto"/>
        </w:rPr>
      </w:pPr>
    </w:p>
    <w:p>
      <w:pPr>
        <w:jc w:val="both"/>
        <w:ind w:left="8"/>
        <w:spacing w:after="0" w:line="239" w:lineRule="auto"/>
        <w:rPr>
          <w:sz w:val="20"/>
          <w:szCs w:val="20"/>
          <w:color w:val="auto"/>
        </w:rPr>
      </w:pPr>
      <w:r>
        <w:rPr>
          <w:rFonts w:ascii="Arial" w:cs="Arial" w:eastAsia="Arial" w:hAnsi="Arial"/>
          <w:sz w:val="11"/>
          <w:szCs w:val="11"/>
          <w:color w:val="auto"/>
        </w:rPr>
        <w:t>Our involvement in asbestos related personal injury actions relates to two predecessor companies. Regarding North American Refractories Company (NARCO) asbestos related claims, we estimate our NARCO asbestos liability for the resolution of asserted NARCO-related asbestos claims which qualify for payment under the NARCO Trust Distribution Procedures (Annual Contribution Claims) and for amounts owed pursuant to settlement agreements reached during the pendency of the NARCO bankruptcy proceedings that provide for the right to submit claims to the NARCO Trust subject to qualification under the terms of the settlement agreements and Trust Distribution Procedures (Pre-Established Unliquidated Claims) using average payment values for the relevant historical period. We estimate our NARCO asbestos liability for unasserted claims based on historic and anticipated claims filing experience and payment rates, disease classifications and type of claim, and average payment values by the NARCO Trust for the relevant historical period. Our estimate also includes all years of epidemiological disease projection through 2059. Regarding Bendix Friction Materials (Bendix) asbestos related claims, we accrued for the estimated value of pending claims using average resolution values for the previous five years. We also accrued for the estimated value of future claims related to Bendix over the full term of epidemiological disease projection through 2059 based on historic and anticipated claims filing experience and dismissal rates, disease classifications, and average resolution values in the tort system for the previous five years. We update our assumptions on average payment values and average resolution values in the fourth quarter of each year.</w:t>
      </w:r>
    </w:p>
    <w:p>
      <w:pPr>
        <w:spacing w:after="0" w:line="72"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See Note 19 Commitments and Contingencies of Notes to Consolidated Financial Statements for a discussion of management’s judgments applied in the recognition and measurement of our asbestos related liabilities and related insurance recoveries.</w:t>
      </w:r>
    </w:p>
    <w:p>
      <w:pPr>
        <w:spacing w:after="0" w:line="279" w:lineRule="exact"/>
        <w:rPr>
          <w:sz w:val="20"/>
          <w:szCs w:val="20"/>
          <w:color w:val="auto"/>
        </w:rPr>
      </w:pPr>
    </w:p>
    <w:p>
      <w:pPr>
        <w:ind w:left="468" w:hanging="468"/>
        <w:spacing w:after="0"/>
        <w:tabs>
          <w:tab w:leader="none" w:pos="468" w:val="left"/>
        </w:tabs>
        <w:numPr>
          <w:ilvl w:val="0"/>
          <w:numId w:val="7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8"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8"/>
          <w:szCs w:val="8"/>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11"/>
          <w:szCs w:val="11"/>
          <w:b w:val="1"/>
          <w:bCs w:val="1"/>
          <w:i w:val="1"/>
          <w:iCs w:val="1"/>
          <w:color w:val="auto"/>
        </w:rPr>
        <w:t>Contingent Liabilities</w:t>
      </w:r>
      <w:r>
        <w:rPr>
          <w:rFonts w:ascii="Arial" w:cs="Arial" w:eastAsia="Arial" w:hAnsi="Arial"/>
          <w:sz w:val="11"/>
          <w:szCs w:val="11"/>
          <w:color w:val="auto"/>
        </w:rPr>
        <w:t>—We are subject to a number of lawsuits, investigations and claims (some of which involve substantial dollar amounts) that arise out of the conduct of our global business operations or those of previously owned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thorough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Commitments and Contingencies of Notes to Consolidated Financial Statements for a discussion of management’s judgment applied in the recognition and measurement of our environmental and asbestos liabilities which represent our most significant contingencies.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47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49" w:name="page50"/>
    <w:bookmarkEnd w:id="49"/>
    <w:p>
      <w:pPr>
        <w:ind w:left="8"/>
        <w:spacing w:after="0"/>
        <w:rPr>
          <w:sz w:val="20"/>
          <w:szCs w:val="20"/>
          <w:color w:val="auto"/>
        </w:rPr>
      </w:pPr>
      <w:r>
        <w:rPr>
          <w:rFonts w:ascii="Arial" w:cs="Arial" w:eastAsia="Arial" w:hAnsi="Arial"/>
          <w:sz w:val="24"/>
          <w:szCs w:val="24"/>
          <w:b w:val="1"/>
          <w:bCs w:val="1"/>
          <w:color w:val="auto"/>
        </w:rPr>
        <w:t>OTHER MATTERS</w:t>
      </w:r>
    </w:p>
    <w:p>
      <w:pPr>
        <w:spacing w:after="0" w:line="274" w:lineRule="exact"/>
        <w:rPr>
          <w:sz w:val="20"/>
          <w:szCs w:val="20"/>
          <w:color w:val="auto"/>
        </w:rPr>
      </w:pPr>
    </w:p>
    <w:p>
      <w:pPr>
        <w:ind w:left="8"/>
        <w:spacing w:after="0"/>
        <w:rPr>
          <w:sz w:val="20"/>
          <w:szCs w:val="20"/>
          <w:color w:val="auto"/>
        </w:rPr>
      </w:pPr>
      <w:r>
        <w:rPr>
          <w:rFonts w:ascii="Arial" w:cs="Arial" w:eastAsia="Arial" w:hAnsi="Arial"/>
          <w:sz w:val="19"/>
          <w:szCs w:val="19"/>
          <w:color w:val="D7282F"/>
        </w:rPr>
        <w:t>LITIGATION</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0"/>
          <w:szCs w:val="10"/>
          <w:color w:val="auto"/>
        </w:rPr>
        <w:t>See Note 19 Commitments and Contingencies of Notes to Consolidated Financial Statements for a discussion of environmental, asbestos and other litigation matters.</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RECENT ACCOUNTING PRONOUNCEMENTS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 Summary of Significant Accounting Policies of Notes to Consolidated Financial Statements for a discussion of recent accounting pronouncements.</w:t>
      </w:r>
    </w:p>
    <w:p>
      <w:pPr>
        <w:spacing w:after="0" w:line="284" w:lineRule="exact"/>
        <w:rPr>
          <w:sz w:val="20"/>
          <w:szCs w:val="20"/>
          <w:color w:val="auto"/>
        </w:rPr>
      </w:pPr>
    </w:p>
    <w:p>
      <w:pPr>
        <w:ind w:left="468" w:hanging="468"/>
        <w:spacing w:after="0"/>
        <w:tabs>
          <w:tab w:leader="none" w:pos="468" w:val="left"/>
        </w:tabs>
        <w:numPr>
          <w:ilvl w:val="0"/>
          <w:numId w:val="7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909" w:right="1440" w:bottom="1440" w:gutter="0" w:footer="0" w:header="0"/>
        </w:sectPr>
      </w:pPr>
    </w:p>
    <w:bookmarkStart w:id="50" w:name="page51"/>
    <w:bookmarkEnd w:id="50"/>
    <w:p>
      <w:pPr>
        <w:ind w:left="8"/>
        <w:spacing w:after="0"/>
        <w:rPr>
          <w:sz w:val="20"/>
          <w:szCs w:val="20"/>
          <w:color w:val="auto"/>
        </w:rPr>
      </w:pPr>
      <w:r>
        <w:rPr>
          <w:rFonts w:ascii="Arial" w:cs="Arial" w:eastAsia="Arial" w:hAnsi="Arial"/>
          <w:sz w:val="24"/>
          <w:szCs w:val="24"/>
          <w:b w:val="1"/>
          <w:bCs w:val="1"/>
          <w:color w:val="auto"/>
        </w:rPr>
        <w:t>INFORMATION ABOUT OUR EXECUTIVE OFFICERS</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executive officers of Honeywell, listed as follows, are elected annually by the Board of Directors. There are no family relationships among them.</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920" w:type="dxa"/>
            <w:vAlign w:val="bottom"/>
          </w:tcPr>
          <w:p>
            <w:pPr>
              <w:spacing w:after="0"/>
              <w:rPr>
                <w:sz w:val="20"/>
                <w:szCs w:val="20"/>
                <w:color w:val="auto"/>
              </w:rPr>
            </w:pPr>
            <w:r>
              <w:rPr>
                <w:rFonts w:ascii="Arial" w:cs="Arial" w:eastAsia="Arial" w:hAnsi="Arial"/>
                <w:sz w:val="10"/>
                <w:szCs w:val="10"/>
                <w:b w:val="1"/>
                <w:bCs w:val="1"/>
                <w:color w:val="auto"/>
              </w:rPr>
              <w:t>Name, Age, Year First</w:t>
            </w:r>
          </w:p>
        </w:tc>
        <w:tc>
          <w:tcPr>
            <w:tcW w:w="838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Business Experience</w:t>
            </w:r>
          </w:p>
        </w:tc>
        <w:tc>
          <w:tcPr>
            <w:tcW w:w="0" w:type="dxa"/>
            <w:vAlign w:val="bottom"/>
          </w:tcPr>
          <w:p>
            <w:pPr>
              <w:spacing w:after="0"/>
              <w:rPr>
                <w:sz w:val="1"/>
                <w:szCs w:val="1"/>
                <w:color w:val="auto"/>
              </w:rPr>
            </w:pPr>
          </w:p>
        </w:tc>
      </w:tr>
      <w:tr>
        <w:trPr>
          <w:trHeight w:val="117"/>
        </w:trPr>
        <w:tc>
          <w:tcPr>
            <w:tcW w:w="29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Elected an Executive Officer</w:t>
            </w:r>
          </w:p>
        </w:tc>
        <w:tc>
          <w:tcPr>
            <w:tcW w:w="8380" w:type="dxa"/>
            <w:vAlign w:val="bottom"/>
            <w:tcBorders>
              <w:bottom w:val="single" w:sz="8" w:color="DC202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Darius Adamczyk</w:t>
            </w:r>
            <w:r>
              <w:rPr>
                <w:rFonts w:ascii="Arial" w:cs="Arial" w:eastAsia="Arial" w:hAnsi="Arial"/>
                <w:sz w:val="10"/>
                <w:szCs w:val="10"/>
                <w:color w:val="auto"/>
              </w:rPr>
              <w:t>, 56</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Chairman of the Board and Chief Executive Officer since April 2018. President and Chief Executive Officer from April 2017 to April 2018. Chief Operating Officer from April 2016 to March</w:t>
            </w:r>
          </w:p>
        </w:tc>
        <w:tc>
          <w:tcPr>
            <w:tcW w:w="0" w:type="dxa"/>
            <w:vAlign w:val="bottom"/>
          </w:tcPr>
          <w:p>
            <w:pPr>
              <w:spacing w:after="0"/>
              <w:rPr>
                <w:sz w:val="1"/>
                <w:szCs w:val="1"/>
                <w:color w:val="auto"/>
              </w:rPr>
            </w:pPr>
          </w:p>
        </w:tc>
      </w:tr>
      <w:tr>
        <w:trPr>
          <w:trHeight w:val="129"/>
        </w:trPr>
        <w:tc>
          <w:tcPr>
            <w:tcW w:w="2920" w:type="dxa"/>
            <w:vAlign w:val="bottom"/>
          </w:tcPr>
          <w:p>
            <w:pPr>
              <w:ind w:left="1420"/>
              <w:spacing w:after="0" w:line="129" w:lineRule="exact"/>
              <w:rPr>
                <w:sz w:val="20"/>
                <w:szCs w:val="20"/>
                <w:color w:val="auto"/>
              </w:rPr>
            </w:pPr>
            <w:r>
              <w:rPr>
                <w:rFonts w:ascii="Arial" w:cs="Arial" w:eastAsia="Arial" w:hAnsi="Arial"/>
                <w:sz w:val="10"/>
                <w:szCs w:val="10"/>
                <w:color w:val="auto"/>
              </w:rPr>
              <w:t>2017</w:t>
            </w:r>
            <w:r>
              <w:rPr>
                <w:rFonts w:ascii="Arial" w:cs="Arial" w:eastAsia="Arial" w:hAnsi="Arial"/>
                <w:sz w:val="12"/>
                <w:szCs w:val="12"/>
                <w:color w:val="auto"/>
                <w:vertAlign w:val="superscript"/>
              </w:rPr>
              <w:t>(a)</w:t>
            </w:r>
          </w:p>
        </w:tc>
        <w:tc>
          <w:tcPr>
            <w:tcW w:w="8380" w:type="dxa"/>
            <w:vAlign w:val="bottom"/>
          </w:tcPr>
          <w:p>
            <w:pPr>
              <w:ind w:left="460"/>
              <w:spacing w:after="0"/>
              <w:rPr>
                <w:sz w:val="20"/>
                <w:szCs w:val="20"/>
                <w:color w:val="auto"/>
              </w:rPr>
            </w:pPr>
            <w:r>
              <w:rPr>
                <w:rFonts w:ascii="Arial" w:cs="Arial" w:eastAsia="Arial" w:hAnsi="Arial"/>
                <w:sz w:val="10"/>
                <w:szCs w:val="10"/>
                <w:color w:val="auto"/>
                <w:w w:val="98"/>
              </w:rPr>
              <w:t>2017. President and Chief Executive Officer Performance Materials and Technologies from April 2014 to April 2016. President of Honeywell Process Solutions from April 2012 to April</w:t>
            </w:r>
          </w:p>
        </w:tc>
        <w:tc>
          <w:tcPr>
            <w:tcW w:w="0" w:type="dxa"/>
            <w:vAlign w:val="bottom"/>
          </w:tcPr>
          <w:p>
            <w:pPr>
              <w:spacing w:after="0"/>
              <w:rPr>
                <w:sz w:val="1"/>
                <w:szCs w:val="1"/>
                <w:color w:val="auto"/>
              </w:rPr>
            </w:pPr>
          </w:p>
        </w:tc>
      </w:tr>
      <w:tr>
        <w:trPr>
          <w:trHeight w:val="115"/>
        </w:trPr>
        <w:tc>
          <w:tcPr>
            <w:tcW w:w="2920" w:type="dxa"/>
            <w:vAlign w:val="bottom"/>
          </w:tcPr>
          <w:p>
            <w:pPr>
              <w:spacing w:after="0"/>
              <w:rPr>
                <w:sz w:val="9"/>
                <w:szCs w:val="9"/>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2014.</w:t>
            </w:r>
          </w:p>
        </w:tc>
        <w:tc>
          <w:tcPr>
            <w:tcW w:w="0" w:type="dxa"/>
            <w:vAlign w:val="bottom"/>
          </w:tcPr>
          <w:p>
            <w:pPr>
              <w:spacing w:after="0"/>
              <w:rPr>
                <w:sz w:val="1"/>
                <w:szCs w:val="1"/>
                <w:color w:val="auto"/>
              </w:rPr>
            </w:pPr>
          </w:p>
        </w:tc>
      </w:tr>
      <w:tr>
        <w:trPr>
          <w:trHeight w:val="341"/>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Que Thanh Dallara</w:t>
            </w:r>
            <w:r>
              <w:rPr>
                <w:rFonts w:ascii="Arial" w:cs="Arial" w:eastAsia="Arial" w:hAnsi="Arial"/>
                <w:sz w:val="10"/>
                <w:szCs w:val="10"/>
                <w:color w:val="auto"/>
              </w:rPr>
              <w:t>, 48</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President and Chief Executive Officer, Connected Enterprise since October 2018. Vice President and Chief Commercial Officer from January 2017 to October 2018. From 2007 to 2016,</w:t>
            </w:r>
          </w:p>
        </w:tc>
        <w:tc>
          <w:tcPr>
            <w:tcW w:w="0" w:type="dxa"/>
            <w:vAlign w:val="bottom"/>
          </w:tcPr>
          <w:p>
            <w:pPr>
              <w:spacing w:after="0"/>
              <w:rPr>
                <w:sz w:val="1"/>
                <w:szCs w:val="1"/>
                <w:color w:val="auto"/>
              </w:rPr>
            </w:pPr>
          </w:p>
        </w:tc>
      </w:tr>
      <w:tr>
        <w:trPr>
          <w:trHeight w:val="136"/>
        </w:trPr>
        <w:tc>
          <w:tcPr>
            <w:tcW w:w="2920" w:type="dxa"/>
            <w:vAlign w:val="bottom"/>
          </w:tcPr>
          <w:p>
            <w:pPr>
              <w:ind w:left="1420"/>
              <w:spacing w:after="0"/>
              <w:rPr>
                <w:sz w:val="20"/>
                <w:szCs w:val="20"/>
                <w:color w:val="auto"/>
              </w:rPr>
            </w:pPr>
            <w:r>
              <w:rPr>
                <w:rFonts w:ascii="Arial" w:cs="Arial" w:eastAsia="Arial" w:hAnsi="Arial"/>
                <w:sz w:val="10"/>
                <w:szCs w:val="10"/>
                <w:color w:val="auto"/>
              </w:rPr>
              <w:t>2018</w:t>
            </w:r>
          </w:p>
        </w:tc>
        <w:tc>
          <w:tcPr>
            <w:tcW w:w="8380" w:type="dxa"/>
            <w:vAlign w:val="bottom"/>
          </w:tcPr>
          <w:p>
            <w:pPr>
              <w:ind w:left="460"/>
              <w:spacing w:after="0"/>
              <w:rPr>
                <w:sz w:val="20"/>
                <w:szCs w:val="20"/>
                <w:color w:val="auto"/>
              </w:rPr>
            </w:pPr>
            <w:r>
              <w:rPr>
                <w:rFonts w:ascii="Arial" w:cs="Arial" w:eastAsia="Arial" w:hAnsi="Arial"/>
                <w:sz w:val="10"/>
                <w:szCs w:val="10"/>
                <w:color w:val="auto"/>
              </w:rPr>
              <w:t>Ms. Dallara served in multiple leadership positions at TE Connectivity Ltd., most recently as Senior Vice President, Corporate Strategy and Analytics.</w:t>
            </w:r>
          </w:p>
        </w:tc>
        <w:tc>
          <w:tcPr>
            <w:tcW w:w="0" w:type="dxa"/>
            <w:vAlign w:val="bottom"/>
          </w:tcPr>
          <w:p>
            <w:pPr>
              <w:spacing w:after="0"/>
              <w:rPr>
                <w:sz w:val="1"/>
                <w:szCs w:val="1"/>
                <w:color w:val="auto"/>
              </w:rPr>
            </w:pPr>
          </w:p>
        </w:tc>
      </w:tr>
      <w:tr>
        <w:trPr>
          <w:trHeight w:val="449"/>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Vimal Kapur</w:t>
            </w:r>
            <w:r>
              <w:rPr>
                <w:rFonts w:ascii="Arial" w:cs="Arial" w:eastAsia="Arial" w:hAnsi="Arial"/>
                <w:sz w:val="10"/>
                <w:szCs w:val="10"/>
                <w:color w:val="auto"/>
              </w:rPr>
              <w:t>, 56</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President and Chief Executive Officer, Performance Materials and Technologies since July 2021. President and Chief Executive Officer, Honeywell Building Technologies from June 2018</w:t>
            </w:r>
          </w:p>
        </w:tc>
        <w:tc>
          <w:tcPr>
            <w:tcW w:w="0" w:type="dxa"/>
            <w:vAlign w:val="bottom"/>
          </w:tcPr>
          <w:p>
            <w:pPr>
              <w:spacing w:after="0"/>
              <w:rPr>
                <w:sz w:val="1"/>
                <w:szCs w:val="1"/>
                <w:color w:val="auto"/>
              </w:rPr>
            </w:pPr>
          </w:p>
        </w:tc>
      </w:tr>
      <w:tr>
        <w:trPr>
          <w:trHeight w:val="136"/>
        </w:trPr>
        <w:tc>
          <w:tcPr>
            <w:tcW w:w="2920" w:type="dxa"/>
            <w:vAlign w:val="bottom"/>
          </w:tcPr>
          <w:p>
            <w:pPr>
              <w:ind w:left="1420"/>
              <w:spacing w:after="0"/>
              <w:rPr>
                <w:sz w:val="20"/>
                <w:szCs w:val="20"/>
                <w:color w:val="auto"/>
              </w:rPr>
            </w:pPr>
            <w:r>
              <w:rPr>
                <w:rFonts w:ascii="Arial" w:cs="Arial" w:eastAsia="Arial" w:hAnsi="Arial"/>
                <w:sz w:val="10"/>
                <w:szCs w:val="10"/>
                <w:color w:val="auto"/>
              </w:rPr>
              <w:t>2018</w:t>
            </w:r>
          </w:p>
        </w:tc>
        <w:tc>
          <w:tcPr>
            <w:tcW w:w="8380" w:type="dxa"/>
            <w:vAlign w:val="bottom"/>
          </w:tcPr>
          <w:p>
            <w:pPr>
              <w:ind w:left="460"/>
              <w:spacing w:after="0"/>
              <w:rPr>
                <w:sz w:val="20"/>
                <w:szCs w:val="20"/>
                <w:color w:val="auto"/>
              </w:rPr>
            </w:pPr>
            <w:r>
              <w:rPr>
                <w:rFonts w:ascii="Arial" w:cs="Arial" w:eastAsia="Arial" w:hAnsi="Arial"/>
                <w:sz w:val="10"/>
                <w:szCs w:val="10"/>
                <w:color w:val="auto"/>
              </w:rPr>
              <w:t>to June 2021. President of Honeywell Process Solutions from 2014 to May 2018.</w:t>
            </w:r>
          </w:p>
        </w:tc>
        <w:tc>
          <w:tcPr>
            <w:tcW w:w="0" w:type="dxa"/>
            <w:vAlign w:val="bottom"/>
          </w:tcPr>
          <w:p>
            <w:pPr>
              <w:spacing w:after="0"/>
              <w:rPr>
                <w:sz w:val="1"/>
                <w:szCs w:val="1"/>
                <w:color w:val="auto"/>
              </w:rPr>
            </w:pPr>
          </w:p>
        </w:tc>
      </w:tr>
      <w:tr>
        <w:trPr>
          <w:trHeight w:val="449"/>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George Koutsaftes</w:t>
            </w:r>
            <w:r>
              <w:rPr>
                <w:rFonts w:ascii="Arial" w:cs="Arial" w:eastAsia="Arial" w:hAnsi="Arial"/>
                <w:sz w:val="10"/>
                <w:szCs w:val="10"/>
                <w:color w:val="auto"/>
              </w:rPr>
              <w:t>, 52</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8"/>
              </w:rPr>
              <w:t>Chief Operating Officer, Safety and Productivity Solutions since January 2022. President of the Advanced Materials business in Honeywell’s Performance Materials and Technologies</w:t>
            </w:r>
          </w:p>
        </w:tc>
        <w:tc>
          <w:tcPr>
            <w:tcW w:w="0" w:type="dxa"/>
            <w:vAlign w:val="bottom"/>
          </w:tcPr>
          <w:p>
            <w:pPr>
              <w:spacing w:after="0"/>
              <w:rPr>
                <w:sz w:val="1"/>
                <w:szCs w:val="1"/>
                <w:color w:val="auto"/>
              </w:rPr>
            </w:pPr>
          </w:p>
        </w:tc>
      </w:tr>
      <w:tr>
        <w:trPr>
          <w:trHeight w:val="159"/>
        </w:trPr>
        <w:tc>
          <w:tcPr>
            <w:tcW w:w="2920" w:type="dxa"/>
            <w:vAlign w:val="bottom"/>
          </w:tcPr>
          <w:p>
            <w:pPr>
              <w:ind w:left="1420"/>
              <w:spacing w:after="0"/>
              <w:rPr>
                <w:sz w:val="20"/>
                <w:szCs w:val="20"/>
                <w:color w:val="auto"/>
              </w:rPr>
            </w:pPr>
            <w:r>
              <w:rPr>
                <w:rFonts w:ascii="Arial" w:cs="Arial" w:eastAsia="Arial" w:hAnsi="Arial"/>
                <w:sz w:val="10"/>
                <w:szCs w:val="10"/>
                <w:color w:val="auto"/>
              </w:rPr>
              <w:t>April 2022</w:t>
            </w:r>
            <w:r>
              <w:rPr>
                <w:rFonts w:ascii="Arial" w:cs="Arial" w:eastAsia="Arial" w:hAnsi="Arial"/>
                <w:sz w:val="12"/>
                <w:szCs w:val="12"/>
                <w:color w:val="auto"/>
                <w:vertAlign w:val="superscript"/>
              </w:rPr>
              <w:t>(b)</w:t>
            </w:r>
          </w:p>
        </w:tc>
        <w:tc>
          <w:tcPr>
            <w:tcW w:w="8380" w:type="dxa"/>
            <w:vAlign w:val="bottom"/>
          </w:tcPr>
          <w:p>
            <w:pPr>
              <w:ind w:left="460"/>
              <w:spacing w:after="0"/>
              <w:rPr>
                <w:sz w:val="20"/>
                <w:szCs w:val="20"/>
                <w:color w:val="auto"/>
              </w:rPr>
            </w:pPr>
            <w:r>
              <w:rPr>
                <w:rFonts w:ascii="Arial" w:cs="Arial" w:eastAsia="Arial" w:hAnsi="Arial"/>
                <w:sz w:val="10"/>
                <w:szCs w:val="10"/>
                <w:color w:val="auto"/>
              </w:rPr>
              <w:t>segment from November 2017 to January 2022 and interim global leader of Business Development and Mergers and Acquisitions from May 2019 to December 2019.</w:t>
            </w:r>
          </w:p>
        </w:tc>
        <w:tc>
          <w:tcPr>
            <w:tcW w:w="0" w:type="dxa"/>
            <w:vAlign w:val="bottom"/>
          </w:tcPr>
          <w:p>
            <w:pPr>
              <w:spacing w:after="0"/>
              <w:rPr>
                <w:sz w:val="1"/>
                <w:szCs w:val="1"/>
                <w:color w:val="auto"/>
              </w:rPr>
            </w:pPr>
          </w:p>
        </w:tc>
      </w:tr>
      <w:tr>
        <w:trPr>
          <w:trHeight w:val="282"/>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Gregory P. Lewis</w:t>
            </w:r>
            <w:r>
              <w:rPr>
                <w:rFonts w:ascii="Arial" w:cs="Arial" w:eastAsia="Arial" w:hAnsi="Arial"/>
                <w:sz w:val="10"/>
                <w:szCs w:val="10"/>
                <w:color w:val="auto"/>
              </w:rPr>
              <w:t>, 54</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Senior Vice President and Chief Financial Officer since August 2018. Vice President of Enterprise Information Management from October 2016 to April 2018, prior to being named Vice</w:t>
            </w:r>
          </w:p>
        </w:tc>
        <w:tc>
          <w:tcPr>
            <w:tcW w:w="0" w:type="dxa"/>
            <w:vAlign w:val="bottom"/>
          </w:tcPr>
          <w:p>
            <w:pPr>
              <w:spacing w:after="0"/>
              <w:rPr>
                <w:sz w:val="1"/>
                <w:szCs w:val="1"/>
                <w:color w:val="auto"/>
              </w:rPr>
            </w:pPr>
          </w:p>
        </w:tc>
      </w:tr>
      <w:tr>
        <w:trPr>
          <w:trHeight w:val="136"/>
        </w:trPr>
        <w:tc>
          <w:tcPr>
            <w:tcW w:w="2920" w:type="dxa"/>
            <w:vAlign w:val="bottom"/>
          </w:tcPr>
          <w:p>
            <w:pPr>
              <w:ind w:left="1420"/>
              <w:spacing w:after="0"/>
              <w:rPr>
                <w:sz w:val="20"/>
                <w:szCs w:val="20"/>
                <w:color w:val="auto"/>
              </w:rPr>
            </w:pPr>
            <w:r>
              <w:rPr>
                <w:rFonts w:ascii="Arial" w:cs="Arial" w:eastAsia="Arial" w:hAnsi="Arial"/>
                <w:sz w:val="10"/>
                <w:szCs w:val="10"/>
                <w:color w:val="auto"/>
              </w:rPr>
              <w:t>2018</w:t>
            </w:r>
          </w:p>
        </w:tc>
        <w:tc>
          <w:tcPr>
            <w:tcW w:w="8380" w:type="dxa"/>
            <w:vAlign w:val="bottom"/>
          </w:tcPr>
          <w:p>
            <w:pPr>
              <w:ind w:left="460"/>
              <w:spacing w:after="0"/>
              <w:rPr>
                <w:sz w:val="20"/>
                <w:szCs w:val="20"/>
                <w:color w:val="auto"/>
              </w:rPr>
            </w:pPr>
            <w:r>
              <w:rPr>
                <w:rFonts w:ascii="Arial" w:cs="Arial" w:eastAsia="Arial" w:hAnsi="Arial"/>
                <w:sz w:val="10"/>
                <w:szCs w:val="10"/>
                <w:color w:val="auto"/>
              </w:rPr>
              <w:t>President, Corporate Finance in May 2018. Chief Financial Officer of Automation and Control Solutions from April 2013 to September 2016.</w:t>
            </w:r>
          </w:p>
        </w:tc>
        <w:tc>
          <w:tcPr>
            <w:tcW w:w="0" w:type="dxa"/>
            <w:vAlign w:val="bottom"/>
          </w:tcPr>
          <w:p>
            <w:pPr>
              <w:spacing w:after="0"/>
              <w:rPr>
                <w:sz w:val="1"/>
                <w:szCs w:val="1"/>
                <w:color w:val="auto"/>
              </w:rPr>
            </w:pPr>
          </w:p>
        </w:tc>
      </w:tr>
      <w:tr>
        <w:trPr>
          <w:trHeight w:val="449"/>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Anne T. Madden</w:t>
            </w:r>
            <w:r>
              <w:rPr>
                <w:rFonts w:ascii="Arial" w:cs="Arial" w:eastAsia="Arial" w:hAnsi="Arial"/>
                <w:sz w:val="10"/>
                <w:szCs w:val="10"/>
                <w:color w:val="auto"/>
              </w:rPr>
              <w:t>, 57</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8"/>
              </w:rPr>
              <w:t>Senior Vice President and General Counsel since October 2017. Corporate Secretary from February 2018 to September 2019. Vice President of Corporate Development and Global</w:t>
            </w:r>
          </w:p>
        </w:tc>
        <w:tc>
          <w:tcPr>
            <w:tcW w:w="0" w:type="dxa"/>
            <w:vAlign w:val="bottom"/>
          </w:tcPr>
          <w:p>
            <w:pPr>
              <w:spacing w:after="0"/>
              <w:rPr>
                <w:sz w:val="1"/>
                <w:szCs w:val="1"/>
                <w:color w:val="auto"/>
              </w:rPr>
            </w:pPr>
          </w:p>
        </w:tc>
      </w:tr>
      <w:tr>
        <w:trPr>
          <w:trHeight w:val="136"/>
        </w:trPr>
        <w:tc>
          <w:tcPr>
            <w:tcW w:w="2920" w:type="dxa"/>
            <w:vAlign w:val="bottom"/>
          </w:tcPr>
          <w:p>
            <w:pPr>
              <w:ind w:left="1420"/>
              <w:spacing w:after="0"/>
              <w:rPr>
                <w:sz w:val="20"/>
                <w:szCs w:val="20"/>
                <w:color w:val="auto"/>
              </w:rPr>
            </w:pPr>
            <w:r>
              <w:rPr>
                <w:rFonts w:ascii="Arial" w:cs="Arial" w:eastAsia="Arial" w:hAnsi="Arial"/>
                <w:sz w:val="10"/>
                <w:szCs w:val="10"/>
                <w:color w:val="auto"/>
              </w:rPr>
              <w:t>2017</w:t>
            </w:r>
          </w:p>
        </w:tc>
        <w:tc>
          <w:tcPr>
            <w:tcW w:w="8380" w:type="dxa"/>
            <w:vAlign w:val="bottom"/>
          </w:tcPr>
          <w:p>
            <w:pPr>
              <w:ind w:left="460"/>
              <w:spacing w:after="0"/>
              <w:rPr>
                <w:sz w:val="20"/>
                <w:szCs w:val="20"/>
                <w:color w:val="auto"/>
              </w:rPr>
            </w:pPr>
            <w:r>
              <w:rPr>
                <w:rFonts w:ascii="Arial" w:cs="Arial" w:eastAsia="Arial" w:hAnsi="Arial"/>
                <w:sz w:val="10"/>
                <w:szCs w:val="10"/>
                <w:color w:val="auto"/>
              </w:rPr>
              <w:t>Head of M&amp;A from January 2002 to October 2017.</w:t>
            </w:r>
          </w:p>
        </w:tc>
        <w:tc>
          <w:tcPr>
            <w:tcW w:w="0" w:type="dxa"/>
            <w:vAlign w:val="bottom"/>
          </w:tcPr>
          <w:p>
            <w:pPr>
              <w:spacing w:after="0"/>
              <w:rPr>
                <w:sz w:val="1"/>
                <w:szCs w:val="1"/>
                <w:color w:val="auto"/>
              </w:rPr>
            </w:pPr>
          </w:p>
        </w:tc>
      </w:tr>
      <w:tr>
        <w:trPr>
          <w:trHeight w:val="449"/>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Michael R. Madsen</w:t>
            </w:r>
            <w:r>
              <w:rPr>
                <w:rFonts w:ascii="Arial" w:cs="Arial" w:eastAsia="Arial" w:hAnsi="Arial"/>
                <w:sz w:val="10"/>
                <w:szCs w:val="10"/>
                <w:color w:val="auto"/>
              </w:rPr>
              <w:t>, 58</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8"/>
              </w:rPr>
              <w:t>President and Chief Executive Officer, Aerospace since October 2019. Vice President, Integrated Supply Chain of Aerospace from May 2015 to October 2019. President, Aerospace</w:t>
            </w:r>
          </w:p>
        </w:tc>
        <w:tc>
          <w:tcPr>
            <w:tcW w:w="0" w:type="dxa"/>
            <w:vAlign w:val="bottom"/>
          </w:tcPr>
          <w:p>
            <w:pPr>
              <w:spacing w:after="0"/>
              <w:rPr>
                <w:sz w:val="1"/>
                <w:szCs w:val="1"/>
                <w:color w:val="auto"/>
              </w:rPr>
            </w:pPr>
          </w:p>
        </w:tc>
      </w:tr>
      <w:tr>
        <w:trPr>
          <w:trHeight w:val="136"/>
        </w:trPr>
        <w:tc>
          <w:tcPr>
            <w:tcW w:w="2920" w:type="dxa"/>
            <w:vAlign w:val="bottom"/>
          </w:tcPr>
          <w:p>
            <w:pPr>
              <w:ind w:left="1420"/>
              <w:spacing w:after="0"/>
              <w:rPr>
                <w:sz w:val="20"/>
                <w:szCs w:val="20"/>
                <w:color w:val="auto"/>
              </w:rPr>
            </w:pPr>
            <w:r>
              <w:rPr>
                <w:rFonts w:ascii="Arial" w:cs="Arial" w:eastAsia="Arial" w:hAnsi="Arial"/>
                <w:sz w:val="10"/>
                <w:szCs w:val="10"/>
                <w:color w:val="auto"/>
              </w:rPr>
              <w:t>2019</w:t>
            </w:r>
          </w:p>
        </w:tc>
        <w:tc>
          <w:tcPr>
            <w:tcW w:w="8380" w:type="dxa"/>
            <w:vAlign w:val="bottom"/>
          </w:tcPr>
          <w:p>
            <w:pPr>
              <w:ind w:left="460"/>
              <w:spacing w:after="0"/>
              <w:rPr>
                <w:sz w:val="20"/>
                <w:szCs w:val="20"/>
                <w:color w:val="auto"/>
              </w:rPr>
            </w:pPr>
            <w:r>
              <w:rPr>
                <w:rFonts w:ascii="Arial" w:cs="Arial" w:eastAsia="Arial" w:hAnsi="Arial"/>
                <w:sz w:val="10"/>
                <w:szCs w:val="10"/>
                <w:color w:val="auto"/>
              </w:rPr>
              <w:t>Defense and Space from October 2010 to May 2015.</w:t>
            </w:r>
          </w:p>
        </w:tc>
        <w:tc>
          <w:tcPr>
            <w:tcW w:w="0" w:type="dxa"/>
            <w:vAlign w:val="bottom"/>
          </w:tcPr>
          <w:p>
            <w:pPr>
              <w:spacing w:after="0"/>
              <w:rPr>
                <w:sz w:val="1"/>
                <w:szCs w:val="1"/>
                <w:color w:val="auto"/>
              </w:rPr>
            </w:pPr>
          </w:p>
        </w:tc>
      </w:tr>
      <w:tr>
        <w:trPr>
          <w:trHeight w:val="449"/>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Karen Mattimore</w:t>
            </w:r>
            <w:r>
              <w:rPr>
                <w:rFonts w:ascii="Arial" w:cs="Arial" w:eastAsia="Arial" w:hAnsi="Arial"/>
                <w:sz w:val="10"/>
                <w:szCs w:val="10"/>
                <w:color w:val="auto"/>
              </w:rPr>
              <w:t>, 55</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Senior Vice President and Chief Human Resources Officer since June 2020. Vice President, Human Resources and Communications, Aerospace from February 2018 to June 2020. Vice</w:t>
            </w:r>
          </w:p>
        </w:tc>
        <w:tc>
          <w:tcPr>
            <w:tcW w:w="0" w:type="dxa"/>
            <w:vAlign w:val="bottom"/>
          </w:tcPr>
          <w:p>
            <w:pPr>
              <w:spacing w:after="0"/>
              <w:rPr>
                <w:sz w:val="1"/>
                <w:szCs w:val="1"/>
                <w:color w:val="auto"/>
              </w:rPr>
            </w:pPr>
          </w:p>
        </w:tc>
      </w:tr>
      <w:tr>
        <w:trPr>
          <w:trHeight w:val="136"/>
        </w:trPr>
        <w:tc>
          <w:tcPr>
            <w:tcW w:w="2920" w:type="dxa"/>
            <w:vAlign w:val="bottom"/>
          </w:tcPr>
          <w:p>
            <w:pPr>
              <w:ind w:left="1420"/>
              <w:spacing w:after="0"/>
              <w:rPr>
                <w:sz w:val="20"/>
                <w:szCs w:val="20"/>
                <w:color w:val="auto"/>
              </w:rPr>
            </w:pPr>
            <w:r>
              <w:rPr>
                <w:rFonts w:ascii="Arial" w:cs="Arial" w:eastAsia="Arial" w:hAnsi="Arial"/>
                <w:sz w:val="10"/>
                <w:szCs w:val="10"/>
                <w:color w:val="auto"/>
              </w:rPr>
              <w:t>2020</w:t>
            </w:r>
          </w:p>
        </w:tc>
        <w:tc>
          <w:tcPr>
            <w:tcW w:w="8380" w:type="dxa"/>
            <w:vAlign w:val="bottom"/>
          </w:tcPr>
          <w:p>
            <w:pPr>
              <w:ind w:left="460"/>
              <w:spacing w:after="0"/>
              <w:rPr>
                <w:sz w:val="20"/>
                <w:szCs w:val="20"/>
                <w:color w:val="auto"/>
              </w:rPr>
            </w:pPr>
            <w:r>
              <w:rPr>
                <w:rFonts w:ascii="Arial" w:cs="Arial" w:eastAsia="Arial" w:hAnsi="Arial"/>
                <w:sz w:val="10"/>
                <w:szCs w:val="10"/>
                <w:color w:val="auto"/>
              </w:rPr>
              <w:t>President, Human Resources Services from April 2015 to February 2018.</w:t>
            </w:r>
          </w:p>
        </w:tc>
        <w:tc>
          <w:tcPr>
            <w:tcW w:w="0" w:type="dxa"/>
            <w:vAlign w:val="bottom"/>
          </w:tcPr>
          <w:p>
            <w:pPr>
              <w:spacing w:after="0"/>
              <w:rPr>
                <w:sz w:val="1"/>
                <w:szCs w:val="1"/>
                <w:color w:val="auto"/>
              </w:rPr>
            </w:pPr>
          </w:p>
        </w:tc>
      </w:tr>
      <w:tr>
        <w:trPr>
          <w:trHeight w:val="449"/>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John F. Waldron</w:t>
            </w:r>
            <w:r>
              <w:rPr>
                <w:rFonts w:ascii="Arial" w:cs="Arial" w:eastAsia="Arial" w:hAnsi="Arial"/>
                <w:sz w:val="10"/>
                <w:szCs w:val="10"/>
                <w:color w:val="auto"/>
              </w:rPr>
              <w:t>, 46</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rPr>
              <w:t>President and Chief Executive Officer, Safety and Productivity Solutions since July 2016. President of Sensing and Productivity Solutions from July 2015 to July 2016. President of</w:t>
            </w:r>
          </w:p>
        </w:tc>
        <w:tc>
          <w:tcPr>
            <w:tcW w:w="0" w:type="dxa"/>
            <w:vAlign w:val="bottom"/>
          </w:tcPr>
          <w:p>
            <w:pPr>
              <w:spacing w:after="0"/>
              <w:rPr>
                <w:sz w:val="1"/>
                <w:szCs w:val="1"/>
                <w:color w:val="auto"/>
              </w:rPr>
            </w:pPr>
          </w:p>
        </w:tc>
      </w:tr>
      <w:tr>
        <w:trPr>
          <w:trHeight w:val="136"/>
        </w:trPr>
        <w:tc>
          <w:tcPr>
            <w:tcW w:w="2920" w:type="dxa"/>
            <w:vAlign w:val="bottom"/>
          </w:tcPr>
          <w:p>
            <w:pPr>
              <w:ind w:left="1420"/>
              <w:spacing w:after="0"/>
              <w:rPr>
                <w:sz w:val="20"/>
                <w:szCs w:val="20"/>
                <w:color w:val="auto"/>
              </w:rPr>
            </w:pPr>
            <w:r>
              <w:rPr>
                <w:rFonts w:ascii="Arial" w:cs="Arial" w:eastAsia="Arial" w:hAnsi="Arial"/>
                <w:sz w:val="10"/>
                <w:szCs w:val="10"/>
                <w:color w:val="auto"/>
              </w:rPr>
              <w:t>2016</w:t>
            </w:r>
          </w:p>
        </w:tc>
        <w:tc>
          <w:tcPr>
            <w:tcW w:w="8380" w:type="dxa"/>
            <w:vAlign w:val="bottom"/>
          </w:tcPr>
          <w:p>
            <w:pPr>
              <w:ind w:left="460"/>
              <w:spacing w:after="0"/>
              <w:rPr>
                <w:sz w:val="20"/>
                <w:szCs w:val="20"/>
                <w:color w:val="auto"/>
              </w:rPr>
            </w:pPr>
            <w:r>
              <w:rPr>
                <w:rFonts w:ascii="Arial" w:cs="Arial" w:eastAsia="Arial" w:hAnsi="Arial"/>
                <w:sz w:val="10"/>
                <w:szCs w:val="10"/>
                <w:color w:val="auto"/>
              </w:rPr>
              <w:t>Scanning and Mobility from April 2012 to July 2015.</w:t>
            </w:r>
          </w:p>
        </w:tc>
        <w:tc>
          <w:tcPr>
            <w:tcW w:w="0" w:type="dxa"/>
            <w:vAlign w:val="bottom"/>
          </w:tcPr>
          <w:p>
            <w:pPr>
              <w:spacing w:after="0"/>
              <w:rPr>
                <w:sz w:val="1"/>
                <w:szCs w:val="1"/>
                <w:color w:val="auto"/>
              </w:rPr>
            </w:pPr>
          </w:p>
        </w:tc>
      </w:tr>
      <w:tr>
        <w:trPr>
          <w:trHeight w:val="449"/>
        </w:trPr>
        <w:tc>
          <w:tcPr>
            <w:tcW w:w="2920" w:type="dxa"/>
            <w:vAlign w:val="bottom"/>
            <w:tcBorders>
              <w:bottom w:val="single" w:sz="8" w:color="939598"/>
            </w:tcBorders>
          </w:tcPr>
          <w:p>
            <w:pPr>
              <w:spacing w:after="0"/>
              <w:rPr>
                <w:sz w:val="24"/>
                <w:szCs w:val="24"/>
                <w:color w:val="auto"/>
              </w:rPr>
            </w:pPr>
          </w:p>
        </w:tc>
        <w:tc>
          <w:tcPr>
            <w:tcW w:w="838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920" w:type="dxa"/>
            <w:vAlign w:val="bottom"/>
          </w:tcPr>
          <w:p>
            <w:pPr>
              <w:ind w:left="1420"/>
              <w:spacing w:after="0" w:line="92" w:lineRule="exact"/>
              <w:rPr>
                <w:sz w:val="20"/>
                <w:szCs w:val="20"/>
                <w:color w:val="auto"/>
              </w:rPr>
            </w:pPr>
            <w:r>
              <w:rPr>
                <w:rFonts w:ascii="Arial" w:cs="Arial" w:eastAsia="Arial" w:hAnsi="Arial"/>
                <w:sz w:val="10"/>
                <w:szCs w:val="10"/>
                <w:b w:val="1"/>
                <w:bCs w:val="1"/>
                <w:color w:val="auto"/>
              </w:rPr>
              <w:t>Doug Wright</w:t>
            </w:r>
            <w:r>
              <w:rPr>
                <w:rFonts w:ascii="Arial" w:cs="Arial" w:eastAsia="Arial" w:hAnsi="Arial"/>
                <w:sz w:val="10"/>
                <w:szCs w:val="10"/>
                <w:color w:val="auto"/>
              </w:rPr>
              <w:t>, 51</w:t>
            </w:r>
          </w:p>
        </w:tc>
        <w:tc>
          <w:tcPr>
            <w:tcW w:w="8380" w:type="dxa"/>
            <w:vAlign w:val="bottom"/>
          </w:tcPr>
          <w:p>
            <w:pPr>
              <w:ind w:left="460"/>
              <w:spacing w:after="0" w:line="92" w:lineRule="exact"/>
              <w:rPr>
                <w:sz w:val="20"/>
                <w:szCs w:val="20"/>
                <w:color w:val="auto"/>
              </w:rPr>
            </w:pPr>
            <w:r>
              <w:rPr>
                <w:rFonts w:ascii="Arial" w:cs="Arial" w:eastAsia="Arial" w:hAnsi="Arial"/>
                <w:sz w:val="10"/>
                <w:szCs w:val="10"/>
                <w:color w:val="auto"/>
                <w:w w:val="98"/>
              </w:rPr>
              <w:t>President and Chief Executive Officer, Honeywell Building Technologies since July 2021. President of the global Fire &amp; Security business from July 2020 to June 2021. From 2013 to</w:t>
            </w:r>
          </w:p>
        </w:tc>
        <w:tc>
          <w:tcPr>
            <w:tcW w:w="0" w:type="dxa"/>
            <w:vAlign w:val="bottom"/>
          </w:tcPr>
          <w:p>
            <w:pPr>
              <w:spacing w:after="0"/>
              <w:rPr>
                <w:sz w:val="1"/>
                <w:szCs w:val="1"/>
                <w:color w:val="auto"/>
              </w:rPr>
            </w:pPr>
          </w:p>
        </w:tc>
      </w:tr>
      <w:tr>
        <w:trPr>
          <w:trHeight w:val="108"/>
        </w:trPr>
        <w:tc>
          <w:tcPr>
            <w:tcW w:w="2920" w:type="dxa"/>
            <w:vAlign w:val="bottom"/>
          </w:tcPr>
          <w:p>
            <w:pPr>
              <w:ind w:left="1420"/>
              <w:spacing w:after="0" w:line="108" w:lineRule="exact"/>
              <w:rPr>
                <w:sz w:val="20"/>
                <w:szCs w:val="20"/>
                <w:color w:val="auto"/>
              </w:rPr>
            </w:pPr>
            <w:r>
              <w:rPr>
                <w:rFonts w:ascii="Arial" w:cs="Arial" w:eastAsia="Arial" w:hAnsi="Arial"/>
                <w:sz w:val="10"/>
                <w:szCs w:val="10"/>
                <w:color w:val="auto"/>
              </w:rPr>
              <w:t>2021</w:t>
            </w:r>
          </w:p>
        </w:tc>
        <w:tc>
          <w:tcPr>
            <w:tcW w:w="8380" w:type="dxa"/>
            <w:vAlign w:val="bottom"/>
          </w:tcPr>
          <w:p>
            <w:pPr>
              <w:ind w:left="460"/>
              <w:spacing w:after="0" w:line="108" w:lineRule="exact"/>
              <w:rPr>
                <w:sz w:val="20"/>
                <w:szCs w:val="20"/>
                <w:color w:val="auto"/>
              </w:rPr>
            </w:pPr>
            <w:r>
              <w:rPr>
                <w:rFonts w:ascii="Arial" w:cs="Arial" w:eastAsia="Arial" w:hAnsi="Arial"/>
                <w:sz w:val="10"/>
                <w:szCs w:val="10"/>
                <w:color w:val="auto"/>
                <w:w w:val="96"/>
              </w:rPr>
              <w:t>2020, Mr. Wright served as President and Chief Executive Officer of Source Photonics, a global provider of optical communication products used in telecommunication systems and data</w:t>
            </w:r>
          </w:p>
        </w:tc>
        <w:tc>
          <w:tcPr>
            <w:tcW w:w="0" w:type="dxa"/>
            <w:vAlign w:val="bottom"/>
          </w:tcPr>
          <w:p>
            <w:pPr>
              <w:spacing w:after="0"/>
              <w:rPr>
                <w:sz w:val="1"/>
                <w:szCs w:val="1"/>
                <w:color w:val="auto"/>
              </w:rPr>
            </w:pPr>
          </w:p>
        </w:tc>
      </w:tr>
      <w:tr>
        <w:trPr>
          <w:trHeight w:val="115"/>
        </w:trPr>
        <w:tc>
          <w:tcPr>
            <w:tcW w:w="2920" w:type="dxa"/>
            <w:vAlign w:val="bottom"/>
          </w:tcPr>
          <w:p>
            <w:pPr>
              <w:spacing w:after="0"/>
              <w:rPr>
                <w:sz w:val="9"/>
                <w:szCs w:val="9"/>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communication networks.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-4080510</wp:posOffset>
            </wp:positionV>
            <wp:extent cx="434340" cy="308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-3634740</wp:posOffset>
            </wp:positionV>
            <wp:extent cx="434340" cy="308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-3188970</wp:posOffset>
            </wp:positionV>
            <wp:extent cx="434340"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-2788920</wp:posOffset>
            </wp:positionV>
            <wp:extent cx="434340"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-2388870</wp:posOffset>
            </wp:positionV>
            <wp:extent cx="434340" cy="308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-1943100</wp:posOffset>
            </wp:positionV>
            <wp:extent cx="434340"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-1497330</wp:posOffset>
            </wp:positionV>
            <wp:extent cx="434340" cy="3086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-1051560</wp:posOffset>
            </wp:positionV>
            <wp:extent cx="434340"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-605790</wp:posOffset>
            </wp:positionV>
            <wp:extent cx="434340"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434340" cy="308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434340" cy="3086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8" w:hanging="188"/>
        <w:spacing w:after="0"/>
        <w:tabs>
          <w:tab w:leader="none" w:pos="188" w:val="left"/>
        </w:tabs>
        <w:numPr>
          <w:ilvl w:val="0"/>
          <w:numId w:val="74"/>
        </w:numPr>
        <w:rPr>
          <w:rFonts w:ascii="Arial" w:cs="Arial" w:eastAsia="Arial" w:hAnsi="Arial"/>
          <w:sz w:val="11"/>
          <w:szCs w:val="11"/>
          <w:color w:val="auto"/>
          <w:vertAlign w:val="superscript"/>
        </w:rPr>
      </w:pPr>
      <w:r>
        <w:rPr>
          <w:rFonts w:ascii="Arial" w:cs="Arial" w:eastAsia="Arial" w:hAnsi="Arial"/>
          <w:sz w:val="8"/>
          <w:szCs w:val="8"/>
          <w:color w:val="auto"/>
        </w:rPr>
        <w:t>Also a Director.</w:t>
      </w:r>
    </w:p>
    <w:p>
      <w:pPr>
        <w:spacing w:after="0" w:line="44" w:lineRule="exact"/>
        <w:rPr>
          <w:rFonts w:ascii="Arial" w:cs="Arial" w:eastAsia="Arial" w:hAnsi="Arial"/>
          <w:sz w:val="11"/>
          <w:szCs w:val="11"/>
          <w:color w:val="auto"/>
          <w:vertAlign w:val="superscript"/>
        </w:rPr>
      </w:pPr>
    </w:p>
    <w:p>
      <w:pPr>
        <w:ind w:left="168" w:hanging="168"/>
        <w:spacing w:after="0"/>
        <w:tabs>
          <w:tab w:leader="none" w:pos="168" w:val="left"/>
        </w:tabs>
        <w:numPr>
          <w:ilvl w:val="0"/>
          <w:numId w:val="74"/>
        </w:numPr>
        <w:rPr>
          <w:rFonts w:ascii="Arial" w:cs="Arial" w:eastAsia="Arial" w:hAnsi="Arial"/>
          <w:sz w:val="11"/>
          <w:szCs w:val="11"/>
          <w:color w:val="auto"/>
          <w:vertAlign w:val="superscript"/>
        </w:rPr>
      </w:pPr>
      <w:r>
        <w:rPr>
          <w:rFonts w:ascii="Arial" w:cs="Arial" w:eastAsia="Arial" w:hAnsi="Arial"/>
          <w:sz w:val="8"/>
          <w:szCs w:val="8"/>
          <w:color w:val="auto"/>
        </w:rPr>
        <w:t>Mr. Koutsaftes will become President and Chief Executive Officer of Safety and Productivity Solutions and an Executive Officer of the Company effective April 1, 2022, succeeding Mr. Waldron in such position</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49</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51" w:name="page52"/>
    <w:bookmarkEnd w:id="51"/>
    <w:p>
      <w:pPr>
        <w:ind w:left="8"/>
        <w:spacing w:after="0"/>
        <w:rPr>
          <w:sz w:val="20"/>
          <w:szCs w:val="20"/>
          <w:color w:val="auto"/>
        </w:rPr>
      </w:pPr>
      <w:r>
        <w:rPr>
          <w:rFonts w:ascii="Arial" w:cs="Arial" w:eastAsia="Arial" w:hAnsi="Arial"/>
          <w:sz w:val="24"/>
          <w:szCs w:val="24"/>
          <w:b w:val="1"/>
          <w:bCs w:val="1"/>
          <w:color w:val="auto"/>
        </w:rPr>
        <w:t>UNRESOLVED STAFF COMMENTS</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None.</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PROPERTIES</w:t>
      </w:r>
    </w:p>
    <w:p>
      <w:pPr>
        <w:spacing w:after="0" w:line="278"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We have approximately 750 locations, of which 210 are manufacturing sites. Our properties and equipment are in good operating condition and are adequate for our present needs. We do not anticipate difficulty in renewing existing leases as they expire or in finding alternative facilities.</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LEGAL PROCEEDINGS</w:t>
      </w:r>
    </w:p>
    <w:p>
      <w:pPr>
        <w:spacing w:after="0" w:line="257" w:lineRule="exact"/>
        <w:rPr>
          <w:sz w:val="20"/>
          <w:szCs w:val="20"/>
          <w:color w:val="auto"/>
        </w:rPr>
      </w:pPr>
    </w:p>
    <w:p>
      <w:pPr>
        <w:ind w:left="8"/>
        <w:spacing w:after="0" w:line="268" w:lineRule="auto"/>
        <w:rPr>
          <w:rFonts w:ascii="Arial" w:cs="Arial" w:eastAsia="Arial" w:hAnsi="Arial"/>
          <w:sz w:val="11"/>
          <w:szCs w:val="11"/>
          <w:b w:val="1"/>
          <w:bCs w:val="1"/>
          <w:color w:val="auto"/>
        </w:rPr>
      </w:pPr>
      <w:r>
        <w:rPr>
          <w:rFonts w:ascii="Arial" w:cs="Arial" w:eastAsia="Arial" w:hAnsi="Arial"/>
          <w:sz w:val="11"/>
          <w:szCs w:val="11"/>
          <w:color w:val="auto"/>
        </w:rPr>
        <w:t xml:space="preserve">We are subject to a number of lawsuits, investigations and claims (some of which involve substantial amounts) arising out of the conduct of our business. See a discussion of environmental, asbestos and other litigation matters in </w:t>
      </w:r>
      <w:hyperlink w:anchor="page94">
        <w:r>
          <w:rPr>
            <w:rFonts w:ascii="Arial" w:cs="Arial" w:eastAsia="Arial" w:hAnsi="Arial"/>
            <w:sz w:val="11"/>
            <w:szCs w:val="11"/>
            <w:b w:val="1"/>
            <w:bCs w:val="1"/>
            <w:color w:val="auto"/>
          </w:rPr>
          <w:t xml:space="preserve">Note </w:t>
        </w:r>
      </w:hyperlink>
      <w:r>
        <w:rPr>
          <w:rFonts w:ascii="Arial" w:cs="Arial" w:eastAsia="Arial" w:hAnsi="Arial"/>
          <w:sz w:val="11"/>
          <w:szCs w:val="11"/>
          <w:color w:val="auto"/>
        </w:rPr>
        <w:t xml:space="preserve">19 </w:t>
      </w:r>
      <w:hyperlink w:anchor="page94">
        <w:r>
          <w:rPr>
            <w:rFonts w:ascii="Arial" w:cs="Arial" w:eastAsia="Arial" w:hAnsi="Arial"/>
            <w:sz w:val="11"/>
            <w:szCs w:val="11"/>
            <w:b w:val="1"/>
            <w:bCs w:val="1"/>
            <w:color w:val="auto"/>
          </w:rPr>
          <w:t>Commitments and Contingencies of Notes to Consolidated Financial Statements.</w:t>
        </w:r>
      </w:hyperlink>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There were no matters requiring disclosure pursuant to the requirement to disclose certain environmental matters involving potential monetary sanctions in excess of $300,000.</w:t>
      </w:r>
    </w:p>
    <w:p>
      <w:pPr>
        <w:spacing w:after="0" w:line="219"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MINE SAFETY DISCLOSURES</w:t>
      </w:r>
    </w:p>
    <w:p>
      <w:pPr>
        <w:spacing w:after="0" w:line="278"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Form 10-K.</w:t>
      </w:r>
    </w:p>
    <w:p>
      <w:pPr>
        <w:spacing w:after="0" w:line="200" w:lineRule="exact"/>
        <w:rPr>
          <w:sz w:val="20"/>
          <w:szCs w:val="20"/>
          <w:color w:val="auto"/>
        </w:rPr>
      </w:pPr>
    </w:p>
    <w:p>
      <w:pPr>
        <w:spacing w:after="0" w:line="385" w:lineRule="exact"/>
        <w:rPr>
          <w:sz w:val="20"/>
          <w:szCs w:val="20"/>
          <w:color w:val="auto"/>
        </w:rPr>
      </w:pPr>
    </w:p>
    <w:p>
      <w:pPr>
        <w:ind w:left="468" w:hanging="468"/>
        <w:spacing w:after="0"/>
        <w:tabs>
          <w:tab w:leader="none" w:pos="468" w:val="left"/>
        </w:tabs>
        <w:numPr>
          <w:ilvl w:val="0"/>
          <w:numId w:val="7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52" w:name="page53"/>
    <w:bookmarkEnd w:id="52"/>
    <w:p>
      <w:pPr>
        <w:ind w:right="780"/>
        <w:spacing w:after="0" w:line="287" w:lineRule="auto"/>
        <w:rPr>
          <w:sz w:val="20"/>
          <w:szCs w:val="20"/>
          <w:color w:val="auto"/>
        </w:rPr>
      </w:pPr>
      <w:r>
        <w:rPr>
          <w:rFonts w:ascii="Arial" w:cs="Arial" w:eastAsia="Arial" w:hAnsi="Arial"/>
          <w:sz w:val="24"/>
          <w:szCs w:val="24"/>
          <w:b w:val="1"/>
          <w:bCs w:val="1"/>
          <w:color w:val="auto"/>
        </w:rPr>
        <w:t>MARKET FOR REGISTRANT'S COMMON EQUITY, RELATED STOCKHOLDER MATTERS AND ISSUER PURCHASES OF EQUITY SECURITIES</w:t>
      </w:r>
    </w:p>
    <w:p>
      <w:pPr>
        <w:spacing w:after="0" w:line="182"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Since May 11, 2021, our common stock has been listed on The Nasdaq Stock Market LLC (Nasdaq) under the ticker symbol “HON”. Prior to May 11, 2021, our common stock was listed and traded on the New York Stock Exchange. We increased our quarterly dividend rate by 5% to $0.98 per share of common stock effective with the fourth quarter 2021 dividend. We intend to continue to pay quarterly dividends in 2022.</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The number of record holders of our common stock at December 31, 2021 was 40,420.</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Information regarding securities authorized for issuance under equity compensation plans is included the section titled Security Ownership of Certain Beneficial Owners and Management and Related Stockholder Matters under the caption “Equity Compensation Plans.”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1"/>
          <w:szCs w:val="11"/>
          <w:color w:val="auto"/>
        </w:rPr>
        <w:t>We purchased 4,256,144 shares of our common stock, par value $1 per share, in the quarter ended December 31, 2021. On February 12, 2021, the Board of Directors authorized the repurchase of up to a total of $10 billion of Honeywell common stock, which included amounts remaining under, and replaced, the previously approved share repurchase program. As of December 31, 2021, $7.1 billion remained available for additional share repurchases. We expect to repurchase outstanding shares from time to time to generally offset the dilutive impact of employee stock-based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the level of our operating, financing and other investing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our purchases of Honeywell's common stock for the three months ended December 31, 2021: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Issuer Purchases of Equity Securities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3500" w:type="dxa"/>
            <w:vAlign w:val="bottom"/>
            <w:tcBorders>
              <w:top w:val="single" w:sz="8" w:color="DC202E"/>
            </w:tcBorders>
          </w:tcPr>
          <w:p>
            <w:pPr>
              <w:spacing w:after="0"/>
              <w:rPr>
                <w:sz w:val="7"/>
                <w:szCs w:val="7"/>
                <w:color w:val="auto"/>
              </w:rPr>
            </w:pPr>
          </w:p>
        </w:tc>
        <w:tc>
          <w:tcPr>
            <w:tcW w:w="3400" w:type="dxa"/>
            <w:vAlign w:val="bottom"/>
            <w:tcBorders>
              <w:top w:val="single" w:sz="8" w:color="DC202E"/>
            </w:tcBorders>
          </w:tcPr>
          <w:p>
            <w:pPr>
              <w:spacing w:after="0"/>
              <w:rPr>
                <w:sz w:val="7"/>
                <w:szCs w:val="7"/>
                <w:color w:val="auto"/>
              </w:rPr>
            </w:pPr>
          </w:p>
        </w:tc>
        <w:tc>
          <w:tcPr>
            <w:tcW w:w="220" w:type="dxa"/>
            <w:vAlign w:val="bottom"/>
            <w:tcBorders>
              <w:top w:val="single" w:sz="8" w:color="DC202E"/>
            </w:tcBorders>
          </w:tcPr>
          <w:p>
            <w:pPr>
              <w:spacing w:after="0"/>
              <w:rPr>
                <w:sz w:val="7"/>
                <w:szCs w:val="7"/>
                <w:color w:val="auto"/>
              </w:rPr>
            </w:pPr>
          </w:p>
        </w:tc>
        <w:tc>
          <w:tcPr>
            <w:tcW w:w="1020" w:type="dxa"/>
            <w:vAlign w:val="bottom"/>
            <w:tcBorders>
              <w:top w:val="single" w:sz="8" w:color="DC202E"/>
            </w:tcBorders>
          </w:tcPr>
          <w:p>
            <w:pPr>
              <w:spacing w:after="0"/>
              <w:rPr>
                <w:sz w:val="7"/>
                <w:szCs w:val="7"/>
                <w:color w:val="auto"/>
              </w:rPr>
            </w:pPr>
          </w:p>
        </w:tc>
        <w:tc>
          <w:tcPr>
            <w:tcW w:w="1460" w:type="dxa"/>
            <w:vAlign w:val="bottom"/>
            <w:tcBorders>
              <w:top w:val="single" w:sz="8" w:color="DC202E"/>
            </w:tcBorders>
          </w:tcPr>
          <w:p>
            <w:pPr>
              <w:jc w:val="center"/>
              <w:ind w:right="232"/>
              <w:spacing w:after="0" w:line="88" w:lineRule="exact"/>
              <w:rPr>
                <w:sz w:val="20"/>
                <w:szCs w:val="20"/>
                <w:color w:val="auto"/>
              </w:rPr>
            </w:pPr>
            <w:r>
              <w:rPr>
                <w:rFonts w:ascii="Arial" w:cs="Arial" w:eastAsia="Arial" w:hAnsi="Arial"/>
                <w:sz w:val="10"/>
                <w:szCs w:val="10"/>
                <w:b w:val="1"/>
                <w:bCs w:val="1"/>
                <w:color w:val="auto"/>
                <w:w w:val="96"/>
              </w:rPr>
              <w:t>Total Number</w:t>
            </w:r>
          </w:p>
        </w:tc>
        <w:tc>
          <w:tcPr>
            <w:tcW w:w="1360" w:type="dxa"/>
            <w:vAlign w:val="bottom"/>
            <w:tcBorders>
              <w:top w:val="single" w:sz="8" w:color="DC202E"/>
            </w:tcBorders>
            <w:vMerge w:val="restart"/>
          </w:tcPr>
          <w:p>
            <w:pPr>
              <w:jc w:val="center"/>
              <w:ind w:left="212"/>
              <w:spacing w:after="0"/>
              <w:rPr>
                <w:sz w:val="20"/>
                <w:szCs w:val="20"/>
                <w:color w:val="auto"/>
              </w:rPr>
            </w:pPr>
            <w:r>
              <w:rPr>
                <w:rFonts w:ascii="Arial" w:cs="Arial" w:eastAsia="Arial" w:hAnsi="Arial"/>
                <w:sz w:val="10"/>
                <w:szCs w:val="10"/>
                <w:b w:val="1"/>
                <w:bCs w:val="1"/>
                <w:color w:val="auto"/>
                <w:w w:val="97"/>
              </w:rPr>
              <w:t>Approximate Dollar</w:t>
            </w:r>
          </w:p>
        </w:tc>
        <w:tc>
          <w:tcPr>
            <w:tcW w:w="340" w:type="dxa"/>
            <w:vAlign w:val="bottom"/>
            <w:tcBorders>
              <w:top w:val="single" w:sz="8" w:color="DC202E"/>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60" w:type="dxa"/>
            <w:vAlign w:val="bottom"/>
          </w:tcPr>
          <w:p>
            <w:pPr>
              <w:jc w:val="center"/>
              <w:ind w:right="252"/>
              <w:spacing w:after="0" w:line="90" w:lineRule="exact"/>
              <w:rPr>
                <w:sz w:val="20"/>
                <w:szCs w:val="20"/>
                <w:color w:val="auto"/>
              </w:rPr>
            </w:pPr>
            <w:r>
              <w:rPr>
                <w:rFonts w:ascii="Arial" w:cs="Arial" w:eastAsia="Arial" w:hAnsi="Arial"/>
                <w:sz w:val="10"/>
                <w:szCs w:val="10"/>
                <w:b w:val="1"/>
                <w:bCs w:val="1"/>
                <w:color w:val="auto"/>
                <w:w w:val="96"/>
              </w:rPr>
              <w:t>of Shares</w:t>
            </w:r>
          </w:p>
        </w:tc>
        <w:tc>
          <w:tcPr>
            <w:tcW w:w="13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00" w:type="dxa"/>
            <w:vAlign w:val="bottom"/>
          </w:tcPr>
          <w:p>
            <w:pPr>
              <w:spacing w:after="0"/>
              <w:rPr>
                <w:sz w:val="7"/>
                <w:szCs w:val="7"/>
                <w:color w:val="auto"/>
              </w:rPr>
            </w:pPr>
          </w:p>
        </w:tc>
        <w:tc>
          <w:tcPr>
            <w:tcW w:w="3400" w:type="dxa"/>
            <w:vAlign w:val="bottom"/>
            <w:vMerge w:val="restart"/>
          </w:tcPr>
          <w:p>
            <w:pPr>
              <w:jc w:val="center"/>
              <w:ind w:left="2052"/>
              <w:spacing w:after="0"/>
              <w:rPr>
                <w:sz w:val="20"/>
                <w:szCs w:val="20"/>
                <w:color w:val="auto"/>
              </w:rPr>
            </w:pPr>
            <w:r>
              <w:rPr>
                <w:rFonts w:ascii="Arial" w:cs="Arial" w:eastAsia="Arial" w:hAnsi="Arial"/>
                <w:sz w:val="10"/>
                <w:szCs w:val="10"/>
                <w:b w:val="1"/>
                <w:bCs w:val="1"/>
                <w:color w:val="auto"/>
                <w:w w:val="91"/>
              </w:rPr>
              <w:t>Total</w:t>
            </w: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6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5"/>
              </w:rPr>
              <w:t>Purchased as</w:t>
            </w:r>
          </w:p>
        </w:tc>
        <w:tc>
          <w:tcPr>
            <w:tcW w:w="1360" w:type="dxa"/>
            <w:vAlign w:val="bottom"/>
          </w:tcPr>
          <w:p>
            <w:pPr>
              <w:jc w:val="center"/>
              <w:ind w:left="212"/>
              <w:spacing w:after="0" w:line="90" w:lineRule="exact"/>
              <w:rPr>
                <w:sz w:val="20"/>
                <w:szCs w:val="20"/>
                <w:color w:val="auto"/>
              </w:rPr>
            </w:pPr>
            <w:r>
              <w:rPr>
                <w:rFonts w:ascii="Arial" w:cs="Arial" w:eastAsia="Arial" w:hAnsi="Arial"/>
                <w:sz w:val="10"/>
                <w:szCs w:val="10"/>
                <w:b w:val="1"/>
                <w:bCs w:val="1"/>
                <w:color w:val="auto"/>
                <w:w w:val="93"/>
              </w:rPr>
              <w:t>Value of Shares that</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0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ind w:right="472"/>
              <w:spacing w:after="0"/>
              <w:rPr>
                <w:sz w:val="20"/>
                <w:szCs w:val="20"/>
                <w:color w:val="auto"/>
              </w:rPr>
            </w:pPr>
            <w:r>
              <w:rPr>
                <w:rFonts w:ascii="Arial" w:cs="Arial" w:eastAsia="Arial" w:hAnsi="Arial"/>
                <w:sz w:val="10"/>
                <w:szCs w:val="10"/>
                <w:b w:val="1"/>
                <w:bCs w:val="1"/>
                <w:color w:val="auto"/>
                <w:w w:val="96"/>
              </w:rPr>
              <w:t>Average</w:t>
            </w:r>
          </w:p>
        </w:tc>
        <w:tc>
          <w:tcPr>
            <w:tcW w:w="146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6"/>
              </w:rPr>
              <w:t>Part of Publicly</w:t>
            </w:r>
          </w:p>
        </w:tc>
        <w:tc>
          <w:tcPr>
            <w:tcW w:w="1360" w:type="dxa"/>
            <w:vAlign w:val="bottom"/>
          </w:tcPr>
          <w:p>
            <w:pPr>
              <w:jc w:val="center"/>
              <w:ind w:left="212"/>
              <w:spacing w:after="0" w:line="90" w:lineRule="exact"/>
              <w:rPr>
                <w:sz w:val="20"/>
                <w:szCs w:val="20"/>
                <w:color w:val="auto"/>
              </w:rPr>
            </w:pPr>
            <w:r>
              <w:rPr>
                <w:rFonts w:ascii="Arial" w:cs="Arial" w:eastAsia="Arial" w:hAnsi="Arial"/>
                <w:sz w:val="10"/>
                <w:szCs w:val="10"/>
                <w:b w:val="1"/>
                <w:bCs w:val="1"/>
                <w:color w:val="auto"/>
                <w:w w:val="96"/>
              </w:rPr>
              <w:t>May Yet be Purchased</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00" w:type="dxa"/>
            <w:vAlign w:val="bottom"/>
          </w:tcPr>
          <w:p>
            <w:pPr>
              <w:spacing w:after="0"/>
              <w:rPr>
                <w:sz w:val="7"/>
                <w:szCs w:val="7"/>
                <w:color w:val="auto"/>
              </w:rPr>
            </w:pPr>
          </w:p>
        </w:tc>
        <w:tc>
          <w:tcPr>
            <w:tcW w:w="3400" w:type="dxa"/>
            <w:vAlign w:val="bottom"/>
          </w:tcPr>
          <w:p>
            <w:pPr>
              <w:jc w:val="center"/>
              <w:ind w:left="2032"/>
              <w:spacing w:after="0" w:line="90" w:lineRule="exact"/>
              <w:rPr>
                <w:sz w:val="20"/>
                <w:szCs w:val="20"/>
                <w:color w:val="auto"/>
              </w:rPr>
            </w:pPr>
            <w:r>
              <w:rPr>
                <w:rFonts w:ascii="Arial" w:cs="Arial" w:eastAsia="Arial" w:hAnsi="Arial"/>
                <w:sz w:val="10"/>
                <w:szCs w:val="10"/>
                <w:b w:val="1"/>
                <w:bCs w:val="1"/>
                <w:color w:val="auto"/>
                <w:w w:val="95"/>
              </w:rPr>
              <w:t>Number of</w:t>
            </w: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46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8"/>
              </w:rPr>
              <w:t>Announced</w:t>
            </w:r>
          </w:p>
        </w:tc>
        <w:tc>
          <w:tcPr>
            <w:tcW w:w="1360" w:type="dxa"/>
            <w:vAlign w:val="bottom"/>
          </w:tcPr>
          <w:p>
            <w:pPr>
              <w:jc w:val="center"/>
              <w:ind w:left="212"/>
              <w:spacing w:after="0" w:line="90" w:lineRule="exact"/>
              <w:rPr>
                <w:sz w:val="20"/>
                <w:szCs w:val="20"/>
                <w:color w:val="auto"/>
              </w:rPr>
            </w:pPr>
            <w:r>
              <w:rPr>
                <w:rFonts w:ascii="Arial" w:cs="Arial" w:eastAsia="Arial" w:hAnsi="Arial"/>
                <w:sz w:val="10"/>
                <w:szCs w:val="10"/>
                <w:b w:val="1"/>
                <w:bCs w:val="1"/>
                <w:color w:val="auto"/>
                <w:w w:val="98"/>
              </w:rPr>
              <w:t>Under Plans or</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0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3400" w:type="dxa"/>
            <w:vAlign w:val="bottom"/>
          </w:tcPr>
          <w:p>
            <w:pPr>
              <w:jc w:val="center"/>
              <w:ind w:left="2032"/>
              <w:spacing w:after="0" w:line="90" w:lineRule="exact"/>
              <w:rPr>
                <w:sz w:val="20"/>
                <w:szCs w:val="20"/>
                <w:color w:val="auto"/>
              </w:rPr>
            </w:pPr>
            <w:r>
              <w:rPr>
                <w:rFonts w:ascii="Arial" w:cs="Arial" w:eastAsia="Arial" w:hAnsi="Arial"/>
                <w:sz w:val="10"/>
                <w:szCs w:val="10"/>
                <w:b w:val="1"/>
                <w:bCs w:val="1"/>
                <w:color w:val="auto"/>
                <w:w w:val="95"/>
              </w:rPr>
              <w:t>Shares</w:t>
            </w:r>
          </w:p>
        </w:tc>
        <w:tc>
          <w:tcPr>
            <w:tcW w:w="220" w:type="dxa"/>
            <w:vAlign w:val="bottom"/>
          </w:tcPr>
          <w:p>
            <w:pPr>
              <w:spacing w:after="0"/>
              <w:rPr>
                <w:sz w:val="7"/>
                <w:szCs w:val="7"/>
                <w:color w:val="auto"/>
              </w:rPr>
            </w:pPr>
          </w:p>
        </w:tc>
        <w:tc>
          <w:tcPr>
            <w:tcW w:w="1020" w:type="dxa"/>
            <w:vAlign w:val="bottom"/>
          </w:tcPr>
          <w:p>
            <w:pPr>
              <w:jc w:val="center"/>
              <w:ind w:right="472"/>
              <w:spacing w:after="0" w:line="90" w:lineRule="exact"/>
              <w:rPr>
                <w:sz w:val="20"/>
                <w:szCs w:val="20"/>
                <w:color w:val="auto"/>
              </w:rPr>
            </w:pPr>
            <w:r>
              <w:rPr>
                <w:rFonts w:ascii="Arial" w:cs="Arial" w:eastAsia="Arial" w:hAnsi="Arial"/>
                <w:sz w:val="10"/>
                <w:szCs w:val="10"/>
                <w:b w:val="1"/>
                <w:bCs w:val="1"/>
                <w:color w:val="auto"/>
                <w:w w:val="95"/>
              </w:rPr>
              <w:t>Price Paid</w:t>
            </w:r>
          </w:p>
        </w:tc>
        <w:tc>
          <w:tcPr>
            <w:tcW w:w="1460" w:type="dxa"/>
            <w:vAlign w:val="bottom"/>
          </w:tcPr>
          <w:p>
            <w:pPr>
              <w:jc w:val="center"/>
              <w:ind w:right="232"/>
              <w:spacing w:after="0" w:line="90" w:lineRule="exact"/>
              <w:rPr>
                <w:sz w:val="20"/>
                <w:szCs w:val="20"/>
                <w:color w:val="auto"/>
              </w:rPr>
            </w:pPr>
            <w:r>
              <w:rPr>
                <w:rFonts w:ascii="Arial" w:cs="Arial" w:eastAsia="Arial" w:hAnsi="Arial"/>
                <w:sz w:val="10"/>
                <w:szCs w:val="10"/>
                <w:b w:val="1"/>
                <w:bCs w:val="1"/>
                <w:color w:val="auto"/>
                <w:w w:val="97"/>
              </w:rPr>
              <w:t>Plans</w:t>
            </w:r>
          </w:p>
        </w:tc>
        <w:tc>
          <w:tcPr>
            <w:tcW w:w="1360" w:type="dxa"/>
            <w:vAlign w:val="bottom"/>
          </w:tcPr>
          <w:p>
            <w:pPr>
              <w:jc w:val="center"/>
              <w:ind w:left="212"/>
              <w:spacing w:after="0" w:line="90" w:lineRule="exact"/>
              <w:rPr>
                <w:sz w:val="20"/>
                <w:szCs w:val="20"/>
                <w:color w:val="auto"/>
              </w:rPr>
            </w:pPr>
            <w:r>
              <w:rPr>
                <w:rFonts w:ascii="Arial" w:cs="Arial" w:eastAsia="Arial" w:hAnsi="Arial"/>
                <w:sz w:val="10"/>
                <w:szCs w:val="10"/>
                <w:b w:val="1"/>
                <w:bCs w:val="1"/>
                <w:color w:val="auto"/>
                <w:w w:val="98"/>
              </w:rPr>
              <w:t>Programs</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500" w:type="dxa"/>
            <w:vAlign w:val="bottom"/>
            <w:tcBorders>
              <w:bottom w:val="single" w:sz="8" w:color="DC202E"/>
            </w:tcBorders>
            <w:vMerge w:val="continue"/>
          </w:tcPr>
          <w:p>
            <w:pPr>
              <w:spacing w:after="0"/>
              <w:rPr>
                <w:sz w:val="10"/>
                <w:szCs w:val="10"/>
                <w:color w:val="auto"/>
              </w:rPr>
            </w:pPr>
          </w:p>
        </w:tc>
        <w:tc>
          <w:tcPr>
            <w:tcW w:w="3400" w:type="dxa"/>
            <w:vAlign w:val="bottom"/>
            <w:tcBorders>
              <w:bottom w:val="single" w:sz="8" w:color="DC202E"/>
            </w:tcBorders>
          </w:tcPr>
          <w:p>
            <w:pPr>
              <w:jc w:val="center"/>
              <w:ind w:left="2032"/>
              <w:spacing w:after="0"/>
              <w:rPr>
                <w:sz w:val="20"/>
                <w:szCs w:val="20"/>
                <w:color w:val="auto"/>
              </w:rPr>
            </w:pPr>
            <w:r>
              <w:rPr>
                <w:rFonts w:ascii="Arial" w:cs="Arial" w:eastAsia="Arial" w:hAnsi="Arial"/>
                <w:sz w:val="10"/>
                <w:szCs w:val="10"/>
                <w:b w:val="1"/>
                <w:bCs w:val="1"/>
                <w:color w:val="auto"/>
                <w:w w:val="93"/>
              </w:rPr>
              <w:t>Purchased</w:t>
            </w: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center"/>
              <w:ind w:right="492"/>
              <w:spacing w:after="0"/>
              <w:rPr>
                <w:sz w:val="20"/>
                <w:szCs w:val="20"/>
                <w:color w:val="auto"/>
              </w:rPr>
            </w:pPr>
            <w:r>
              <w:rPr>
                <w:rFonts w:ascii="Arial" w:cs="Arial" w:eastAsia="Arial" w:hAnsi="Arial"/>
                <w:sz w:val="10"/>
                <w:szCs w:val="10"/>
                <w:b w:val="1"/>
                <w:bCs w:val="1"/>
                <w:color w:val="auto"/>
                <w:w w:val="95"/>
              </w:rPr>
              <w:t>per Share</w:t>
            </w:r>
          </w:p>
        </w:tc>
        <w:tc>
          <w:tcPr>
            <w:tcW w:w="1460" w:type="dxa"/>
            <w:vAlign w:val="bottom"/>
            <w:tcBorders>
              <w:bottom w:val="single" w:sz="8" w:color="DC202E"/>
            </w:tcBorders>
          </w:tcPr>
          <w:p>
            <w:pPr>
              <w:jc w:val="center"/>
              <w:ind w:right="232"/>
              <w:spacing w:after="0"/>
              <w:rPr>
                <w:sz w:val="20"/>
                <w:szCs w:val="20"/>
                <w:color w:val="auto"/>
              </w:rPr>
            </w:pPr>
            <w:r>
              <w:rPr>
                <w:rFonts w:ascii="Arial" w:cs="Arial" w:eastAsia="Arial" w:hAnsi="Arial"/>
                <w:sz w:val="10"/>
                <w:szCs w:val="10"/>
                <w:b w:val="1"/>
                <w:bCs w:val="1"/>
                <w:color w:val="auto"/>
                <w:w w:val="97"/>
              </w:rPr>
              <w:t>or Programs</w:t>
            </w:r>
          </w:p>
        </w:tc>
        <w:tc>
          <w:tcPr>
            <w:tcW w:w="1360" w:type="dxa"/>
            <w:vAlign w:val="bottom"/>
            <w:tcBorders>
              <w:bottom w:val="single" w:sz="8" w:color="DC202E"/>
            </w:tcBorders>
          </w:tcPr>
          <w:p>
            <w:pPr>
              <w:jc w:val="center"/>
              <w:ind w:left="212"/>
              <w:spacing w:after="0"/>
              <w:rPr>
                <w:sz w:val="20"/>
                <w:szCs w:val="20"/>
                <w:color w:val="auto"/>
              </w:rPr>
            </w:pPr>
            <w:r>
              <w:rPr>
                <w:rFonts w:ascii="Arial" w:cs="Arial" w:eastAsia="Arial" w:hAnsi="Arial"/>
                <w:sz w:val="10"/>
                <w:szCs w:val="10"/>
                <w:b w:val="1"/>
                <w:bCs w:val="1"/>
                <w:color w:val="auto"/>
                <w:w w:val="96"/>
              </w:rPr>
              <w:t>(Dollars in millions)</w:t>
            </w:r>
          </w:p>
        </w:tc>
        <w:tc>
          <w:tcPr>
            <w:tcW w:w="34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October 1 - 31, 2021</w:t>
            </w:r>
          </w:p>
        </w:tc>
        <w:tc>
          <w:tcPr>
            <w:tcW w:w="3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189,536</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213.76</w:t>
            </w:r>
          </w:p>
        </w:tc>
        <w:tc>
          <w:tcPr>
            <w:tcW w:w="1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189,536</w:t>
            </w:r>
          </w:p>
        </w:tc>
        <w:tc>
          <w:tcPr>
            <w:tcW w:w="1360" w:type="dxa"/>
            <w:vAlign w:val="bottom"/>
            <w:tcBorders>
              <w:bottom w:val="single" w:sz="8" w:color="939598"/>
            </w:tcBorders>
          </w:tcPr>
          <w:p>
            <w:pPr>
              <w:jc w:val="right"/>
              <w:ind w:right="11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7,946</w:t>
            </w:r>
          </w:p>
        </w:tc>
        <w:tc>
          <w:tcPr>
            <w:tcW w:w="0" w:type="dxa"/>
            <w:vAlign w:val="bottom"/>
          </w:tcPr>
          <w:p>
            <w:pPr>
              <w:spacing w:after="0"/>
              <w:rPr>
                <w:sz w:val="1"/>
                <w:szCs w:val="1"/>
                <w:color w:val="auto"/>
              </w:rPr>
            </w:pPr>
          </w:p>
        </w:tc>
      </w:tr>
      <w:tr>
        <w:trPr>
          <w:trHeight w:val="115"/>
        </w:trPr>
        <w:tc>
          <w:tcPr>
            <w:tcW w:w="35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November 1 - 30, 2021</w:t>
            </w:r>
          </w:p>
        </w:tc>
        <w:tc>
          <w:tcPr>
            <w:tcW w:w="3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w:t>
            </w:r>
          </w:p>
        </w:tc>
        <w:tc>
          <w:tcPr>
            <w:tcW w:w="1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1360" w:type="dxa"/>
            <w:vAlign w:val="bottom"/>
            <w:tcBorders>
              <w:bottom w:val="single" w:sz="8" w:color="939598"/>
            </w:tcBorders>
          </w:tcPr>
          <w:p>
            <w:pPr>
              <w:jc w:val="right"/>
              <w:ind w:right="11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7,946</w:t>
            </w:r>
          </w:p>
        </w:tc>
        <w:tc>
          <w:tcPr>
            <w:tcW w:w="0" w:type="dxa"/>
            <w:vAlign w:val="bottom"/>
          </w:tcPr>
          <w:p>
            <w:pPr>
              <w:spacing w:after="0"/>
              <w:rPr>
                <w:sz w:val="1"/>
                <w:szCs w:val="1"/>
                <w:color w:val="auto"/>
              </w:rPr>
            </w:pPr>
          </w:p>
        </w:tc>
      </w:tr>
      <w:tr>
        <w:trPr>
          <w:trHeight w:val="115"/>
        </w:trPr>
        <w:tc>
          <w:tcPr>
            <w:tcW w:w="35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December 1 - 31, 2021</w:t>
            </w:r>
          </w:p>
        </w:tc>
        <w:tc>
          <w:tcPr>
            <w:tcW w:w="3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4,066,608</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206.51</w:t>
            </w:r>
          </w:p>
        </w:tc>
        <w:tc>
          <w:tcPr>
            <w:tcW w:w="1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4,066,608</w:t>
            </w:r>
          </w:p>
        </w:tc>
        <w:tc>
          <w:tcPr>
            <w:tcW w:w="1360" w:type="dxa"/>
            <w:vAlign w:val="bottom"/>
            <w:tcBorders>
              <w:bottom w:val="single" w:sz="8" w:color="DC202E"/>
            </w:tcBorders>
          </w:tcPr>
          <w:p>
            <w:pPr>
              <w:jc w:val="right"/>
              <w:ind w:right="11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7,106</w:t>
            </w:r>
          </w:p>
        </w:tc>
        <w:tc>
          <w:tcPr>
            <w:tcW w:w="0" w:type="dxa"/>
            <w:vAlign w:val="bottom"/>
          </w:tcPr>
          <w:p>
            <w:pPr>
              <w:spacing w:after="0"/>
              <w:rPr>
                <w:sz w:val="1"/>
                <w:szCs w:val="1"/>
                <w:color w:val="auto"/>
              </w:rPr>
            </w:pPr>
          </w:p>
        </w:tc>
      </w:tr>
      <w:tr>
        <w:trPr>
          <w:trHeight w:val="475"/>
        </w:trPr>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51</w:t>
            </w:r>
          </w:p>
        </w:tc>
        <w:tc>
          <w:tcPr>
            <w:tcW w:w="0" w:type="dxa"/>
            <w:vAlign w:val="bottom"/>
          </w:tcPr>
          <w:p>
            <w:pPr>
              <w:spacing w:after="0"/>
              <w:rPr>
                <w:sz w:val="1"/>
                <w:szCs w:val="1"/>
                <w:color w:val="auto"/>
              </w:rPr>
            </w:pPr>
          </w:p>
        </w:tc>
      </w:tr>
      <w:tr>
        <w:trPr>
          <w:trHeight w:val="144"/>
        </w:trPr>
        <w:tc>
          <w:tcPr>
            <w:tcW w:w="3500" w:type="dxa"/>
            <w:vAlign w:val="bottom"/>
            <w:tcBorders>
              <w:bottom w:val="single" w:sz="8" w:color="9A9A9A"/>
            </w:tcBorders>
          </w:tcPr>
          <w:p>
            <w:pPr>
              <w:spacing w:after="0"/>
              <w:rPr>
                <w:sz w:val="12"/>
                <w:szCs w:val="12"/>
                <w:color w:val="auto"/>
              </w:rPr>
            </w:pPr>
          </w:p>
        </w:tc>
        <w:tc>
          <w:tcPr>
            <w:tcW w:w="34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53" w:name="page54"/>
    <w:bookmarkEnd w:id="53"/>
    <w:p>
      <w:pPr>
        <w:spacing w:after="0"/>
        <w:rPr>
          <w:sz w:val="20"/>
          <w:szCs w:val="20"/>
          <w:color w:val="auto"/>
        </w:rPr>
      </w:pPr>
      <w:r>
        <w:rPr>
          <w:rFonts w:ascii="Arial" w:cs="Arial" w:eastAsia="Arial" w:hAnsi="Arial"/>
          <w:sz w:val="8"/>
          <w:szCs w:val="8"/>
          <w:color w:val="D7282F"/>
        </w:rPr>
        <w:t>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D7282F"/>
        </w:rPr>
        <w:t>PERFORMANCE GRAPH</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The following graph compares the five-year cumulative total return on our common stock to the total returns on the S&amp;P 500 Stock Index, composite of S&amp;P’s Industrial Conglomerates and Aerospace and Defense indices, on a 55%/45% weighted basis (the Composite Index) and Nasdaq Industrial Select Sector (XLI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was invested in Honeywell stock and each index on December 31, 2016 and that all dividends were reinvested.</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52070</wp:posOffset>
            </wp:positionV>
            <wp:extent cx="3143250" cy="14287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143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Borders>
              <w:bottom w:val="single" w:sz="8" w:color="DC202E"/>
            </w:tcBorders>
          </w:tcPr>
          <w:p>
            <w:pPr>
              <w:spacing w:after="0"/>
              <w:rPr>
                <w:sz w:val="10"/>
                <w:szCs w:val="10"/>
                <w:color w:val="auto"/>
              </w:rPr>
            </w:pPr>
          </w:p>
        </w:tc>
        <w:tc>
          <w:tcPr>
            <w:tcW w:w="3680" w:type="dxa"/>
            <w:vAlign w:val="bottom"/>
            <w:tcBorders>
              <w:bottom w:val="single" w:sz="8" w:color="DC202E"/>
            </w:tcBorders>
          </w:tcPr>
          <w:p>
            <w:pPr>
              <w:ind w:left="3100"/>
              <w:spacing w:after="0"/>
              <w:rPr>
                <w:sz w:val="20"/>
                <w:szCs w:val="20"/>
                <w:color w:val="auto"/>
              </w:rPr>
            </w:pPr>
            <w:r>
              <w:rPr>
                <w:rFonts w:ascii="Arial" w:cs="Arial" w:eastAsia="Arial" w:hAnsi="Arial"/>
                <w:sz w:val="10"/>
                <w:szCs w:val="10"/>
                <w:b w:val="1"/>
                <w:bCs w:val="1"/>
                <w:color w:val="auto"/>
              </w:rPr>
              <w:t>Dec. 2016</w:t>
            </w:r>
          </w:p>
        </w:tc>
        <w:tc>
          <w:tcPr>
            <w:tcW w:w="540" w:type="dxa"/>
            <w:vAlign w:val="bottom"/>
            <w:tcBorders>
              <w:bottom w:val="single" w:sz="8" w:color="DC202E"/>
            </w:tcBorders>
          </w:tcPr>
          <w:p>
            <w:pPr>
              <w:spacing w:after="0"/>
              <w:rPr>
                <w:sz w:val="10"/>
                <w:szCs w:val="10"/>
                <w:color w:val="auto"/>
              </w:rPr>
            </w:pPr>
          </w:p>
        </w:tc>
        <w:tc>
          <w:tcPr>
            <w:tcW w:w="1400" w:type="dxa"/>
            <w:vAlign w:val="bottom"/>
            <w:tcBorders>
              <w:bottom w:val="single" w:sz="8" w:color="DC202E"/>
            </w:tcBorders>
          </w:tcPr>
          <w:p>
            <w:pPr>
              <w:jc w:val="right"/>
              <w:ind w:right="632"/>
              <w:spacing w:after="0"/>
              <w:rPr>
                <w:sz w:val="20"/>
                <w:szCs w:val="20"/>
                <w:color w:val="auto"/>
              </w:rPr>
            </w:pPr>
            <w:r>
              <w:rPr>
                <w:rFonts w:ascii="Arial" w:cs="Arial" w:eastAsia="Arial" w:hAnsi="Arial"/>
                <w:sz w:val="10"/>
                <w:szCs w:val="10"/>
                <w:b w:val="1"/>
                <w:bCs w:val="1"/>
                <w:color w:val="auto"/>
              </w:rPr>
              <w:t>Dec. 2017</w:t>
            </w:r>
          </w:p>
        </w:tc>
        <w:tc>
          <w:tcPr>
            <w:tcW w:w="1400" w:type="dxa"/>
            <w:vAlign w:val="bottom"/>
            <w:tcBorders>
              <w:bottom w:val="single" w:sz="8" w:color="DC202E"/>
            </w:tcBorders>
          </w:tcPr>
          <w:p>
            <w:pPr>
              <w:jc w:val="right"/>
              <w:ind w:right="652"/>
              <w:spacing w:after="0"/>
              <w:rPr>
                <w:sz w:val="20"/>
                <w:szCs w:val="20"/>
                <w:color w:val="auto"/>
              </w:rPr>
            </w:pPr>
            <w:r>
              <w:rPr>
                <w:rFonts w:ascii="Arial" w:cs="Arial" w:eastAsia="Arial" w:hAnsi="Arial"/>
                <w:sz w:val="10"/>
                <w:szCs w:val="10"/>
                <w:b w:val="1"/>
                <w:bCs w:val="1"/>
                <w:color w:val="auto"/>
              </w:rPr>
              <w:t>Dec. 2018</w:t>
            </w:r>
          </w:p>
        </w:tc>
        <w:tc>
          <w:tcPr>
            <w:tcW w:w="760" w:type="dxa"/>
            <w:vAlign w:val="bottom"/>
            <w:tcBorders>
              <w:bottom w:val="single" w:sz="8" w:color="DC202E"/>
            </w:tcBorders>
          </w:tcPr>
          <w:p>
            <w:pPr>
              <w:ind w:left="260"/>
              <w:spacing w:after="0"/>
              <w:rPr>
                <w:sz w:val="20"/>
                <w:szCs w:val="20"/>
                <w:color w:val="auto"/>
              </w:rPr>
            </w:pPr>
            <w:r>
              <w:rPr>
                <w:rFonts w:ascii="Arial" w:cs="Arial" w:eastAsia="Arial" w:hAnsi="Arial"/>
                <w:sz w:val="10"/>
                <w:szCs w:val="10"/>
                <w:b w:val="1"/>
                <w:bCs w:val="1"/>
                <w:color w:val="auto"/>
              </w:rPr>
              <w:t>Dec. 2019</w:t>
            </w:r>
          </w:p>
        </w:tc>
        <w:tc>
          <w:tcPr>
            <w:tcW w:w="14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Dec. 2020</w:t>
            </w:r>
          </w:p>
        </w:tc>
        <w:tc>
          <w:tcPr>
            <w:tcW w:w="640" w:type="dxa"/>
            <w:vAlign w:val="bottom"/>
            <w:tcBorders>
              <w:bottom w:val="single" w:sz="8" w:color="DC202E"/>
            </w:tcBorders>
          </w:tcPr>
          <w:p>
            <w:pPr>
              <w:spacing w:after="0"/>
              <w:rPr>
                <w:sz w:val="10"/>
                <w:szCs w:val="10"/>
                <w:color w:val="auto"/>
              </w:rPr>
            </w:pPr>
          </w:p>
        </w:tc>
        <w:tc>
          <w:tcPr>
            <w:tcW w:w="118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Dec. 2021</w:t>
            </w:r>
          </w:p>
        </w:tc>
      </w:tr>
      <w:tr>
        <w:trPr>
          <w:trHeight w:val="115"/>
        </w:trPr>
        <w:tc>
          <w:tcPr>
            <w:tcW w:w="300" w:type="dxa"/>
            <w:vAlign w:val="bottom"/>
            <w:tcBorders>
              <w:bottom w:val="single" w:sz="8" w:color="939598"/>
            </w:tcBorders>
          </w:tcPr>
          <w:p>
            <w:pPr>
              <w:spacing w:after="0"/>
              <w:rPr>
                <w:sz w:val="10"/>
                <w:szCs w:val="10"/>
                <w:color w:val="auto"/>
              </w:rPr>
            </w:pPr>
          </w:p>
        </w:tc>
        <w:tc>
          <w:tcPr>
            <w:tcW w:w="3680" w:type="dxa"/>
            <w:vAlign w:val="bottom"/>
            <w:tcBorders>
              <w:bottom w:val="single" w:sz="8" w:color="939598"/>
            </w:tcBorders>
          </w:tcPr>
          <w:p>
            <w:pPr>
              <w:ind w:left="380"/>
              <w:spacing w:after="0"/>
              <w:rPr>
                <w:sz w:val="20"/>
                <w:szCs w:val="20"/>
                <w:color w:val="auto"/>
              </w:rPr>
            </w:pPr>
            <w:r>
              <w:rPr>
                <w:rFonts w:ascii="Arial" w:cs="Arial" w:eastAsia="Arial" w:hAnsi="Arial"/>
                <w:sz w:val="10"/>
                <w:szCs w:val="10"/>
                <w:color w:val="auto"/>
              </w:rPr>
              <w:t>Honeywell</w:t>
            </w:r>
          </w:p>
        </w:tc>
        <w:tc>
          <w:tcPr>
            <w:tcW w:w="54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135.10</w:t>
            </w:r>
          </w:p>
        </w:tc>
        <w:tc>
          <w:tcPr>
            <w:tcW w:w="140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123.99</w:t>
            </w:r>
          </w:p>
        </w:tc>
        <w:tc>
          <w:tcPr>
            <w:tcW w:w="76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jc w:val="right"/>
              <w:ind w:right="972"/>
              <w:spacing w:after="0"/>
              <w:rPr>
                <w:sz w:val="20"/>
                <w:szCs w:val="20"/>
                <w:color w:val="auto"/>
              </w:rPr>
            </w:pPr>
            <w:r>
              <w:rPr>
                <w:rFonts w:ascii="Arial" w:cs="Arial" w:eastAsia="Arial" w:hAnsi="Arial"/>
                <w:sz w:val="10"/>
                <w:szCs w:val="10"/>
                <w:color w:val="auto"/>
              </w:rPr>
              <w:t>169.49</w:t>
            </w:r>
          </w:p>
        </w:tc>
        <w:tc>
          <w:tcPr>
            <w:tcW w:w="64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208.43</w:t>
            </w:r>
          </w:p>
        </w:tc>
        <w:tc>
          <w:tcPr>
            <w:tcW w:w="1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207.82</w:t>
            </w:r>
          </w:p>
        </w:tc>
      </w:tr>
      <w:tr>
        <w:trPr>
          <w:trHeight w:val="115"/>
        </w:trPr>
        <w:tc>
          <w:tcPr>
            <w:tcW w:w="300" w:type="dxa"/>
            <w:vAlign w:val="bottom"/>
            <w:tcBorders>
              <w:bottom w:val="single" w:sz="8" w:color="939598"/>
            </w:tcBorders>
          </w:tcPr>
          <w:p>
            <w:pPr>
              <w:spacing w:after="0"/>
              <w:rPr>
                <w:sz w:val="10"/>
                <w:szCs w:val="10"/>
                <w:color w:val="auto"/>
              </w:rPr>
            </w:pPr>
          </w:p>
        </w:tc>
        <w:tc>
          <w:tcPr>
            <w:tcW w:w="3680" w:type="dxa"/>
            <w:vAlign w:val="bottom"/>
            <w:tcBorders>
              <w:bottom w:val="single" w:sz="8" w:color="939598"/>
            </w:tcBorders>
          </w:tcPr>
          <w:p>
            <w:pPr>
              <w:ind w:left="380"/>
              <w:spacing w:after="0"/>
              <w:rPr>
                <w:sz w:val="20"/>
                <w:szCs w:val="20"/>
                <w:color w:val="auto"/>
              </w:rPr>
            </w:pPr>
            <w:r>
              <w:rPr>
                <w:rFonts w:ascii="Arial" w:cs="Arial" w:eastAsia="Arial" w:hAnsi="Arial"/>
                <w:sz w:val="10"/>
                <w:szCs w:val="10"/>
                <w:color w:val="auto"/>
              </w:rPr>
              <w:t>S&amp;P 500 Index</w:t>
            </w:r>
          </w:p>
        </w:tc>
        <w:tc>
          <w:tcPr>
            <w:tcW w:w="54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121.83</w:t>
            </w:r>
          </w:p>
        </w:tc>
        <w:tc>
          <w:tcPr>
            <w:tcW w:w="140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116.49</w:t>
            </w:r>
          </w:p>
        </w:tc>
        <w:tc>
          <w:tcPr>
            <w:tcW w:w="76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jc w:val="right"/>
              <w:ind w:right="972"/>
              <w:spacing w:after="0"/>
              <w:rPr>
                <w:sz w:val="20"/>
                <w:szCs w:val="20"/>
                <w:color w:val="auto"/>
              </w:rPr>
            </w:pPr>
            <w:r>
              <w:rPr>
                <w:rFonts w:ascii="Arial" w:cs="Arial" w:eastAsia="Arial" w:hAnsi="Arial"/>
                <w:sz w:val="10"/>
                <w:szCs w:val="10"/>
                <w:color w:val="auto"/>
              </w:rPr>
              <w:t>153.17</w:t>
            </w:r>
          </w:p>
        </w:tc>
        <w:tc>
          <w:tcPr>
            <w:tcW w:w="64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181.35</w:t>
            </w:r>
          </w:p>
        </w:tc>
        <w:tc>
          <w:tcPr>
            <w:tcW w:w="1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233.41</w:t>
            </w:r>
          </w:p>
        </w:tc>
      </w:tr>
      <w:tr>
        <w:trPr>
          <w:trHeight w:val="115"/>
        </w:trPr>
        <w:tc>
          <w:tcPr>
            <w:tcW w:w="300" w:type="dxa"/>
            <w:vAlign w:val="bottom"/>
            <w:tcBorders>
              <w:bottom w:val="single" w:sz="8" w:color="939598"/>
            </w:tcBorders>
          </w:tcPr>
          <w:p>
            <w:pPr>
              <w:spacing w:after="0"/>
              <w:rPr>
                <w:sz w:val="10"/>
                <w:szCs w:val="10"/>
                <w:color w:val="auto"/>
              </w:rPr>
            </w:pPr>
          </w:p>
        </w:tc>
        <w:tc>
          <w:tcPr>
            <w:tcW w:w="3680" w:type="dxa"/>
            <w:vAlign w:val="bottom"/>
            <w:tcBorders>
              <w:bottom w:val="single" w:sz="8" w:color="939598"/>
            </w:tcBorders>
          </w:tcPr>
          <w:p>
            <w:pPr>
              <w:ind w:left="380"/>
              <w:spacing w:after="0"/>
              <w:rPr>
                <w:sz w:val="20"/>
                <w:szCs w:val="20"/>
                <w:color w:val="auto"/>
              </w:rPr>
            </w:pPr>
            <w:r>
              <w:rPr>
                <w:rFonts w:ascii="Arial" w:cs="Arial" w:eastAsia="Arial" w:hAnsi="Arial"/>
                <w:sz w:val="10"/>
                <w:szCs w:val="10"/>
                <w:color w:val="auto"/>
              </w:rPr>
              <w:t>Composite Index</w:t>
            </w:r>
          </w:p>
        </w:tc>
        <w:tc>
          <w:tcPr>
            <w:tcW w:w="54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113.96</w:t>
            </w:r>
          </w:p>
        </w:tc>
        <w:tc>
          <w:tcPr>
            <w:tcW w:w="140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92.97</w:t>
            </w:r>
          </w:p>
        </w:tc>
        <w:tc>
          <w:tcPr>
            <w:tcW w:w="760" w:type="dxa"/>
            <w:vAlign w:val="bottom"/>
            <w:tcBorders>
              <w:bottom w:val="single" w:sz="8" w:color="939598"/>
            </w:tcBorders>
          </w:tcPr>
          <w:p>
            <w:pPr>
              <w:spacing w:after="0"/>
              <w:rPr>
                <w:sz w:val="10"/>
                <w:szCs w:val="10"/>
                <w:color w:val="auto"/>
              </w:rPr>
            </w:pPr>
          </w:p>
        </w:tc>
        <w:tc>
          <w:tcPr>
            <w:tcW w:w="1400" w:type="dxa"/>
            <w:vAlign w:val="bottom"/>
            <w:tcBorders>
              <w:bottom w:val="single" w:sz="8" w:color="939598"/>
            </w:tcBorders>
          </w:tcPr>
          <w:p>
            <w:pPr>
              <w:jc w:val="right"/>
              <w:ind w:right="972"/>
              <w:spacing w:after="0"/>
              <w:rPr>
                <w:sz w:val="20"/>
                <w:szCs w:val="20"/>
                <w:color w:val="auto"/>
              </w:rPr>
            </w:pPr>
            <w:r>
              <w:rPr>
                <w:rFonts w:ascii="Arial" w:cs="Arial" w:eastAsia="Arial" w:hAnsi="Arial"/>
                <w:sz w:val="10"/>
                <w:szCs w:val="10"/>
                <w:color w:val="auto"/>
              </w:rPr>
              <w:t>118.5</w:t>
            </w:r>
          </w:p>
        </w:tc>
        <w:tc>
          <w:tcPr>
            <w:tcW w:w="64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116.63</w:t>
            </w:r>
          </w:p>
        </w:tc>
        <w:tc>
          <w:tcPr>
            <w:tcW w:w="1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126.92</w:t>
            </w:r>
          </w:p>
        </w:tc>
      </w:tr>
      <w:tr>
        <w:trPr>
          <w:trHeight w:val="115"/>
        </w:trPr>
        <w:tc>
          <w:tcPr>
            <w:tcW w:w="300" w:type="dxa"/>
            <w:vAlign w:val="bottom"/>
            <w:tcBorders>
              <w:bottom w:val="single" w:sz="8" w:color="DC202E"/>
            </w:tcBorders>
          </w:tcPr>
          <w:p>
            <w:pPr>
              <w:spacing w:after="0"/>
              <w:rPr>
                <w:sz w:val="10"/>
                <w:szCs w:val="10"/>
                <w:color w:val="auto"/>
              </w:rPr>
            </w:pPr>
          </w:p>
        </w:tc>
        <w:tc>
          <w:tcPr>
            <w:tcW w:w="3680" w:type="dxa"/>
            <w:vAlign w:val="bottom"/>
            <w:tcBorders>
              <w:bottom w:val="single" w:sz="8" w:color="DC202E"/>
            </w:tcBorders>
          </w:tcPr>
          <w:p>
            <w:pPr>
              <w:ind w:left="380"/>
              <w:spacing w:after="0"/>
              <w:rPr>
                <w:sz w:val="20"/>
                <w:szCs w:val="20"/>
                <w:color w:val="auto"/>
              </w:rPr>
            </w:pPr>
            <w:r>
              <w:rPr>
                <w:rFonts w:ascii="Arial" w:cs="Arial" w:eastAsia="Arial" w:hAnsi="Arial"/>
                <w:sz w:val="10"/>
                <w:szCs w:val="10"/>
                <w:color w:val="auto"/>
              </w:rPr>
              <w:t>XLI Composite Index</w:t>
            </w:r>
          </w:p>
        </w:tc>
        <w:tc>
          <w:tcPr>
            <w:tcW w:w="54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100</w:t>
            </w:r>
          </w:p>
        </w:tc>
        <w:tc>
          <w:tcPr>
            <w:tcW w:w="140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123.98</w:t>
            </w:r>
          </w:p>
        </w:tc>
        <w:tc>
          <w:tcPr>
            <w:tcW w:w="140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107.55</w:t>
            </w:r>
          </w:p>
        </w:tc>
        <w:tc>
          <w:tcPr>
            <w:tcW w:w="760" w:type="dxa"/>
            <w:vAlign w:val="bottom"/>
            <w:tcBorders>
              <w:bottom w:val="single" w:sz="8" w:color="DC202E"/>
            </w:tcBorders>
          </w:tcPr>
          <w:p>
            <w:pPr>
              <w:spacing w:after="0"/>
              <w:rPr>
                <w:sz w:val="10"/>
                <w:szCs w:val="10"/>
                <w:color w:val="auto"/>
              </w:rPr>
            </w:pPr>
          </w:p>
        </w:tc>
        <w:tc>
          <w:tcPr>
            <w:tcW w:w="1400" w:type="dxa"/>
            <w:vAlign w:val="bottom"/>
            <w:tcBorders>
              <w:bottom w:val="single" w:sz="8" w:color="DC202E"/>
            </w:tcBorders>
          </w:tcPr>
          <w:p>
            <w:pPr>
              <w:jc w:val="right"/>
              <w:ind w:right="972"/>
              <w:spacing w:after="0"/>
              <w:rPr>
                <w:sz w:val="20"/>
                <w:szCs w:val="20"/>
                <w:color w:val="auto"/>
              </w:rPr>
            </w:pPr>
            <w:r>
              <w:rPr>
                <w:rFonts w:ascii="Arial" w:cs="Arial" w:eastAsia="Arial" w:hAnsi="Arial"/>
                <w:sz w:val="10"/>
                <w:szCs w:val="10"/>
                <w:color w:val="auto"/>
              </w:rPr>
              <w:t>138.84</w:t>
            </w:r>
          </w:p>
        </w:tc>
        <w:tc>
          <w:tcPr>
            <w:tcW w:w="64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153.98</w:t>
            </w:r>
          </w:p>
        </w:tc>
        <w:tc>
          <w:tcPr>
            <w:tcW w:w="11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186.44</w:t>
            </w:r>
          </w:p>
        </w:tc>
      </w:tr>
      <w:tr>
        <w:trPr>
          <w:trHeight w:val="484"/>
        </w:trPr>
        <w:tc>
          <w:tcPr>
            <w:tcW w:w="300" w:type="dxa"/>
            <w:vAlign w:val="bottom"/>
          </w:tcPr>
          <w:p>
            <w:pPr>
              <w:jc w:val="right"/>
              <w:ind w:right="120"/>
              <w:spacing w:after="0"/>
              <w:rPr>
                <w:sz w:val="20"/>
                <w:szCs w:val="20"/>
                <w:color w:val="auto"/>
              </w:rPr>
            </w:pPr>
            <w:r>
              <w:rPr>
                <w:rFonts w:ascii="Arial" w:cs="Arial" w:eastAsia="Arial" w:hAnsi="Arial"/>
                <w:sz w:val="12"/>
                <w:szCs w:val="12"/>
                <w:b w:val="1"/>
                <w:bCs w:val="1"/>
                <w:color w:val="D7282F"/>
                <w:w w:val="74"/>
              </w:rPr>
              <w:t>52</w:t>
            </w:r>
          </w:p>
        </w:tc>
        <w:tc>
          <w:tcPr>
            <w:tcW w:w="3680" w:type="dxa"/>
            <w:vAlign w:val="bottom"/>
          </w:tcPr>
          <w:p>
            <w:pPr>
              <w:ind w:left="160"/>
              <w:spacing w:after="0"/>
              <w:rPr>
                <w:sz w:val="20"/>
                <w:szCs w:val="20"/>
                <w:color w:val="auto"/>
              </w:rPr>
            </w:pPr>
            <w:r>
              <w:rPr>
                <w:rFonts w:ascii="Arial" w:cs="Arial" w:eastAsia="Arial" w:hAnsi="Arial"/>
                <w:sz w:val="10"/>
                <w:szCs w:val="10"/>
                <w:color w:val="auto"/>
              </w:rPr>
              <w:t>Honeywell International Inc.</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44"/>
        </w:trPr>
        <w:tc>
          <w:tcPr>
            <w:tcW w:w="300" w:type="dxa"/>
            <w:vAlign w:val="bottom"/>
            <w:tcBorders>
              <w:bottom w:val="single" w:sz="8" w:color="9A9A9A"/>
            </w:tcBorders>
          </w:tcPr>
          <w:p>
            <w:pPr>
              <w:spacing w:after="0"/>
              <w:rPr>
                <w:sz w:val="12"/>
                <w:szCs w:val="12"/>
                <w:color w:val="auto"/>
              </w:rPr>
            </w:pPr>
          </w:p>
        </w:tc>
        <w:tc>
          <w:tcPr>
            <w:tcW w:w="3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-753745</wp:posOffset>
            </wp:positionV>
            <wp:extent cx="102870" cy="28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-668020</wp:posOffset>
            </wp:positionV>
            <wp:extent cx="102870" cy="28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-582295</wp:posOffset>
            </wp:positionV>
            <wp:extent cx="102870" cy="285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-490855</wp:posOffset>
            </wp:positionV>
            <wp:extent cx="1028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02870" cy="17145"/>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54" w:name="page55"/>
    <w:bookmarkEnd w:id="54"/>
    <w:p>
      <w:pPr>
        <w:spacing w:after="0"/>
        <w:rPr>
          <w:sz w:val="20"/>
          <w:szCs w:val="20"/>
          <w:color w:val="auto"/>
        </w:rPr>
      </w:pPr>
      <w:r>
        <w:rPr>
          <w:rFonts w:ascii="Arial" w:cs="Arial" w:eastAsia="Arial" w:hAnsi="Arial"/>
          <w:sz w:val="24"/>
          <w:szCs w:val="24"/>
          <w:b w:val="1"/>
          <w:bCs w:val="1"/>
          <w:color w:val="auto"/>
        </w:rPr>
        <w:t>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AND SUPPLEMENTARY DATA</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80" w:type="dxa"/>
            <w:vAlign w:val="bottom"/>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1380" w:type="dxa"/>
            <w:vAlign w:val="bottom"/>
            <w:tcBorders>
              <w:bottom w:val="single" w:sz="8" w:color="DC202E"/>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C202E"/>
            </w:tcBorders>
          </w:tcPr>
          <w:p>
            <w:pPr>
              <w:spacing w:after="0"/>
              <w:rPr>
                <w:sz w:val="10"/>
                <w:szCs w:val="10"/>
                <w:color w:val="auto"/>
              </w:rPr>
            </w:pPr>
          </w:p>
        </w:tc>
      </w:tr>
      <w:tr>
        <w:trPr>
          <w:trHeight w:val="151"/>
        </w:trPr>
        <w:tc>
          <w:tcPr>
            <w:tcW w:w="8580" w:type="dxa"/>
            <w:vAlign w:val="bottom"/>
          </w:tcPr>
          <w:p>
            <w:pPr>
              <w:spacing w:after="0"/>
              <w:rPr>
                <w:sz w:val="13"/>
                <w:szCs w:val="13"/>
                <w:color w:val="auto"/>
              </w:rPr>
            </w:pPr>
          </w:p>
        </w:tc>
        <w:tc>
          <w:tcPr>
            <w:tcW w:w="160" w:type="dxa"/>
            <w:vAlign w:val="bottom"/>
            <w:tcBorders>
              <w:bottom w:val="single" w:sz="8" w:color="DC202E"/>
            </w:tcBorders>
          </w:tcPr>
          <w:p>
            <w:pPr>
              <w:spacing w:after="0"/>
              <w:rPr>
                <w:sz w:val="13"/>
                <w:szCs w:val="13"/>
                <w:color w:val="auto"/>
              </w:rPr>
            </w:pPr>
          </w:p>
        </w:tc>
        <w:tc>
          <w:tcPr>
            <w:tcW w:w="58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jc w:val="center"/>
              <w:ind w:right="272"/>
              <w:spacing w:after="0"/>
              <w:rPr>
                <w:sz w:val="20"/>
                <w:szCs w:val="20"/>
                <w:color w:val="auto"/>
              </w:rPr>
            </w:pPr>
            <w:r>
              <w:rPr>
                <w:rFonts w:ascii="Arial" w:cs="Arial" w:eastAsia="Arial" w:hAnsi="Arial"/>
                <w:sz w:val="10"/>
                <w:szCs w:val="10"/>
                <w:b w:val="1"/>
                <w:bCs w:val="1"/>
                <w:color w:val="auto"/>
                <w:w w:val="98"/>
              </w:rPr>
              <w:t>2020</w:t>
            </w:r>
          </w:p>
        </w:tc>
        <w:tc>
          <w:tcPr>
            <w:tcW w:w="24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2019</w:t>
            </w:r>
          </w:p>
        </w:tc>
      </w:tr>
      <w:tr>
        <w:trPr>
          <w:trHeight w:val="88"/>
        </w:trPr>
        <w:tc>
          <w:tcPr>
            <w:tcW w:w="8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gridSpan w:val="2"/>
          </w:tcPr>
          <w:p>
            <w:pPr>
              <w:jc w:val="center"/>
              <w:ind w:left="52"/>
              <w:spacing w:after="0" w:line="88" w:lineRule="exact"/>
              <w:rPr>
                <w:sz w:val="20"/>
                <w:szCs w:val="20"/>
                <w:color w:val="auto"/>
              </w:rPr>
            </w:pPr>
            <w:r>
              <w:rPr>
                <w:rFonts w:ascii="Arial" w:cs="Arial" w:eastAsia="Arial" w:hAnsi="Arial"/>
                <w:sz w:val="10"/>
                <w:szCs w:val="10"/>
                <w:b w:val="1"/>
                <w:bCs w:val="1"/>
                <w:color w:val="auto"/>
                <w:w w:val="95"/>
              </w:rPr>
              <w:t>(Dollars in millions,</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117"/>
        </w:trPr>
        <w:tc>
          <w:tcPr>
            <w:tcW w:w="85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1380" w:type="dxa"/>
            <w:vAlign w:val="bottom"/>
            <w:tcBorders>
              <w:bottom w:val="single" w:sz="8" w:color="DC202E"/>
            </w:tcBorders>
            <w:gridSpan w:val="3"/>
          </w:tcPr>
          <w:p>
            <w:pPr>
              <w:jc w:val="center"/>
              <w:ind w:right="112"/>
              <w:spacing w:after="0"/>
              <w:rPr>
                <w:sz w:val="20"/>
                <w:szCs w:val="20"/>
                <w:color w:val="auto"/>
              </w:rPr>
            </w:pPr>
            <w:r>
              <w:rPr>
                <w:rFonts w:ascii="Arial" w:cs="Arial" w:eastAsia="Arial" w:hAnsi="Arial"/>
                <w:sz w:val="10"/>
                <w:szCs w:val="10"/>
                <w:b w:val="1"/>
                <w:bCs w:val="1"/>
                <w:color w:val="auto"/>
                <w:w w:val="95"/>
              </w:rPr>
              <w:t>except per share amounts)</w:t>
            </w:r>
          </w:p>
        </w:tc>
        <w:tc>
          <w:tcPr>
            <w:tcW w:w="600" w:type="dxa"/>
            <w:vAlign w:val="bottom"/>
            <w:tcBorders>
              <w:bottom w:val="single" w:sz="8" w:color="DC202E"/>
            </w:tcBorders>
          </w:tcPr>
          <w:p>
            <w:pPr>
              <w:spacing w:after="0"/>
              <w:rPr>
                <w:sz w:val="10"/>
                <w:szCs w:val="10"/>
                <w:color w:val="auto"/>
              </w:rPr>
            </w:pP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Product sales</w:t>
            </w:r>
          </w:p>
        </w:tc>
        <w:tc>
          <w:tcPr>
            <w:tcW w:w="1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25,643</w:t>
            </w:r>
          </w:p>
        </w:tc>
        <w:tc>
          <w:tcPr>
            <w:tcW w:w="4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24,737</w:t>
            </w:r>
          </w:p>
        </w:tc>
        <w:tc>
          <w:tcPr>
            <w:tcW w:w="2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27,629</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Service sales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8,749</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7,900</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9,080</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sales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34,392</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32,637</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36,709</w:t>
            </w: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Costs, expenses and other</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115"/>
        </w:trPr>
        <w:tc>
          <w:tcPr>
            <w:tcW w:w="8580" w:type="dxa"/>
            <w:vAlign w:val="bottom"/>
            <w:tcBorders>
              <w:bottom w:val="single" w:sz="8" w:color="B1B3B3"/>
            </w:tcBorders>
          </w:tcPr>
          <w:p>
            <w:pPr>
              <w:ind w:left="220"/>
              <w:spacing w:after="0"/>
              <w:rPr>
                <w:sz w:val="20"/>
                <w:szCs w:val="20"/>
                <w:color w:val="auto"/>
              </w:rPr>
            </w:pPr>
            <w:r>
              <w:rPr>
                <w:rFonts w:ascii="Arial" w:cs="Arial" w:eastAsia="Arial" w:hAnsi="Arial"/>
                <w:sz w:val="10"/>
                <w:szCs w:val="10"/>
                <w:color w:val="auto"/>
              </w:rPr>
              <w:t>Cost of products sold</w:t>
            </w:r>
          </w:p>
        </w:tc>
        <w:tc>
          <w:tcPr>
            <w:tcW w:w="160" w:type="dxa"/>
            <w:vAlign w:val="bottom"/>
            <w:tcBorders>
              <w:bottom w:val="single" w:sz="8" w:color="B1B3B3"/>
            </w:tcBorders>
          </w:tcPr>
          <w:p>
            <w:pPr>
              <w:spacing w:after="0"/>
              <w:rPr>
                <w:sz w:val="10"/>
                <w:szCs w:val="10"/>
                <w:color w:val="auto"/>
              </w:rPr>
            </w:pPr>
          </w:p>
        </w:tc>
        <w:tc>
          <w:tcPr>
            <w:tcW w:w="580" w:type="dxa"/>
            <w:vAlign w:val="bottom"/>
            <w:tcBorders>
              <w:bottom w:val="single" w:sz="8" w:color="B1B3B3"/>
            </w:tcBorders>
          </w:tcPr>
          <w:p>
            <w:pPr>
              <w:jc w:val="right"/>
              <w:spacing w:after="0"/>
              <w:rPr>
                <w:sz w:val="20"/>
                <w:szCs w:val="20"/>
                <w:color w:val="auto"/>
              </w:rPr>
            </w:pPr>
            <w:r>
              <w:rPr>
                <w:rFonts w:ascii="Arial" w:cs="Arial" w:eastAsia="Arial" w:hAnsi="Arial"/>
                <w:sz w:val="10"/>
                <w:szCs w:val="10"/>
                <w:color w:val="auto"/>
              </w:rPr>
              <w:t>18,344</w:t>
            </w:r>
          </w:p>
        </w:tc>
        <w:tc>
          <w:tcPr>
            <w:tcW w:w="400" w:type="dxa"/>
            <w:vAlign w:val="bottom"/>
            <w:tcBorders>
              <w:bottom w:val="single" w:sz="8" w:color="B1B3B3"/>
            </w:tcBorders>
          </w:tcPr>
          <w:p>
            <w:pPr>
              <w:spacing w:after="0"/>
              <w:rPr>
                <w:sz w:val="10"/>
                <w:szCs w:val="10"/>
                <w:color w:val="auto"/>
              </w:rPr>
            </w:pPr>
          </w:p>
        </w:tc>
        <w:tc>
          <w:tcPr>
            <w:tcW w:w="740" w:type="dxa"/>
            <w:vAlign w:val="bottom"/>
            <w:tcBorders>
              <w:bottom w:val="single" w:sz="8" w:color="B1B3B3"/>
            </w:tcBorders>
          </w:tcPr>
          <w:p>
            <w:pPr>
              <w:jc w:val="right"/>
              <w:ind w:right="152"/>
              <w:spacing w:after="0"/>
              <w:rPr>
                <w:sz w:val="20"/>
                <w:szCs w:val="20"/>
                <w:color w:val="auto"/>
              </w:rPr>
            </w:pPr>
            <w:r>
              <w:rPr>
                <w:rFonts w:ascii="Arial" w:cs="Arial" w:eastAsia="Arial" w:hAnsi="Arial"/>
                <w:sz w:val="10"/>
                <w:szCs w:val="10"/>
                <w:color w:val="auto"/>
              </w:rPr>
              <w:t>17,638</w:t>
            </w:r>
          </w:p>
        </w:tc>
        <w:tc>
          <w:tcPr>
            <w:tcW w:w="240" w:type="dxa"/>
            <w:vAlign w:val="bottom"/>
            <w:tcBorders>
              <w:bottom w:val="single" w:sz="8" w:color="B1B3B3"/>
            </w:tcBorders>
          </w:tcPr>
          <w:p>
            <w:pPr>
              <w:spacing w:after="0"/>
              <w:rPr>
                <w:sz w:val="10"/>
                <w:szCs w:val="10"/>
                <w:color w:val="auto"/>
              </w:rPr>
            </w:pPr>
          </w:p>
        </w:tc>
        <w:tc>
          <w:tcPr>
            <w:tcW w:w="600" w:type="dxa"/>
            <w:vAlign w:val="bottom"/>
            <w:tcBorders>
              <w:bottom w:val="single" w:sz="8" w:color="B1B3B3"/>
            </w:tcBorders>
          </w:tcPr>
          <w:p>
            <w:pPr>
              <w:jc w:val="right"/>
              <w:ind w:right="12"/>
              <w:spacing w:after="0"/>
              <w:rPr>
                <w:sz w:val="20"/>
                <w:szCs w:val="20"/>
                <w:color w:val="auto"/>
              </w:rPr>
            </w:pPr>
            <w:r>
              <w:rPr>
                <w:rFonts w:ascii="Arial" w:cs="Arial" w:eastAsia="Arial" w:hAnsi="Arial"/>
                <w:sz w:val="10"/>
                <w:szCs w:val="10"/>
                <w:color w:val="auto"/>
              </w:rPr>
              <w:t>19,269</w:t>
            </w:r>
          </w:p>
        </w:tc>
      </w:tr>
      <w:tr>
        <w:trPr>
          <w:trHeight w:val="115"/>
        </w:trPr>
        <w:tc>
          <w:tcPr>
            <w:tcW w:w="858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Cost of services sold</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5,050</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4,531</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5,070</w:t>
            </w:r>
          </w:p>
        </w:tc>
      </w:tr>
      <w:tr>
        <w:trPr>
          <w:trHeight w:val="115"/>
        </w:trPr>
        <w:tc>
          <w:tcPr>
            <w:tcW w:w="85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23,394</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22,169</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24,339</w:t>
            </w:r>
          </w:p>
        </w:tc>
      </w:tr>
      <w:tr>
        <w:trPr>
          <w:trHeight w:val="115"/>
        </w:trPr>
        <w:tc>
          <w:tcPr>
            <w:tcW w:w="85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Selling, general and administrative expenses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4,798</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4,772</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5,519</w:t>
            </w:r>
          </w:p>
        </w:tc>
      </w:tr>
      <w:tr>
        <w:trPr>
          <w:trHeight w:val="115"/>
        </w:trPr>
        <w:tc>
          <w:tcPr>
            <w:tcW w:w="85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Other (income) expense</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(1,378)</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(675)</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(1,065)</w:t>
            </w:r>
          </w:p>
        </w:tc>
      </w:tr>
      <w:tr>
        <w:trPr>
          <w:trHeight w:val="115"/>
        </w:trPr>
        <w:tc>
          <w:tcPr>
            <w:tcW w:w="858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Interest and other financial charges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343</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359</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357</w:t>
            </w:r>
          </w:p>
        </w:tc>
      </w:tr>
      <w:tr>
        <w:trPr>
          <w:trHeight w:val="115"/>
        </w:trPr>
        <w:tc>
          <w:tcPr>
            <w:tcW w:w="85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27,157</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26,625</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29,150</w:t>
            </w: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Income before taxes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7,235</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6,012</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7,559</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Tax expense</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1,625</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1,147</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1,329</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income</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5,610</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4,865</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6,230</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Less: Net income attributable to the noncontrolling interest</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68</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86</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87</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income attributable to Honeywell</w:t>
            </w:r>
          </w:p>
        </w:tc>
        <w:tc>
          <w:tcPr>
            <w:tcW w:w="1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5,542</w:t>
            </w:r>
          </w:p>
        </w:tc>
        <w:tc>
          <w:tcPr>
            <w:tcW w:w="4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4,779</w:t>
            </w:r>
          </w:p>
        </w:tc>
        <w:tc>
          <w:tcPr>
            <w:tcW w:w="2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6,143</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Earnings per share of common stock—basic</w:t>
            </w:r>
          </w:p>
        </w:tc>
        <w:tc>
          <w:tcPr>
            <w:tcW w:w="1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8.01</w:t>
            </w:r>
          </w:p>
        </w:tc>
        <w:tc>
          <w:tcPr>
            <w:tcW w:w="4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6.79</w:t>
            </w:r>
          </w:p>
        </w:tc>
        <w:tc>
          <w:tcPr>
            <w:tcW w:w="2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8.52</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Earnings per share of common stock—assuming dilution</w:t>
            </w:r>
          </w:p>
        </w:tc>
        <w:tc>
          <w:tcPr>
            <w:tcW w:w="1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7.91</w:t>
            </w:r>
          </w:p>
        </w:tc>
        <w:tc>
          <w:tcPr>
            <w:tcW w:w="4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6.72</w:t>
            </w:r>
          </w:p>
        </w:tc>
        <w:tc>
          <w:tcPr>
            <w:tcW w:w="2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8.41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53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55" w:name="page56"/>
    <w:bookmarkEnd w:id="55"/>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COMPREHENSIVE INCOME</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580" w:type="dxa"/>
            <w:vAlign w:val="bottom"/>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1380" w:type="dxa"/>
            <w:vAlign w:val="bottom"/>
            <w:tcBorders>
              <w:bottom w:val="single" w:sz="8" w:color="DC202E"/>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C202E"/>
            </w:tcBorders>
          </w:tcPr>
          <w:p>
            <w:pPr>
              <w:spacing w:after="0"/>
              <w:rPr>
                <w:sz w:val="10"/>
                <w:szCs w:val="10"/>
                <w:color w:val="auto"/>
              </w:rPr>
            </w:pPr>
          </w:p>
        </w:tc>
      </w:tr>
      <w:tr>
        <w:trPr>
          <w:trHeight w:val="160"/>
        </w:trPr>
        <w:tc>
          <w:tcPr>
            <w:tcW w:w="8580" w:type="dxa"/>
            <w:vAlign w:val="bottom"/>
          </w:tcPr>
          <w:p>
            <w:pPr>
              <w:spacing w:after="0"/>
              <w:rPr>
                <w:sz w:val="13"/>
                <w:szCs w:val="13"/>
                <w:color w:val="auto"/>
              </w:rPr>
            </w:pPr>
          </w:p>
        </w:tc>
        <w:tc>
          <w:tcPr>
            <w:tcW w:w="160" w:type="dxa"/>
            <w:vAlign w:val="bottom"/>
            <w:tcBorders>
              <w:bottom w:val="single" w:sz="8" w:color="DC202E"/>
            </w:tcBorders>
          </w:tcPr>
          <w:p>
            <w:pPr>
              <w:spacing w:after="0"/>
              <w:rPr>
                <w:sz w:val="13"/>
                <w:szCs w:val="13"/>
                <w:color w:val="auto"/>
              </w:rPr>
            </w:pPr>
          </w:p>
        </w:tc>
        <w:tc>
          <w:tcPr>
            <w:tcW w:w="58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jc w:val="center"/>
              <w:ind w:right="272"/>
              <w:spacing w:after="0"/>
              <w:rPr>
                <w:sz w:val="20"/>
                <w:szCs w:val="20"/>
                <w:color w:val="auto"/>
              </w:rPr>
            </w:pPr>
            <w:r>
              <w:rPr>
                <w:rFonts w:ascii="Arial" w:cs="Arial" w:eastAsia="Arial" w:hAnsi="Arial"/>
                <w:sz w:val="10"/>
                <w:szCs w:val="10"/>
                <w:b w:val="1"/>
                <w:bCs w:val="1"/>
                <w:color w:val="auto"/>
                <w:w w:val="98"/>
              </w:rPr>
              <w:t>2020</w:t>
            </w:r>
          </w:p>
        </w:tc>
        <w:tc>
          <w:tcPr>
            <w:tcW w:w="24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2019</w:t>
            </w:r>
          </w:p>
        </w:tc>
      </w:tr>
      <w:tr>
        <w:trPr>
          <w:trHeight w:val="115"/>
        </w:trPr>
        <w:tc>
          <w:tcPr>
            <w:tcW w:w="85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1140" w:type="dxa"/>
            <w:vAlign w:val="bottom"/>
            <w:tcBorders>
              <w:bottom w:val="single" w:sz="8" w:color="DC202E"/>
            </w:tcBorders>
            <w:gridSpan w:val="2"/>
          </w:tcPr>
          <w:p>
            <w:pPr>
              <w:jc w:val="center"/>
              <w:ind w:left="52"/>
              <w:spacing w:after="0"/>
              <w:rPr>
                <w:sz w:val="20"/>
                <w:szCs w:val="20"/>
                <w:color w:val="auto"/>
              </w:rPr>
            </w:pPr>
            <w:r>
              <w:rPr>
                <w:rFonts w:ascii="Arial" w:cs="Arial" w:eastAsia="Arial" w:hAnsi="Arial"/>
                <w:sz w:val="10"/>
                <w:szCs w:val="10"/>
                <w:b w:val="1"/>
                <w:bCs w:val="1"/>
                <w:color w:val="auto"/>
                <w:w w:val="94"/>
              </w:rPr>
              <w:t>(Dollars in millions)</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spacing w:after="0"/>
              <w:rPr>
                <w:sz w:val="10"/>
                <w:szCs w:val="10"/>
                <w:color w:val="auto"/>
              </w:rPr>
            </w:pP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5,610</w:t>
            </w:r>
          </w:p>
        </w:tc>
        <w:tc>
          <w:tcPr>
            <w:tcW w:w="4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4,865</w:t>
            </w:r>
          </w:p>
        </w:tc>
        <w:tc>
          <w:tcPr>
            <w:tcW w:w="2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6,230</w:t>
            </w:r>
          </w:p>
        </w:tc>
      </w:tr>
      <w:tr>
        <w:trPr>
          <w:trHeight w:val="115"/>
        </w:trPr>
        <w:tc>
          <w:tcPr>
            <w:tcW w:w="858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Other comprehensive income (loss), net of tax</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spacing w:after="0"/>
              <w:rPr>
                <w:sz w:val="10"/>
                <w:szCs w:val="10"/>
                <w:color w:val="auto"/>
              </w:rPr>
            </w:pPr>
          </w:p>
        </w:tc>
      </w:tr>
      <w:tr>
        <w:trPr>
          <w:trHeight w:val="115"/>
        </w:trPr>
        <w:tc>
          <w:tcPr>
            <w:tcW w:w="858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Foreign exchange translation adjustment</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302</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(211)</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143</w:t>
            </w:r>
          </w:p>
        </w:tc>
      </w:tr>
      <w:tr>
        <w:trPr>
          <w:trHeight w:val="115"/>
        </w:trPr>
        <w:tc>
          <w:tcPr>
            <w:tcW w:w="8580" w:type="dxa"/>
            <w:vAlign w:val="bottom"/>
            <w:tcBorders>
              <w:bottom w:val="single" w:sz="8" w:color="939598"/>
            </w:tcBorders>
          </w:tcPr>
          <w:p>
            <w:pPr>
              <w:ind w:left="300"/>
              <w:spacing w:after="0"/>
              <w:rPr>
                <w:sz w:val="20"/>
                <w:szCs w:val="20"/>
                <w:color w:val="auto"/>
              </w:rPr>
            </w:pPr>
            <w:r>
              <w:rPr>
                <w:rFonts w:ascii="Arial" w:cs="Arial" w:eastAsia="Arial" w:hAnsi="Arial"/>
                <w:sz w:val="10"/>
                <w:szCs w:val="10"/>
                <w:color w:val="auto"/>
              </w:rPr>
              <w:t>Actuarial gains (losses) recognized</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256</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91</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162</w:t>
            </w:r>
          </w:p>
        </w:tc>
      </w:tr>
      <w:tr>
        <w:trPr>
          <w:trHeight w:val="115"/>
        </w:trPr>
        <w:tc>
          <w:tcPr>
            <w:tcW w:w="8580" w:type="dxa"/>
            <w:vAlign w:val="bottom"/>
            <w:tcBorders>
              <w:bottom w:val="single" w:sz="8" w:color="939598"/>
            </w:tcBorders>
          </w:tcPr>
          <w:p>
            <w:pPr>
              <w:ind w:left="300"/>
              <w:spacing w:after="0"/>
              <w:rPr>
                <w:sz w:val="20"/>
                <w:szCs w:val="20"/>
                <w:color w:val="auto"/>
              </w:rPr>
            </w:pPr>
            <w:r>
              <w:rPr>
                <w:rFonts w:ascii="Arial" w:cs="Arial" w:eastAsia="Arial" w:hAnsi="Arial"/>
                <w:sz w:val="10"/>
                <w:szCs w:val="10"/>
                <w:color w:val="auto"/>
              </w:rPr>
              <w:t>Prior service credit (cost) recognized</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47</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w:t>
            </w:r>
          </w:p>
        </w:tc>
      </w:tr>
      <w:tr>
        <w:trPr>
          <w:trHeight w:val="115"/>
        </w:trPr>
        <w:tc>
          <w:tcPr>
            <w:tcW w:w="8580" w:type="dxa"/>
            <w:vAlign w:val="bottom"/>
            <w:tcBorders>
              <w:bottom w:val="single" w:sz="8" w:color="939598"/>
            </w:tcBorders>
          </w:tcPr>
          <w:p>
            <w:pPr>
              <w:ind w:left="300"/>
              <w:spacing w:after="0"/>
              <w:rPr>
                <w:sz w:val="20"/>
                <w:szCs w:val="20"/>
                <w:color w:val="auto"/>
              </w:rPr>
            </w:pPr>
            <w:r>
              <w:rPr>
                <w:rFonts w:ascii="Arial" w:cs="Arial" w:eastAsia="Arial" w:hAnsi="Arial"/>
                <w:sz w:val="10"/>
                <w:szCs w:val="10"/>
                <w:color w:val="auto"/>
              </w:rPr>
              <w:t>Prior service credit recognized during year</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(87)</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(82)</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(79)</w:t>
            </w:r>
          </w:p>
        </w:tc>
      </w:tr>
      <w:tr>
        <w:trPr>
          <w:trHeight w:val="115"/>
        </w:trPr>
        <w:tc>
          <w:tcPr>
            <w:tcW w:w="8580" w:type="dxa"/>
            <w:vAlign w:val="bottom"/>
            <w:tcBorders>
              <w:bottom w:val="single" w:sz="8" w:color="939598"/>
            </w:tcBorders>
          </w:tcPr>
          <w:p>
            <w:pPr>
              <w:ind w:left="300"/>
              <w:spacing w:after="0"/>
              <w:rPr>
                <w:sz w:val="20"/>
                <w:szCs w:val="20"/>
                <w:color w:val="auto"/>
              </w:rPr>
            </w:pPr>
            <w:r>
              <w:rPr>
                <w:rFonts w:ascii="Arial" w:cs="Arial" w:eastAsia="Arial" w:hAnsi="Arial"/>
                <w:sz w:val="10"/>
                <w:szCs w:val="10"/>
                <w:color w:val="auto"/>
              </w:rPr>
              <w:t>Actuarial (gains) losses recognized during year</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16</w:t>
            </w:r>
          </w:p>
        </w:tc>
      </w:tr>
      <w:tr>
        <w:trPr>
          <w:trHeight w:val="115"/>
        </w:trPr>
        <w:tc>
          <w:tcPr>
            <w:tcW w:w="8580" w:type="dxa"/>
            <w:vAlign w:val="bottom"/>
            <w:tcBorders>
              <w:bottom w:val="single" w:sz="8" w:color="DC202E"/>
            </w:tcBorders>
          </w:tcPr>
          <w:p>
            <w:pPr>
              <w:ind w:left="300"/>
              <w:spacing w:after="0"/>
              <w:rPr>
                <w:sz w:val="20"/>
                <w:szCs w:val="20"/>
                <w:color w:val="auto"/>
              </w:rPr>
            </w:pPr>
            <w:r>
              <w:rPr>
                <w:rFonts w:ascii="Arial" w:cs="Arial" w:eastAsia="Arial" w:hAnsi="Arial"/>
                <w:sz w:val="10"/>
                <w:szCs w:val="10"/>
                <w:color w:val="auto"/>
              </w:rPr>
              <w:t>Foreign exchange translation and other</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color w:val="auto"/>
              </w:rPr>
              <w:t>(23)</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w:t>
            </w:r>
          </w:p>
        </w:tc>
      </w:tr>
      <w:tr>
        <w:trPr>
          <w:trHeight w:val="115"/>
        </w:trPr>
        <w:tc>
          <w:tcPr>
            <w:tcW w:w="858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Pensions and other postretirement benefit adjustments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186</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74</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86</w:t>
            </w:r>
          </w:p>
        </w:tc>
      </w:tr>
      <w:tr>
        <w:trPr>
          <w:trHeight w:val="115"/>
        </w:trPr>
        <w:tc>
          <w:tcPr>
            <w:tcW w:w="85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Changes in fair value of available for sale investments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r>
      <w:tr>
        <w:trPr>
          <w:trHeight w:val="115"/>
        </w:trPr>
        <w:tc>
          <w:tcPr>
            <w:tcW w:w="8580" w:type="dxa"/>
            <w:vAlign w:val="bottom"/>
            <w:tcBorders>
              <w:bottom w:val="single" w:sz="8" w:color="939598"/>
            </w:tcBorders>
          </w:tcPr>
          <w:p>
            <w:pPr>
              <w:ind w:left="300"/>
              <w:spacing w:after="0"/>
              <w:rPr>
                <w:sz w:val="20"/>
                <w:szCs w:val="20"/>
                <w:color w:val="auto"/>
              </w:rPr>
            </w:pPr>
            <w:r>
              <w:rPr>
                <w:rFonts w:ascii="Arial" w:cs="Arial" w:eastAsia="Arial" w:hAnsi="Arial"/>
                <w:sz w:val="10"/>
                <w:szCs w:val="10"/>
                <w:color w:val="auto"/>
              </w:rPr>
              <w:t>Cash flow hedges recognized in other comprehensive income</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10</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103</w:t>
            </w:r>
          </w:p>
        </w:tc>
      </w:tr>
      <w:tr>
        <w:trPr>
          <w:trHeight w:val="115"/>
        </w:trPr>
        <w:tc>
          <w:tcPr>
            <w:tcW w:w="8580" w:type="dxa"/>
            <w:vAlign w:val="bottom"/>
            <w:tcBorders>
              <w:bottom w:val="single" w:sz="8" w:color="DC202E"/>
            </w:tcBorders>
          </w:tcPr>
          <w:p>
            <w:pPr>
              <w:ind w:left="300"/>
              <w:spacing w:after="0"/>
              <w:rPr>
                <w:sz w:val="20"/>
                <w:szCs w:val="20"/>
                <w:color w:val="auto"/>
              </w:rPr>
            </w:pPr>
            <w:r>
              <w:rPr>
                <w:rFonts w:ascii="Arial" w:cs="Arial" w:eastAsia="Arial" w:hAnsi="Arial"/>
                <w:sz w:val="10"/>
                <w:szCs w:val="10"/>
                <w:color w:val="auto"/>
              </w:rPr>
              <w:t>Less: Reclassification adjustment for gains (losses) included in net income</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20</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54</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92</w:t>
            </w:r>
          </w:p>
        </w:tc>
      </w:tr>
      <w:tr>
        <w:trPr>
          <w:trHeight w:val="115"/>
        </w:trPr>
        <w:tc>
          <w:tcPr>
            <w:tcW w:w="858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Changes in fair value of cash flow hedges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(44)</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11</w:t>
            </w:r>
          </w:p>
        </w:tc>
      </w:tr>
      <w:tr>
        <w:trPr>
          <w:trHeight w:val="115"/>
        </w:trPr>
        <w:tc>
          <w:tcPr>
            <w:tcW w:w="858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Other comprehensive income (loss), net of tax</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482</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color w:val="auto"/>
              </w:rPr>
              <w:t>(177)</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240</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Comprehensive income</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6,092</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4,688</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6,470</w:t>
            </w:r>
          </w:p>
        </w:tc>
      </w:tr>
      <w:tr>
        <w:trPr>
          <w:trHeight w:val="115"/>
        </w:trPr>
        <w:tc>
          <w:tcPr>
            <w:tcW w:w="858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Less: Comprehensive income attributable to the noncontrolling interest</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64</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89</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82</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Comprehensive income attributable to Honeywell</w:t>
            </w:r>
          </w:p>
        </w:tc>
        <w:tc>
          <w:tcPr>
            <w:tcW w:w="1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6,028</w:t>
            </w:r>
          </w:p>
        </w:tc>
        <w:tc>
          <w:tcPr>
            <w:tcW w:w="4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4,599</w:t>
            </w:r>
          </w:p>
        </w:tc>
        <w:tc>
          <w:tcPr>
            <w:tcW w:w="2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6,388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84" w:lineRule="exact"/>
        <w:rPr>
          <w:sz w:val="20"/>
          <w:szCs w:val="20"/>
          <w:color w:val="auto"/>
        </w:rPr>
      </w:pPr>
    </w:p>
    <w:p>
      <w:pPr>
        <w:ind w:left="468" w:hanging="468"/>
        <w:spacing w:after="0"/>
        <w:tabs>
          <w:tab w:leader="none" w:pos="468" w:val="left"/>
        </w:tabs>
        <w:numPr>
          <w:ilvl w:val="0"/>
          <w:numId w:val="7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200" w:lineRule="exact"/>
        <w:rPr>
          <w:sz w:val="20"/>
          <w:szCs w:val="20"/>
          <w:color w:val="auto"/>
        </w:rPr>
      </w:pPr>
    </w:p>
    <w:p>
      <w:pPr>
        <w:spacing w:after="0" w:line="215"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2" w:lineRule="exact"/>
        <w:rPr>
          <w:sz w:val="20"/>
          <w:szCs w:val="20"/>
          <w:color w:val="auto"/>
        </w:rPr>
      </w:pPr>
    </w:p>
    <w:p>
      <w:pPr>
        <w:ind w:left="4740"/>
        <w:spacing w:after="0"/>
        <w:rPr>
          <w:sz w:val="20"/>
          <w:szCs w:val="20"/>
          <w:color w:val="auto"/>
        </w:rPr>
      </w:pPr>
      <w:r>
        <w:rPr>
          <w:rFonts w:ascii="Arial" w:cs="Arial" w:eastAsia="Arial" w:hAnsi="Arial"/>
          <w:sz w:val="11"/>
          <w:szCs w:val="11"/>
          <w:b w:val="1"/>
          <w:bCs w:val="1"/>
          <w:color w:val="auto"/>
        </w:rPr>
        <w:t>CONSOLIDATED BALANCE SHEET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560" w:type="dxa"/>
            <w:vAlign w:val="bottom"/>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C202E"/>
            </w:tcBorders>
          </w:tcPr>
          <w:p>
            <w:pPr>
              <w:spacing w:after="0"/>
              <w:rPr>
                <w:sz w:val="10"/>
                <w:szCs w:val="10"/>
                <w:color w:val="auto"/>
              </w:rPr>
            </w:pPr>
          </w:p>
        </w:tc>
      </w:tr>
      <w:tr>
        <w:trPr>
          <w:trHeight w:val="151"/>
        </w:trPr>
        <w:tc>
          <w:tcPr>
            <w:tcW w:w="9560" w:type="dxa"/>
            <w:vAlign w:val="bottom"/>
          </w:tcPr>
          <w:p>
            <w:pPr>
              <w:spacing w:after="0"/>
              <w:rPr>
                <w:sz w:val="13"/>
                <w:szCs w:val="13"/>
                <w:color w:val="auto"/>
              </w:rPr>
            </w:pPr>
          </w:p>
        </w:tc>
        <w:tc>
          <w:tcPr>
            <w:tcW w:w="16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DC202E"/>
            </w:tcBorders>
          </w:tcPr>
          <w:p>
            <w:pPr>
              <w:spacing w:after="0"/>
              <w:rPr>
                <w:sz w:val="13"/>
                <w:szCs w:val="13"/>
                <w:color w:val="auto"/>
              </w:rPr>
            </w:pPr>
          </w:p>
        </w:tc>
        <w:tc>
          <w:tcPr>
            <w:tcW w:w="52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w w:val="98"/>
              </w:rPr>
              <w:t>2020</w:t>
            </w:r>
          </w:p>
        </w:tc>
      </w:tr>
      <w:tr>
        <w:trPr>
          <w:trHeight w:val="115"/>
        </w:trPr>
        <w:tc>
          <w:tcPr>
            <w:tcW w:w="956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1580" w:type="dxa"/>
            <w:vAlign w:val="bottom"/>
            <w:tcBorders>
              <w:bottom w:val="single" w:sz="8" w:color="DC202E"/>
            </w:tcBorders>
            <w:gridSpan w:val="3"/>
          </w:tcPr>
          <w:p>
            <w:pPr>
              <w:jc w:val="right"/>
              <w:ind w:right="372"/>
              <w:spacing w:after="0"/>
              <w:rPr>
                <w:sz w:val="20"/>
                <w:szCs w:val="20"/>
                <w:color w:val="auto"/>
              </w:rPr>
            </w:pPr>
            <w:r>
              <w:rPr>
                <w:rFonts w:ascii="Arial" w:cs="Arial" w:eastAsia="Arial" w:hAnsi="Arial"/>
                <w:sz w:val="10"/>
                <w:szCs w:val="10"/>
                <w:b w:val="1"/>
                <w:bCs w:val="1"/>
                <w:color w:val="auto"/>
              </w:rPr>
              <w:t>(Dollars in millions)</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Current assets: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r>
      <w:tr>
        <w:trPr>
          <w:trHeight w:val="115"/>
        </w:trPr>
        <w:tc>
          <w:tcPr>
            <w:tcW w:w="95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Cash and cash equivalents</w:t>
            </w:r>
          </w:p>
        </w:tc>
        <w:tc>
          <w:tcPr>
            <w:tcW w:w="1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10,959</w:t>
            </w:r>
          </w:p>
        </w:tc>
        <w:tc>
          <w:tcPr>
            <w:tcW w:w="3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14,275</w:t>
            </w:r>
          </w:p>
        </w:tc>
      </w:tr>
      <w:tr>
        <w:trPr>
          <w:trHeight w:val="115"/>
        </w:trPr>
        <w:tc>
          <w:tcPr>
            <w:tcW w:w="95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Short-term investments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564</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945</w:t>
            </w:r>
          </w:p>
        </w:tc>
      </w:tr>
      <w:tr>
        <w:trPr>
          <w:trHeight w:val="115"/>
        </w:trPr>
        <w:tc>
          <w:tcPr>
            <w:tcW w:w="95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Accounts receivable, less allowances of $177 and $202, respectively</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6,830</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6,827</w:t>
            </w:r>
          </w:p>
        </w:tc>
      </w:tr>
      <w:tr>
        <w:trPr>
          <w:trHeight w:val="115"/>
        </w:trPr>
        <w:tc>
          <w:tcPr>
            <w:tcW w:w="95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Inventories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5,138</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4,489</w:t>
            </w:r>
          </w:p>
        </w:tc>
      </w:tr>
      <w:tr>
        <w:trPr>
          <w:trHeight w:val="115"/>
        </w:trPr>
        <w:tc>
          <w:tcPr>
            <w:tcW w:w="956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Other current assets</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1,881</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1,639</w:t>
            </w:r>
          </w:p>
        </w:tc>
      </w:tr>
      <w:tr>
        <w:trPr>
          <w:trHeight w:val="115"/>
        </w:trPr>
        <w:tc>
          <w:tcPr>
            <w:tcW w:w="9560" w:type="dxa"/>
            <w:vAlign w:val="bottom"/>
            <w:tcBorders>
              <w:bottom w:val="single" w:sz="8" w:color="DC202E"/>
            </w:tcBorders>
          </w:tcPr>
          <w:p>
            <w:pPr>
              <w:ind w:left="440"/>
              <w:spacing w:after="0"/>
              <w:rPr>
                <w:sz w:val="20"/>
                <w:szCs w:val="20"/>
                <w:color w:val="auto"/>
              </w:rPr>
            </w:pPr>
            <w:r>
              <w:rPr>
                <w:rFonts w:ascii="Arial" w:cs="Arial" w:eastAsia="Arial" w:hAnsi="Arial"/>
                <w:sz w:val="10"/>
                <w:szCs w:val="10"/>
                <w:b w:val="1"/>
                <w:bCs w:val="1"/>
                <w:color w:val="auto"/>
              </w:rPr>
              <w:t>Total current assets</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25,372</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28,175</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Investments and long-term receivables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1,222</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685</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Property, plant and equipment—net</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5,562</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5,570</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Goodwill</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17,756</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16,058</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Other intangible assets—net</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3,613</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3,560</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Insurance recoveries for asbestos related liabilities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322</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366</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489</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760</w:t>
            </w:r>
          </w:p>
        </w:tc>
      </w:tr>
      <w:tr>
        <w:trPr>
          <w:trHeight w:val="115"/>
        </w:trPr>
        <w:tc>
          <w:tcPr>
            <w:tcW w:w="95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assets</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10,134</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9,412</w:t>
            </w:r>
          </w:p>
        </w:tc>
      </w:tr>
      <w:tr>
        <w:trPr>
          <w:trHeight w:val="115"/>
        </w:trPr>
        <w:tc>
          <w:tcPr>
            <w:tcW w:w="9560" w:type="dxa"/>
            <w:vAlign w:val="bottom"/>
            <w:tcBorders>
              <w:bottom w:val="single" w:sz="8" w:color="DC202E"/>
            </w:tcBorders>
          </w:tcPr>
          <w:p>
            <w:pPr>
              <w:ind w:left="440"/>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64,470</w:t>
            </w:r>
          </w:p>
        </w:tc>
        <w:tc>
          <w:tcPr>
            <w:tcW w:w="36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64,586</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LIABILITIES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Current liabilities: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r>
      <w:tr>
        <w:trPr>
          <w:trHeight w:val="115"/>
        </w:trPr>
        <w:tc>
          <w:tcPr>
            <w:tcW w:w="95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Accounts payable</w:t>
            </w:r>
          </w:p>
        </w:tc>
        <w:tc>
          <w:tcPr>
            <w:tcW w:w="1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6,484</w:t>
            </w:r>
          </w:p>
        </w:tc>
        <w:tc>
          <w:tcPr>
            <w:tcW w:w="3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5,750</w:t>
            </w:r>
          </w:p>
        </w:tc>
      </w:tr>
      <w:tr>
        <w:trPr>
          <w:trHeight w:val="115"/>
        </w:trPr>
        <w:tc>
          <w:tcPr>
            <w:tcW w:w="95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Commercial paper and other short-term borrowings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3,542</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3,597</w:t>
            </w:r>
          </w:p>
        </w:tc>
      </w:tr>
      <w:tr>
        <w:trPr>
          <w:trHeight w:val="115"/>
        </w:trPr>
        <w:tc>
          <w:tcPr>
            <w:tcW w:w="95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Current maturities of long-term debt</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1,803</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2,445</w:t>
            </w:r>
          </w:p>
        </w:tc>
      </w:tr>
      <w:tr>
        <w:trPr>
          <w:trHeight w:val="115"/>
        </w:trPr>
        <w:tc>
          <w:tcPr>
            <w:tcW w:w="956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Accrued liabilities</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7,679</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7,405</w:t>
            </w:r>
          </w:p>
        </w:tc>
      </w:tr>
      <w:tr>
        <w:trPr>
          <w:trHeight w:val="115"/>
        </w:trPr>
        <w:tc>
          <w:tcPr>
            <w:tcW w:w="9560" w:type="dxa"/>
            <w:vAlign w:val="bottom"/>
            <w:tcBorders>
              <w:bottom w:val="single" w:sz="8" w:color="DC202E"/>
            </w:tcBorders>
          </w:tcPr>
          <w:p>
            <w:pPr>
              <w:ind w:left="440"/>
              <w:spacing w:after="0"/>
              <w:rPr>
                <w:sz w:val="20"/>
                <w:szCs w:val="20"/>
                <w:color w:val="auto"/>
              </w:rPr>
            </w:pPr>
            <w:r>
              <w:rPr>
                <w:rFonts w:ascii="Arial" w:cs="Arial" w:eastAsia="Arial" w:hAnsi="Arial"/>
                <w:sz w:val="10"/>
                <w:szCs w:val="10"/>
                <w:b w:val="1"/>
                <w:bCs w:val="1"/>
                <w:color w:val="auto"/>
              </w:rPr>
              <w:t>Total current liabilities</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19,508</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19,197</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Long-term debt</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14,254</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16,342</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2,364</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2,113</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Postretirement benefit obligations other than pensions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208</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242</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Asbestos related liabilities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1,800</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1,920</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Other liabilities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7,087</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6,975</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Redeemable noncontrolling interest</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SHAREOWNERS’ EQUITY</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Capital—common stock issued</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958</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958</w:t>
            </w:r>
          </w:p>
        </w:tc>
      </w:tr>
      <w:tr>
        <w:trPr>
          <w:trHeight w:val="115"/>
        </w:trPr>
        <w:tc>
          <w:tcPr>
            <w:tcW w:w="956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—additional paid-in capital</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8,141</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7,292</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Common stock held in treasury, at cost</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(30,462)</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(27,229)</w:t>
            </w:r>
          </w:p>
        </w:tc>
      </w:tr>
      <w:tr>
        <w:trPr>
          <w:trHeight w:val="115"/>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Accumulated other comprehensive income (loss)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(2,895)</w:t>
            </w: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(3,377)</w:t>
            </w:r>
          </w:p>
        </w:tc>
      </w:tr>
      <w:tr>
        <w:trPr>
          <w:trHeight w:val="115"/>
        </w:trPr>
        <w:tc>
          <w:tcPr>
            <w:tcW w:w="95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Retained earnings</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42,827</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39,905</w:t>
            </w:r>
          </w:p>
        </w:tc>
      </w:tr>
      <w:tr>
        <w:trPr>
          <w:trHeight w:val="115"/>
        </w:trPr>
        <w:tc>
          <w:tcPr>
            <w:tcW w:w="9560" w:type="dxa"/>
            <w:vAlign w:val="bottom"/>
            <w:tcBorders>
              <w:bottom w:val="single" w:sz="8" w:color="DC202E"/>
            </w:tcBorders>
          </w:tcPr>
          <w:p>
            <w:pPr>
              <w:ind w:left="440"/>
              <w:spacing w:after="0"/>
              <w:rPr>
                <w:sz w:val="20"/>
                <w:szCs w:val="20"/>
                <w:color w:val="auto"/>
              </w:rPr>
            </w:pPr>
            <w:r>
              <w:rPr>
                <w:rFonts w:ascii="Arial" w:cs="Arial" w:eastAsia="Arial" w:hAnsi="Arial"/>
                <w:sz w:val="10"/>
                <w:szCs w:val="10"/>
                <w:b w:val="1"/>
                <w:bCs w:val="1"/>
                <w:color w:val="auto"/>
              </w:rPr>
              <w:t>Total Honeywell shareowners’ equity</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18,569</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17,549</w:t>
            </w:r>
          </w:p>
        </w:tc>
      </w:tr>
      <w:tr>
        <w:trPr>
          <w:trHeight w:val="115"/>
        </w:trPr>
        <w:tc>
          <w:tcPr>
            <w:tcW w:w="95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Noncontrolling interest</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673</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241</w:t>
            </w:r>
          </w:p>
        </w:tc>
      </w:tr>
      <w:tr>
        <w:trPr>
          <w:trHeight w:val="115"/>
        </w:trPr>
        <w:tc>
          <w:tcPr>
            <w:tcW w:w="9560" w:type="dxa"/>
            <w:vAlign w:val="bottom"/>
            <w:tcBorders>
              <w:bottom w:val="single" w:sz="8" w:color="DC202E"/>
            </w:tcBorders>
          </w:tcPr>
          <w:p>
            <w:pPr>
              <w:ind w:left="440"/>
              <w:spacing w:after="0"/>
              <w:rPr>
                <w:sz w:val="20"/>
                <w:szCs w:val="20"/>
                <w:color w:val="auto"/>
              </w:rPr>
            </w:pPr>
            <w:r>
              <w:rPr>
                <w:rFonts w:ascii="Arial" w:cs="Arial" w:eastAsia="Arial" w:hAnsi="Arial"/>
                <w:sz w:val="10"/>
                <w:szCs w:val="10"/>
                <w:b w:val="1"/>
                <w:bCs w:val="1"/>
                <w:color w:val="auto"/>
              </w:rPr>
              <w:t>Total shareowners’ equity</w:t>
            </w:r>
          </w:p>
        </w:tc>
        <w:tc>
          <w:tcPr>
            <w:tcW w:w="1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19,242</w:t>
            </w:r>
          </w:p>
        </w:tc>
        <w:tc>
          <w:tcPr>
            <w:tcW w:w="3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17,790</w:t>
            </w:r>
          </w:p>
        </w:tc>
      </w:tr>
      <w:tr>
        <w:trPr>
          <w:trHeight w:val="115"/>
        </w:trPr>
        <w:tc>
          <w:tcPr>
            <w:tcW w:w="9560" w:type="dxa"/>
            <w:vAlign w:val="bottom"/>
            <w:tcBorders>
              <w:bottom w:val="single" w:sz="8" w:color="DC202E"/>
            </w:tcBorders>
          </w:tcPr>
          <w:p>
            <w:pPr>
              <w:ind w:left="440"/>
              <w:spacing w:after="0"/>
              <w:rPr>
                <w:sz w:val="20"/>
                <w:szCs w:val="20"/>
                <w:color w:val="auto"/>
              </w:rPr>
            </w:pPr>
            <w:r>
              <w:rPr>
                <w:rFonts w:ascii="Arial" w:cs="Arial" w:eastAsia="Arial" w:hAnsi="Arial"/>
                <w:sz w:val="10"/>
                <w:szCs w:val="10"/>
                <w:b w:val="1"/>
                <w:bCs w:val="1"/>
                <w:color w:val="auto"/>
              </w:rPr>
              <w:t>Total liabilities, redeemable noncontrolling interest and shareowners’ equity</w:t>
            </w:r>
          </w:p>
        </w:tc>
        <w:tc>
          <w:tcPr>
            <w:tcW w:w="1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64,470</w:t>
            </w:r>
          </w:p>
        </w:tc>
        <w:tc>
          <w:tcPr>
            <w:tcW w:w="36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64,586</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55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7" w:name="page58"/>
    <w:bookmarkEnd w:id="57"/>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CASH FLOWS</w:t>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580" w:type="dxa"/>
            <w:vAlign w:val="bottom"/>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1380" w:type="dxa"/>
            <w:vAlign w:val="bottom"/>
            <w:tcBorders>
              <w:bottom w:val="single" w:sz="8" w:color="DC202E"/>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C202E"/>
            </w:tcBorders>
          </w:tcPr>
          <w:p>
            <w:pPr>
              <w:spacing w:after="0"/>
              <w:rPr>
                <w:sz w:val="10"/>
                <w:szCs w:val="10"/>
                <w:color w:val="auto"/>
              </w:rPr>
            </w:pPr>
          </w:p>
        </w:tc>
      </w:tr>
      <w:tr>
        <w:trPr>
          <w:trHeight w:val="124"/>
        </w:trPr>
        <w:tc>
          <w:tcPr>
            <w:tcW w:w="8580" w:type="dxa"/>
            <w:vAlign w:val="bottom"/>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center"/>
              <w:ind w:right="272"/>
              <w:spacing w:after="0"/>
              <w:rPr>
                <w:sz w:val="20"/>
                <w:szCs w:val="20"/>
                <w:color w:val="auto"/>
              </w:rPr>
            </w:pPr>
            <w:r>
              <w:rPr>
                <w:rFonts w:ascii="Arial" w:cs="Arial" w:eastAsia="Arial" w:hAnsi="Arial"/>
                <w:sz w:val="10"/>
                <w:szCs w:val="10"/>
                <w:b w:val="1"/>
                <w:bCs w:val="1"/>
                <w:color w:val="auto"/>
                <w:w w:val="98"/>
              </w:rPr>
              <w:t>2020</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2019</w:t>
            </w:r>
          </w:p>
        </w:tc>
      </w:tr>
      <w:tr>
        <w:trPr>
          <w:trHeight w:val="115"/>
        </w:trPr>
        <w:tc>
          <w:tcPr>
            <w:tcW w:w="858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1140" w:type="dxa"/>
            <w:vAlign w:val="bottom"/>
            <w:tcBorders>
              <w:bottom w:val="single" w:sz="8" w:color="DC202E"/>
            </w:tcBorders>
            <w:gridSpan w:val="2"/>
          </w:tcPr>
          <w:p>
            <w:pPr>
              <w:jc w:val="center"/>
              <w:ind w:left="52"/>
              <w:spacing w:after="0"/>
              <w:rPr>
                <w:sz w:val="20"/>
                <w:szCs w:val="20"/>
                <w:color w:val="auto"/>
              </w:rPr>
            </w:pPr>
            <w:r>
              <w:rPr>
                <w:rFonts w:ascii="Arial" w:cs="Arial" w:eastAsia="Arial" w:hAnsi="Arial"/>
                <w:sz w:val="10"/>
                <w:szCs w:val="10"/>
                <w:b w:val="1"/>
                <w:bCs w:val="1"/>
                <w:color w:val="auto"/>
                <w:w w:val="94"/>
              </w:rPr>
              <w:t>(Dollars in millions)</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spacing w:after="0"/>
              <w:rPr>
                <w:sz w:val="10"/>
                <w:szCs w:val="10"/>
                <w:color w:val="auto"/>
              </w:rPr>
            </w:pP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5,610</w:t>
            </w:r>
          </w:p>
        </w:tc>
        <w:tc>
          <w:tcPr>
            <w:tcW w:w="4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4,865</w:t>
            </w:r>
          </w:p>
        </w:tc>
        <w:tc>
          <w:tcPr>
            <w:tcW w:w="2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6,230</w:t>
            </w:r>
          </w:p>
        </w:tc>
      </w:tr>
      <w:tr>
        <w:trPr>
          <w:trHeight w:val="115"/>
        </w:trPr>
        <w:tc>
          <w:tcPr>
            <w:tcW w:w="85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Less: Net income attributable to the noncontrolling interest</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68</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86</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87</w:t>
            </w:r>
          </w:p>
        </w:tc>
      </w:tr>
      <w:tr>
        <w:trPr>
          <w:trHeight w:val="115"/>
        </w:trPr>
        <w:tc>
          <w:tcPr>
            <w:tcW w:w="858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Net income attributable to Honeywell</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5,542</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4,779</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6,143</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Adjustments to reconcile net income attributable to Honeywell to net cash provided by operating activities: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Depreciation</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674</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644</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673</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Amortization</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549</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358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415</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(Gain) loss on sale of non-strategic businesses and assets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(102)</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Repositioning and other charges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569</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575</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546</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Net payments for repositioning and other charges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(692)</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(833)</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(376)</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Pension and other postretirement income</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(1,114)</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(798)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(516)</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Pension and other postretirement benefit payments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(47)</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(78)</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Stock compensation expense</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217</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168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153</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178</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(175)</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179</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Reimbursement receivables charge</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509</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(28)</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(338)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(287)</w:t>
            </w:r>
          </w:p>
        </w:tc>
      </w:tr>
      <w:tr>
        <w:trPr>
          <w:trHeight w:val="115"/>
        </w:trPr>
        <w:tc>
          <w:tcPr>
            <w:tcW w:w="8580" w:type="dxa"/>
            <w:vAlign w:val="bottom"/>
            <w:tcBorders>
              <w:bottom w:val="single" w:sz="8" w:color="939598"/>
            </w:tcBorders>
          </w:tcPr>
          <w:p>
            <w:pPr>
              <w:ind w:left="360"/>
              <w:spacing w:after="0"/>
              <w:rPr>
                <w:sz w:val="20"/>
                <w:szCs w:val="20"/>
                <w:color w:val="auto"/>
              </w:rPr>
            </w:pPr>
            <w:r>
              <w:rPr>
                <w:rFonts w:ascii="Arial" w:cs="Arial" w:eastAsia="Arial" w:hAnsi="Arial"/>
                <w:sz w:val="10"/>
                <w:szCs w:val="10"/>
                <w:color w:val="auto"/>
              </w:rPr>
              <w:t>Changes in assets and liabilities, net of the effects of acquisitions and divestitures: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115"/>
        </w:trPr>
        <w:tc>
          <w:tcPr>
            <w:tcW w:w="8580" w:type="dxa"/>
            <w:vAlign w:val="bottom"/>
            <w:tcBorders>
              <w:bottom w:val="single" w:sz="8" w:color="939598"/>
            </w:tcBorders>
          </w:tcPr>
          <w:p>
            <w:pPr>
              <w:ind w:left="520"/>
              <w:spacing w:after="0"/>
              <w:rPr>
                <w:sz w:val="20"/>
                <w:szCs w:val="20"/>
                <w:color w:val="auto"/>
              </w:rPr>
            </w:pPr>
            <w:r>
              <w:rPr>
                <w:rFonts w:ascii="Arial" w:cs="Arial" w:eastAsia="Arial" w:hAnsi="Arial"/>
                <w:sz w:val="10"/>
                <w:szCs w:val="10"/>
                <w:color w:val="auto"/>
              </w:rPr>
              <w:t>Accounts receivable</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669</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11</w:t>
            </w:r>
          </w:p>
        </w:tc>
      </w:tr>
      <w:tr>
        <w:trPr>
          <w:trHeight w:val="115"/>
        </w:trPr>
        <w:tc>
          <w:tcPr>
            <w:tcW w:w="8580" w:type="dxa"/>
            <w:vAlign w:val="bottom"/>
            <w:tcBorders>
              <w:bottom w:val="single" w:sz="8" w:color="939598"/>
            </w:tcBorders>
          </w:tcPr>
          <w:p>
            <w:pPr>
              <w:ind w:left="520"/>
              <w:spacing w:after="0"/>
              <w:rPr>
                <w:sz w:val="20"/>
                <w:szCs w:val="20"/>
                <w:color w:val="auto"/>
              </w:rPr>
            </w:pPr>
            <w:r>
              <w:rPr>
                <w:rFonts w:ascii="Arial" w:cs="Arial" w:eastAsia="Arial" w:hAnsi="Arial"/>
                <w:sz w:val="10"/>
                <w:szCs w:val="10"/>
                <w:color w:val="auto"/>
              </w:rPr>
              <w:t>Inventories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(685)</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(67)</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(100)</w:t>
            </w:r>
          </w:p>
        </w:tc>
      </w:tr>
      <w:tr>
        <w:trPr>
          <w:trHeight w:val="115"/>
        </w:trPr>
        <w:tc>
          <w:tcPr>
            <w:tcW w:w="8580" w:type="dxa"/>
            <w:vAlign w:val="bottom"/>
            <w:tcBorders>
              <w:bottom w:val="single" w:sz="8" w:color="939598"/>
            </w:tcBorders>
          </w:tcPr>
          <w:p>
            <w:pPr>
              <w:ind w:left="520"/>
              <w:spacing w:after="0"/>
              <w:rPr>
                <w:sz w:val="20"/>
                <w:szCs w:val="20"/>
                <w:color w:val="auto"/>
              </w:rPr>
            </w:pPr>
            <w:r>
              <w:rPr>
                <w:rFonts w:ascii="Arial" w:cs="Arial" w:eastAsia="Arial" w:hAnsi="Arial"/>
                <w:sz w:val="10"/>
                <w:szCs w:val="10"/>
                <w:color w:val="auto"/>
              </w:rPr>
              <w:t>Other current assets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(276)</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191</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(430)</w:t>
            </w:r>
          </w:p>
        </w:tc>
      </w:tr>
      <w:tr>
        <w:trPr>
          <w:trHeight w:val="115"/>
        </w:trPr>
        <w:tc>
          <w:tcPr>
            <w:tcW w:w="8580" w:type="dxa"/>
            <w:vAlign w:val="bottom"/>
            <w:tcBorders>
              <w:bottom w:val="single" w:sz="8" w:color="939598"/>
            </w:tcBorders>
          </w:tcPr>
          <w:p>
            <w:pPr>
              <w:ind w:left="520"/>
              <w:spacing w:after="0"/>
              <w:rPr>
                <w:sz w:val="20"/>
                <w:szCs w:val="20"/>
                <w:color w:val="auto"/>
              </w:rPr>
            </w:pPr>
            <w:r>
              <w:rPr>
                <w:rFonts w:ascii="Arial" w:cs="Arial" w:eastAsia="Arial" w:hAnsi="Arial"/>
                <w:sz w:val="10"/>
                <w:szCs w:val="10"/>
                <w:color w:val="auto"/>
              </w:rPr>
              <w:t>Accounts payable</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744</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15</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118</w:t>
            </w:r>
          </w:p>
        </w:tc>
      </w:tr>
      <w:tr>
        <w:trPr>
          <w:trHeight w:val="115"/>
        </w:trPr>
        <w:tc>
          <w:tcPr>
            <w:tcW w:w="8580" w:type="dxa"/>
            <w:vAlign w:val="bottom"/>
            <w:tcBorders>
              <w:bottom w:val="single" w:sz="8" w:color="DC202E"/>
            </w:tcBorders>
          </w:tcPr>
          <w:p>
            <w:pPr>
              <w:ind w:left="520"/>
              <w:spacing w:after="0"/>
              <w:rPr>
                <w:sz w:val="20"/>
                <w:szCs w:val="20"/>
                <w:color w:val="auto"/>
              </w:rPr>
            </w:pPr>
            <w:r>
              <w:rPr>
                <w:rFonts w:ascii="Arial" w:cs="Arial" w:eastAsia="Arial" w:hAnsi="Arial"/>
                <w:sz w:val="10"/>
                <w:szCs w:val="10"/>
                <w:color w:val="auto"/>
              </w:rPr>
              <w:t>Accrued liabilities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513</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555</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445</w:t>
            </w:r>
          </w:p>
        </w:tc>
      </w:tr>
      <w:tr>
        <w:trPr>
          <w:trHeight w:val="115"/>
        </w:trPr>
        <w:tc>
          <w:tcPr>
            <w:tcW w:w="8580" w:type="dxa"/>
            <w:vAlign w:val="bottom"/>
            <w:tcBorders>
              <w:bottom w:val="single" w:sz="8" w:color="DC202E"/>
            </w:tcBorders>
          </w:tcPr>
          <w:p>
            <w:pPr>
              <w:ind w:left="660"/>
              <w:spacing w:after="0"/>
              <w:rPr>
                <w:sz w:val="20"/>
                <w:szCs w:val="20"/>
                <w:color w:val="auto"/>
              </w:rPr>
            </w:pPr>
            <w:r>
              <w:rPr>
                <w:rFonts w:ascii="Arial" w:cs="Arial" w:eastAsia="Arial" w:hAnsi="Arial"/>
                <w:sz w:val="10"/>
                <w:szCs w:val="10"/>
                <w:b w:val="1"/>
                <w:bCs w:val="1"/>
                <w:color w:val="auto"/>
              </w:rPr>
              <w:t>Net cash provided by (used for) operating activities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6,038</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6,208</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6,897</w:t>
            </w: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Expenditures for property, plant and equipment</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(895)</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(906)</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(839)</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Proceeds from disposals of property, plant and equipment</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57</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43</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Increase in investments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(2,373)</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(3,236)</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(4,253)</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Decrease in investments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2,525</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3,508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4,464</w:t>
            </w:r>
          </w:p>
        </w:tc>
      </w:tr>
      <w:tr>
        <w:trPr>
          <w:trHeight w:val="133"/>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Receipts from Garrett Motion Inc.</w:t>
            </w:r>
          </w:p>
        </w:tc>
        <w:tc>
          <w:tcPr>
            <w:tcW w:w="16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586</w:t>
            </w:r>
          </w:p>
        </w:tc>
        <w:tc>
          <w:tcPr>
            <w:tcW w:w="40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939598"/>
            </w:tcBorders>
          </w:tcPr>
          <w:p>
            <w:pPr>
              <w:spacing w:after="0"/>
              <w:rPr>
                <w:sz w:val="11"/>
                <w:szCs w:val="11"/>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1"/>
                <w:szCs w:val="11"/>
                <w:color w:val="auto"/>
              </w:rPr>
              <w:t>—</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Receipts (payments) from settlements of derivative contracts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192</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(149)</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102</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Cash paid for acquisitions, net of cash acquired</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(1,326)</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(261)</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(50)</w:t>
            </w:r>
          </w:p>
        </w:tc>
      </w:tr>
      <w:tr>
        <w:trPr>
          <w:trHeight w:val="115"/>
        </w:trPr>
        <w:tc>
          <w:tcPr>
            <w:tcW w:w="85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Proceeds from sales of businesses, net of fees paid</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203</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r>
      <w:tr>
        <w:trPr>
          <w:trHeight w:val="115"/>
        </w:trPr>
        <w:tc>
          <w:tcPr>
            <w:tcW w:w="8580" w:type="dxa"/>
            <w:vAlign w:val="bottom"/>
            <w:tcBorders>
              <w:bottom w:val="single" w:sz="8" w:color="DC202E"/>
            </w:tcBorders>
          </w:tcPr>
          <w:p>
            <w:pPr>
              <w:ind w:left="660"/>
              <w:spacing w:after="0"/>
              <w:rPr>
                <w:sz w:val="20"/>
                <w:szCs w:val="20"/>
                <w:color w:val="auto"/>
              </w:rPr>
            </w:pPr>
            <w:r>
              <w:rPr>
                <w:rFonts w:ascii="Arial" w:cs="Arial" w:eastAsia="Arial" w:hAnsi="Arial"/>
                <w:sz w:val="10"/>
                <w:szCs w:val="10"/>
                <w:b w:val="1"/>
                <w:bCs w:val="1"/>
                <w:color w:val="auto"/>
              </w:rPr>
              <w:t>Net cash provided by (used for) investing activities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(1,061)</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(987)</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(533)</w:t>
            </w: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Proceeds from issuance of commercial paper and other short-term borrowings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5,194</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10,474</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14,199</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Payments of commercial paper and other short-term borrowings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(5,190)</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(10,400)</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(14,199)</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Proceeds from issuance of common stock</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229</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393</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498</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Proceeds from issuance of long-term debt</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2,517</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10,125</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2,726</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Payments of long-term debt</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(4,917)</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(4,308)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(2,903)</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Repurchases of common stock</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(3,380)</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(3,714)</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(4,400)</w:t>
            </w:r>
          </w:p>
        </w:tc>
      </w:tr>
      <w:tr>
        <w:trPr>
          <w:trHeight w:val="115"/>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Cash dividends paid</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(2,626)</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(2,592)</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(2,442)</w:t>
            </w:r>
          </w:p>
        </w:tc>
      </w:tr>
      <w:tr>
        <w:trPr>
          <w:trHeight w:val="115"/>
        </w:trPr>
        <w:tc>
          <w:tcPr>
            <w:tcW w:w="85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(81)</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color w:val="auto"/>
              </w:rPr>
              <w:t>(59)</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(79)</w:t>
            </w:r>
          </w:p>
        </w:tc>
      </w:tr>
      <w:tr>
        <w:trPr>
          <w:trHeight w:val="115"/>
        </w:trPr>
        <w:tc>
          <w:tcPr>
            <w:tcW w:w="8580" w:type="dxa"/>
            <w:vAlign w:val="bottom"/>
            <w:tcBorders>
              <w:bottom w:val="single" w:sz="8" w:color="DC202E"/>
            </w:tcBorders>
          </w:tcPr>
          <w:p>
            <w:pPr>
              <w:ind w:left="660"/>
              <w:spacing w:after="0"/>
              <w:rPr>
                <w:sz w:val="20"/>
                <w:szCs w:val="20"/>
                <w:color w:val="auto"/>
              </w:rPr>
            </w:pPr>
            <w:r>
              <w:rPr>
                <w:rFonts w:ascii="Arial" w:cs="Arial" w:eastAsia="Arial" w:hAnsi="Arial"/>
                <w:sz w:val="10"/>
                <w:szCs w:val="10"/>
                <w:b w:val="1"/>
                <w:bCs w:val="1"/>
                <w:color w:val="auto"/>
              </w:rPr>
              <w:t>Net cash provided by (used for) financing activities</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(8,254)</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(81)</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(6,600)</w:t>
            </w: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Effect of foreign exchange rate changes on cash and cash equivalents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16</w:t>
            </w:r>
          </w:p>
        </w:tc>
      </w:tr>
      <w:tr>
        <w:trPr>
          <w:trHeight w:val="115"/>
        </w:trPr>
        <w:tc>
          <w:tcPr>
            <w:tcW w:w="8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increase (decrease) in cash and cash equivalents</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(3,316)</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5,208</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(220)</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Cash and cash equivalents at beginning of period</w:t>
            </w:r>
          </w:p>
        </w:tc>
        <w:tc>
          <w:tcPr>
            <w:tcW w:w="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14,275</w:t>
            </w:r>
          </w:p>
        </w:tc>
        <w:tc>
          <w:tcPr>
            <w:tcW w:w="40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9,067</w:t>
            </w:r>
          </w:p>
        </w:tc>
        <w:tc>
          <w:tcPr>
            <w:tcW w:w="24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9,287</w:t>
            </w:r>
          </w:p>
        </w:tc>
      </w:tr>
      <w:tr>
        <w:trPr>
          <w:trHeight w:val="115"/>
        </w:trPr>
        <w:tc>
          <w:tcPr>
            <w:tcW w:w="85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Cash and cash equivalents at end of period</w:t>
            </w:r>
          </w:p>
        </w:tc>
        <w:tc>
          <w:tcPr>
            <w:tcW w:w="1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10,959</w:t>
            </w:r>
          </w:p>
        </w:tc>
        <w:tc>
          <w:tcPr>
            <w:tcW w:w="4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14,275</w:t>
            </w:r>
          </w:p>
        </w:tc>
        <w:tc>
          <w:tcPr>
            <w:tcW w:w="2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9,067</w:t>
            </w:r>
          </w:p>
        </w:tc>
      </w:tr>
    </w:tbl>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12" w:lineRule="exact"/>
        <w:rPr>
          <w:sz w:val="20"/>
          <w:szCs w:val="20"/>
          <w:color w:val="auto"/>
        </w:rPr>
      </w:pPr>
    </w:p>
    <w:p>
      <w:pPr>
        <w:ind w:left="468" w:hanging="468"/>
        <w:spacing w:after="0"/>
        <w:tabs>
          <w:tab w:leader="none" w:pos="468" w:val="left"/>
        </w:tabs>
        <w:numPr>
          <w:ilvl w:val="0"/>
          <w:numId w:val="7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10"/>
        </w:trPr>
        <w:tc>
          <w:tcPr>
            <w:tcW w:w="32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520" w:type="dxa"/>
            <w:vAlign w:val="bottom"/>
            <w:gridSpan w:val="3"/>
          </w:tcPr>
          <w:p>
            <w:pPr>
              <w:jc w:val="right"/>
              <w:spacing w:after="0"/>
              <w:rPr>
                <w:sz w:val="20"/>
                <w:szCs w:val="20"/>
                <w:color w:val="auto"/>
              </w:rPr>
            </w:pPr>
            <w:r>
              <w:rPr>
                <w:rFonts w:ascii="Arial" w:cs="Arial" w:eastAsia="Arial" w:hAnsi="Arial"/>
                <w:sz w:val="8"/>
                <w:szCs w:val="8"/>
                <w:b w:val="1"/>
                <w:bCs w:val="1"/>
                <w:color w:val="D7282F"/>
              </w:rPr>
              <w:t>FINANCIAL STATEMENTS AND SUPPLEMENTARY DATA</w:t>
            </w:r>
          </w:p>
        </w:tc>
      </w:tr>
      <w:tr>
        <w:trPr>
          <w:trHeight w:val="523"/>
        </w:trPr>
        <w:tc>
          <w:tcPr>
            <w:tcW w:w="3280" w:type="dxa"/>
            <w:vAlign w:val="bottom"/>
          </w:tcPr>
          <w:p>
            <w:pPr>
              <w:spacing w:after="0"/>
              <w:rPr>
                <w:sz w:val="24"/>
                <w:szCs w:val="24"/>
                <w:color w:val="auto"/>
              </w:rPr>
            </w:pPr>
          </w:p>
        </w:tc>
        <w:tc>
          <w:tcPr>
            <w:tcW w:w="3360" w:type="dxa"/>
            <w:vAlign w:val="bottom"/>
            <w:gridSpan w:val="2"/>
          </w:tcPr>
          <w:p>
            <w:pPr>
              <w:jc w:val="right"/>
              <w:ind w:right="32"/>
              <w:spacing w:after="0"/>
              <w:rPr>
                <w:sz w:val="20"/>
                <w:szCs w:val="20"/>
                <w:color w:val="auto"/>
              </w:rPr>
            </w:pPr>
            <w:r>
              <w:rPr>
                <w:rFonts w:ascii="Arial" w:cs="Arial" w:eastAsia="Arial" w:hAnsi="Arial"/>
                <w:sz w:val="11"/>
                <w:szCs w:val="11"/>
                <w:b w:val="1"/>
                <w:bCs w:val="1"/>
                <w:color w:val="auto"/>
              </w:rPr>
              <w:t>HONEYWELL INTERNATIONAL INC.</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2"/>
        </w:trPr>
        <w:tc>
          <w:tcPr>
            <w:tcW w:w="3280" w:type="dxa"/>
            <w:vAlign w:val="bottom"/>
          </w:tcPr>
          <w:p>
            <w:pPr>
              <w:spacing w:after="0"/>
              <w:rPr>
                <w:sz w:val="12"/>
                <w:szCs w:val="12"/>
                <w:color w:val="auto"/>
              </w:rPr>
            </w:pPr>
          </w:p>
        </w:tc>
        <w:tc>
          <w:tcPr>
            <w:tcW w:w="4200" w:type="dxa"/>
            <w:vAlign w:val="bottom"/>
            <w:gridSpan w:val="4"/>
          </w:tcPr>
          <w:p>
            <w:pPr>
              <w:jc w:val="right"/>
              <w:ind w:right="252"/>
              <w:spacing w:after="0"/>
              <w:rPr>
                <w:sz w:val="20"/>
                <w:szCs w:val="20"/>
                <w:color w:val="auto"/>
              </w:rPr>
            </w:pPr>
            <w:r>
              <w:rPr>
                <w:rFonts w:ascii="Arial" w:cs="Arial" w:eastAsia="Arial" w:hAnsi="Arial"/>
                <w:sz w:val="11"/>
                <w:szCs w:val="11"/>
                <w:b w:val="1"/>
                <w:bCs w:val="1"/>
                <w:color w:val="auto"/>
              </w:rPr>
              <w:t>CONSOLIDATED STATEMENT OF SHAREOWNERS’ EQUITY</w:t>
            </w: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29"/>
        </w:trPr>
        <w:tc>
          <w:tcPr>
            <w:tcW w:w="3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bottom w:val="single" w:sz="8" w:color="DC202E"/>
            </w:tcBorders>
          </w:tcPr>
          <w:p>
            <w:pPr>
              <w:spacing w:after="0"/>
              <w:rPr>
                <w:sz w:val="19"/>
                <w:szCs w:val="19"/>
                <w:color w:val="auto"/>
              </w:rPr>
            </w:pPr>
          </w:p>
        </w:tc>
        <w:tc>
          <w:tcPr>
            <w:tcW w:w="200" w:type="dxa"/>
            <w:vAlign w:val="bottom"/>
            <w:tcBorders>
              <w:bottom w:val="single" w:sz="8" w:color="DC202E"/>
            </w:tcBorders>
          </w:tcPr>
          <w:p>
            <w:pPr>
              <w:spacing w:after="0"/>
              <w:rPr>
                <w:sz w:val="19"/>
                <w:szCs w:val="19"/>
                <w:color w:val="auto"/>
              </w:rPr>
            </w:pPr>
          </w:p>
        </w:tc>
        <w:tc>
          <w:tcPr>
            <w:tcW w:w="640" w:type="dxa"/>
            <w:vAlign w:val="bottom"/>
            <w:tcBorders>
              <w:bottom w:val="single" w:sz="8" w:color="DC202E"/>
            </w:tcBorders>
          </w:tcPr>
          <w:p>
            <w:pPr>
              <w:spacing w:after="0"/>
              <w:rPr>
                <w:sz w:val="19"/>
                <w:szCs w:val="19"/>
                <w:color w:val="auto"/>
              </w:rPr>
            </w:pPr>
          </w:p>
        </w:tc>
        <w:tc>
          <w:tcPr>
            <w:tcW w:w="2080" w:type="dxa"/>
            <w:vAlign w:val="bottom"/>
            <w:tcBorders>
              <w:bottom w:val="single" w:sz="8" w:color="DC202E"/>
            </w:tcBorders>
            <w:gridSpan w:val="2"/>
          </w:tcPr>
          <w:p>
            <w:pPr>
              <w:jc w:val="center"/>
              <w:ind w:right="52"/>
              <w:spacing w:after="0"/>
              <w:rPr>
                <w:sz w:val="20"/>
                <w:szCs w:val="20"/>
                <w:color w:val="auto"/>
              </w:rPr>
            </w:pPr>
            <w:r>
              <w:rPr>
                <w:rFonts w:ascii="Arial" w:cs="Arial" w:eastAsia="Arial" w:hAnsi="Arial"/>
                <w:sz w:val="10"/>
                <w:szCs w:val="10"/>
                <w:b w:val="1"/>
                <w:bCs w:val="1"/>
                <w:color w:val="auto"/>
                <w:w w:val="94"/>
              </w:rPr>
              <w:t>Years Ended December 31,</w:t>
            </w:r>
          </w:p>
        </w:tc>
        <w:tc>
          <w:tcPr>
            <w:tcW w:w="1160" w:type="dxa"/>
            <w:vAlign w:val="bottom"/>
            <w:tcBorders>
              <w:bottom w:val="single" w:sz="8" w:color="DC202E"/>
            </w:tcBorders>
          </w:tcPr>
          <w:p>
            <w:pPr>
              <w:spacing w:after="0"/>
              <w:rPr>
                <w:sz w:val="19"/>
                <w:szCs w:val="19"/>
                <w:color w:val="auto"/>
              </w:rPr>
            </w:pPr>
          </w:p>
        </w:tc>
        <w:tc>
          <w:tcPr>
            <w:tcW w:w="580" w:type="dxa"/>
            <w:vAlign w:val="bottom"/>
            <w:tcBorders>
              <w:bottom w:val="single" w:sz="8" w:color="DC202E"/>
            </w:tcBorders>
          </w:tcPr>
          <w:p>
            <w:pPr>
              <w:spacing w:after="0"/>
              <w:rPr>
                <w:sz w:val="19"/>
                <w:szCs w:val="19"/>
                <w:color w:val="auto"/>
              </w:rPr>
            </w:pPr>
          </w:p>
        </w:tc>
      </w:tr>
      <w:tr>
        <w:trPr>
          <w:trHeight w:val="124"/>
        </w:trPr>
        <w:tc>
          <w:tcPr>
            <w:tcW w:w="3280" w:type="dxa"/>
            <w:vAlign w:val="bottom"/>
          </w:tcPr>
          <w:p>
            <w:pPr>
              <w:spacing w:after="0"/>
              <w:rPr>
                <w:sz w:val="10"/>
                <w:szCs w:val="10"/>
                <w:color w:val="auto"/>
              </w:rPr>
            </w:pPr>
          </w:p>
        </w:tc>
        <w:tc>
          <w:tcPr>
            <w:tcW w:w="33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tcPr>
          <w:p>
            <w:pPr>
              <w:jc w:val="center"/>
              <w:ind w:left="612"/>
              <w:spacing w:after="0"/>
              <w:rPr>
                <w:sz w:val="20"/>
                <w:szCs w:val="20"/>
                <w:color w:val="auto"/>
              </w:rPr>
            </w:pPr>
            <w:r>
              <w:rPr>
                <w:rFonts w:ascii="Arial" w:cs="Arial" w:eastAsia="Arial" w:hAnsi="Arial"/>
                <w:sz w:val="10"/>
                <w:szCs w:val="10"/>
                <w:b w:val="1"/>
                <w:bCs w:val="1"/>
                <w:color w:val="auto"/>
                <w:w w:val="89"/>
              </w:rPr>
              <w:t>2020</w:t>
            </w:r>
          </w:p>
        </w:tc>
        <w:tc>
          <w:tcPr>
            <w:tcW w:w="780" w:type="dxa"/>
            <w:vAlign w:val="bottom"/>
          </w:tcPr>
          <w:p>
            <w:pPr>
              <w:spacing w:after="0"/>
              <w:rPr>
                <w:sz w:val="10"/>
                <w:szCs w:val="10"/>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2019</w:t>
            </w:r>
          </w:p>
        </w:tc>
        <w:tc>
          <w:tcPr>
            <w:tcW w:w="580" w:type="dxa"/>
            <w:vAlign w:val="bottom"/>
          </w:tcPr>
          <w:p>
            <w:pPr>
              <w:spacing w:after="0"/>
              <w:rPr>
                <w:sz w:val="10"/>
                <w:szCs w:val="10"/>
                <w:color w:val="auto"/>
              </w:rPr>
            </w:pPr>
          </w:p>
        </w:tc>
      </w:tr>
      <w:tr>
        <w:trPr>
          <w:trHeight w:val="124"/>
        </w:trPr>
        <w:tc>
          <w:tcPr>
            <w:tcW w:w="32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80" w:type="dxa"/>
            <w:vAlign w:val="bottom"/>
            <w:tcBorders>
              <w:top w:val="single" w:sz="8" w:color="DC202E"/>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top w:val="single" w:sz="8" w:color="DC202E"/>
              <w:bottom w:val="single" w:sz="8" w:color="DC202E"/>
            </w:tcBorders>
          </w:tcPr>
          <w:p>
            <w:pPr>
              <w:spacing w:after="0"/>
              <w:rPr>
                <w:sz w:val="10"/>
                <w:szCs w:val="10"/>
                <w:color w:val="auto"/>
              </w:rPr>
            </w:pPr>
          </w:p>
        </w:tc>
        <w:tc>
          <w:tcPr>
            <w:tcW w:w="640" w:type="dxa"/>
            <w:vAlign w:val="bottom"/>
            <w:tcBorders>
              <w:top w:val="single" w:sz="8" w:color="DC202E"/>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top w:val="single" w:sz="8" w:color="DC202E"/>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Shares</w:t>
            </w:r>
          </w:p>
        </w:tc>
        <w:tc>
          <w:tcPr>
            <w:tcW w:w="780" w:type="dxa"/>
            <w:vAlign w:val="bottom"/>
            <w:tcBorders>
              <w:top w:val="single" w:sz="8" w:color="DC202E"/>
              <w:bottom w:val="single" w:sz="8" w:color="DC202E"/>
            </w:tcBorders>
          </w:tcPr>
          <w:p>
            <w:pPr>
              <w:jc w:val="right"/>
              <w:ind w:right="532"/>
              <w:spacing w:after="0"/>
              <w:rPr>
                <w:sz w:val="20"/>
                <w:szCs w:val="20"/>
                <w:color w:val="auto"/>
              </w:rPr>
            </w:pPr>
            <w:r>
              <w:rPr>
                <w:rFonts w:ascii="Arial" w:cs="Arial" w:eastAsia="Arial" w:hAnsi="Arial"/>
                <w:sz w:val="10"/>
                <w:szCs w:val="10"/>
                <w:b w:val="1"/>
                <w:bCs w:val="1"/>
                <w:color w:val="auto"/>
              </w:rPr>
              <w:t>$</w:t>
            </w:r>
          </w:p>
        </w:tc>
        <w:tc>
          <w:tcPr>
            <w:tcW w:w="1160" w:type="dxa"/>
            <w:vAlign w:val="bottom"/>
            <w:tcBorders>
              <w:top w:val="single" w:sz="8" w:color="DC202E"/>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Shares</w:t>
            </w:r>
          </w:p>
        </w:tc>
        <w:tc>
          <w:tcPr>
            <w:tcW w:w="580" w:type="dxa"/>
            <w:vAlign w:val="bottom"/>
            <w:tcBorders>
              <w:top w:val="single" w:sz="8" w:color="DC202E"/>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r>
      <w:tr>
        <w:trPr>
          <w:trHeight w:val="115"/>
        </w:trPr>
        <w:tc>
          <w:tcPr>
            <w:tcW w:w="3280" w:type="dxa"/>
            <w:vAlign w:val="bottom"/>
            <w:tcBorders>
              <w:bottom w:val="single" w:sz="8" w:color="DC202E"/>
            </w:tcBorders>
          </w:tcPr>
          <w:p>
            <w:pPr>
              <w:spacing w:after="0"/>
              <w:rPr>
                <w:sz w:val="10"/>
                <w:szCs w:val="10"/>
                <w:color w:val="auto"/>
              </w:rPr>
            </w:pP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080" w:type="dxa"/>
            <w:vAlign w:val="bottom"/>
            <w:tcBorders>
              <w:bottom w:val="single" w:sz="8" w:color="DC202E"/>
            </w:tcBorders>
            <w:gridSpan w:val="2"/>
          </w:tcPr>
          <w:p>
            <w:pPr>
              <w:jc w:val="center"/>
              <w:ind w:right="52"/>
              <w:spacing w:after="0"/>
              <w:rPr>
                <w:sz w:val="20"/>
                <w:szCs w:val="20"/>
                <w:color w:val="auto"/>
              </w:rPr>
            </w:pPr>
            <w:r>
              <w:rPr>
                <w:rFonts w:ascii="Arial" w:cs="Arial" w:eastAsia="Arial" w:hAnsi="Arial"/>
                <w:sz w:val="10"/>
                <w:szCs w:val="10"/>
                <w:b w:val="1"/>
                <w:bCs w:val="1"/>
                <w:color w:val="auto"/>
                <w:w w:val="95"/>
              </w:rPr>
              <w:t>(in millions, except per share amounts)</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Common stock, par value</w:t>
            </w:r>
          </w:p>
        </w:tc>
        <w:tc>
          <w:tcPr>
            <w:tcW w:w="3360" w:type="dxa"/>
            <w:vAlign w:val="bottom"/>
            <w:tcBorders>
              <w:bottom w:val="single" w:sz="8" w:color="939598"/>
            </w:tcBorders>
            <w:gridSpan w:val="2"/>
          </w:tcPr>
          <w:p>
            <w:pPr>
              <w:jc w:val="right"/>
              <w:ind w:right="232"/>
              <w:spacing w:after="0"/>
              <w:rPr>
                <w:sz w:val="20"/>
                <w:szCs w:val="20"/>
                <w:color w:val="auto"/>
              </w:rPr>
            </w:pPr>
            <w:r>
              <w:rPr>
                <w:rFonts w:ascii="Arial" w:cs="Arial" w:eastAsia="Arial" w:hAnsi="Arial"/>
                <w:sz w:val="10"/>
                <w:szCs w:val="10"/>
                <w:color w:val="auto"/>
              </w:rPr>
              <w:t>957.6</w:t>
            </w: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958</w:t>
            </w:r>
          </w:p>
        </w:tc>
        <w:tc>
          <w:tcPr>
            <w:tcW w:w="1300" w:type="dxa"/>
            <w:vAlign w:val="bottom"/>
            <w:tcBorders>
              <w:bottom w:val="single" w:sz="8" w:color="939598"/>
            </w:tcBorders>
          </w:tcPr>
          <w:p>
            <w:pPr>
              <w:jc w:val="right"/>
              <w:ind w:right="432"/>
              <w:spacing w:after="0"/>
              <w:rPr>
                <w:sz w:val="20"/>
                <w:szCs w:val="20"/>
                <w:color w:val="auto"/>
              </w:rPr>
            </w:pPr>
            <w:r>
              <w:rPr>
                <w:rFonts w:ascii="Arial" w:cs="Arial" w:eastAsia="Arial" w:hAnsi="Arial"/>
                <w:sz w:val="10"/>
                <w:szCs w:val="10"/>
                <w:color w:val="auto"/>
              </w:rPr>
              <w:t>957.6</w:t>
            </w: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958</w:t>
            </w:r>
          </w:p>
        </w:tc>
        <w:tc>
          <w:tcPr>
            <w:tcW w:w="1160" w:type="dxa"/>
            <w:vAlign w:val="bottom"/>
            <w:tcBorders>
              <w:bottom w:val="single" w:sz="8" w:color="939598"/>
            </w:tcBorders>
          </w:tcPr>
          <w:p>
            <w:pPr>
              <w:jc w:val="right"/>
              <w:ind w:right="412"/>
              <w:spacing w:after="0"/>
              <w:rPr>
                <w:sz w:val="20"/>
                <w:szCs w:val="20"/>
                <w:color w:val="auto"/>
              </w:rPr>
            </w:pPr>
            <w:r>
              <w:rPr>
                <w:rFonts w:ascii="Arial" w:cs="Arial" w:eastAsia="Arial" w:hAnsi="Arial"/>
                <w:sz w:val="10"/>
                <w:szCs w:val="10"/>
                <w:color w:val="auto"/>
              </w:rPr>
              <w:t>957.6</w:t>
            </w: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958</w:t>
            </w: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Additional paid-in capital</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Beginning balance</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7,292</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6,876</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6,452</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Issued for employee savings and option plans</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184</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248</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271</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Stock-based compensation expense</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217</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168</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153</w:t>
            </w:r>
          </w:p>
        </w:tc>
      </w:tr>
      <w:tr>
        <w:trPr>
          <w:trHeight w:val="115"/>
        </w:trPr>
        <w:tc>
          <w:tcPr>
            <w:tcW w:w="32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Impact of Quantinuum contribution</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448</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r>
      <w:tr>
        <w:trPr>
          <w:trHeight w:val="115"/>
        </w:trPr>
        <w:tc>
          <w:tcPr>
            <w:tcW w:w="32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Ending balance</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8,141</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7,292</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6,876</w:t>
            </w: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Treasury stock</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Beginning balance</w:t>
            </w:r>
          </w:p>
        </w:tc>
        <w:tc>
          <w:tcPr>
            <w:tcW w:w="336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(260.8)</w:t>
            </w: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(27,229)</w:t>
            </w:r>
          </w:p>
        </w:tc>
        <w:tc>
          <w:tcPr>
            <w:tcW w:w="130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(246.5)</w:t>
            </w:r>
          </w:p>
        </w:tc>
        <w:tc>
          <w:tcPr>
            <w:tcW w:w="78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(23,836)</w:t>
            </w:r>
          </w:p>
        </w:tc>
        <w:tc>
          <w:tcPr>
            <w:tcW w:w="116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(228.0)</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(19,771)</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Reacquired stock or repurchases of common stock</w:t>
            </w:r>
          </w:p>
        </w:tc>
        <w:tc>
          <w:tcPr>
            <w:tcW w:w="3360" w:type="dxa"/>
            <w:vAlign w:val="bottom"/>
            <w:tcBorders>
              <w:bottom w:val="single" w:sz="8" w:color="939598"/>
            </w:tcBorders>
            <w:gridSpan w:val="2"/>
          </w:tcPr>
          <w:p>
            <w:pPr>
              <w:jc w:val="right"/>
              <w:ind w:right="192"/>
              <w:spacing w:after="0"/>
              <w:rPr>
                <w:sz w:val="20"/>
                <w:szCs w:val="20"/>
                <w:color w:val="auto"/>
              </w:rPr>
            </w:pPr>
            <w:r>
              <w:rPr>
                <w:rFonts w:ascii="Arial" w:cs="Arial" w:eastAsia="Arial" w:hAnsi="Arial"/>
                <w:sz w:val="10"/>
                <w:szCs w:val="10"/>
                <w:color w:val="auto"/>
              </w:rPr>
              <w:t>(15.8)</w:t>
            </w: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(3,380)</w:t>
            </w:r>
          </w:p>
        </w:tc>
        <w:tc>
          <w:tcPr>
            <w:tcW w:w="130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(20.7)</w:t>
            </w:r>
          </w:p>
        </w:tc>
        <w:tc>
          <w:tcPr>
            <w:tcW w:w="78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(3,714)</w:t>
            </w:r>
          </w:p>
        </w:tc>
        <w:tc>
          <w:tcPr>
            <w:tcW w:w="116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(26.5)</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(4,400)</w:t>
            </w:r>
          </w:p>
        </w:tc>
      </w:tr>
      <w:tr>
        <w:trPr>
          <w:trHeight w:val="115"/>
        </w:trPr>
        <w:tc>
          <w:tcPr>
            <w:tcW w:w="32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Issued for employee savings and option plans</w:t>
            </w:r>
          </w:p>
        </w:tc>
        <w:tc>
          <w:tcPr>
            <w:tcW w:w="3360" w:type="dxa"/>
            <w:vAlign w:val="bottom"/>
            <w:tcBorders>
              <w:bottom w:val="single" w:sz="8" w:color="DC202E"/>
            </w:tcBorders>
            <w:gridSpan w:val="2"/>
          </w:tcPr>
          <w:p>
            <w:pPr>
              <w:jc w:val="right"/>
              <w:ind w:right="232"/>
              <w:spacing w:after="0"/>
              <w:rPr>
                <w:sz w:val="20"/>
                <w:szCs w:val="20"/>
                <w:color w:val="auto"/>
              </w:rPr>
            </w:pPr>
            <w:r>
              <w:rPr>
                <w:rFonts w:ascii="Arial" w:cs="Arial" w:eastAsia="Arial" w:hAnsi="Arial"/>
                <w:sz w:val="10"/>
                <w:szCs w:val="10"/>
                <w:color w:val="auto"/>
              </w:rPr>
              <w:t>3.8</w:t>
            </w: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147</w:t>
            </w:r>
          </w:p>
        </w:tc>
        <w:tc>
          <w:tcPr>
            <w:tcW w:w="130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color w:val="auto"/>
              </w:rPr>
              <w:t>6.4</w:t>
            </w: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321</w:t>
            </w:r>
          </w:p>
        </w:tc>
        <w:tc>
          <w:tcPr>
            <w:tcW w:w="116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color w:val="auto"/>
              </w:rPr>
              <w:t>8.0</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335</w:t>
            </w:r>
          </w:p>
        </w:tc>
      </w:tr>
      <w:tr>
        <w:trPr>
          <w:trHeight w:val="115"/>
        </w:trPr>
        <w:tc>
          <w:tcPr>
            <w:tcW w:w="32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Ending balance</w:t>
            </w:r>
          </w:p>
        </w:tc>
        <w:tc>
          <w:tcPr>
            <w:tcW w:w="3360" w:type="dxa"/>
            <w:vAlign w:val="bottom"/>
            <w:tcBorders>
              <w:bottom w:val="single" w:sz="8" w:color="DC202E"/>
            </w:tcBorders>
            <w:gridSpan w:val="2"/>
          </w:tcPr>
          <w:p>
            <w:pPr>
              <w:jc w:val="right"/>
              <w:ind w:right="192"/>
              <w:spacing w:after="0"/>
              <w:rPr>
                <w:sz w:val="20"/>
                <w:szCs w:val="20"/>
                <w:color w:val="auto"/>
              </w:rPr>
            </w:pPr>
            <w:r>
              <w:rPr>
                <w:rFonts w:ascii="Arial" w:cs="Arial" w:eastAsia="Arial" w:hAnsi="Arial"/>
                <w:sz w:val="10"/>
                <w:szCs w:val="10"/>
                <w:color w:val="auto"/>
              </w:rPr>
              <w:t>(272.8)</w:t>
            </w: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(30,462)</w:t>
            </w:r>
          </w:p>
        </w:tc>
        <w:tc>
          <w:tcPr>
            <w:tcW w:w="130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color w:val="auto"/>
              </w:rPr>
              <w:t>(260.8)</w:t>
            </w:r>
          </w:p>
        </w:tc>
        <w:tc>
          <w:tcPr>
            <w:tcW w:w="78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(27,229)</w:t>
            </w:r>
          </w:p>
        </w:tc>
        <w:tc>
          <w:tcPr>
            <w:tcW w:w="116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color w:val="auto"/>
              </w:rPr>
              <w:t>(246.5)</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(23,836)</w:t>
            </w: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Retained earnings</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Beginning balance</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39,905</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37,693</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33,978</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Net income attributable to Honeywell</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5,542</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4,779</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6,143</w:t>
            </w:r>
          </w:p>
        </w:tc>
      </w:tr>
      <w:tr>
        <w:trPr>
          <w:trHeight w:val="115"/>
        </w:trPr>
        <w:tc>
          <w:tcPr>
            <w:tcW w:w="32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Dividends on common stock</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(2,620)</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(2,567)</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(2,428)</w:t>
            </w:r>
          </w:p>
        </w:tc>
      </w:tr>
      <w:tr>
        <w:trPr>
          <w:trHeight w:val="115"/>
        </w:trPr>
        <w:tc>
          <w:tcPr>
            <w:tcW w:w="32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Ending balance</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42,827</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39,905</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37,693</w:t>
            </w: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Accumulated other comprehensive income (loss)</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Beginning balance</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(3,377)</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(3,197)</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(3,437)</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Foreign exchange translation adjustment</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302</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(214)</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143</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Pensions and other postretirement benefit adjustments</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186</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74</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86</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Changes in fair value of available for sale investments</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4</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r>
      <w:tr>
        <w:trPr>
          <w:trHeight w:val="115"/>
        </w:trPr>
        <w:tc>
          <w:tcPr>
            <w:tcW w:w="32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Changes in fair value of cash flow hedges</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(44)</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11</w:t>
            </w:r>
          </w:p>
        </w:tc>
      </w:tr>
      <w:tr>
        <w:trPr>
          <w:trHeight w:val="115"/>
        </w:trPr>
        <w:tc>
          <w:tcPr>
            <w:tcW w:w="32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Ending balance</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(2,895)</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color w:val="auto"/>
              </w:rPr>
              <w:t>(3,377)</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(3,197)</w:t>
            </w: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Noncontrolling interest</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r>
      <w:tr>
        <w:trPr>
          <w:trHeight w:val="115"/>
        </w:trPr>
        <w:tc>
          <w:tcPr>
            <w:tcW w:w="32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Beginning balance</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241</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212</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178</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Acquisitions, divestitures, and other</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397</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(6)</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Net income attributable to noncontrolling interest</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68</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86</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87</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Foreign exchange translation adjustment</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3</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w:t>
            </w:r>
          </w:p>
        </w:tc>
      </w:tr>
      <w:tr>
        <w:trPr>
          <w:trHeight w:val="115"/>
        </w:trPr>
        <w:tc>
          <w:tcPr>
            <w:tcW w:w="32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Dividends paid</w:t>
            </w:r>
          </w:p>
        </w:tc>
        <w:tc>
          <w:tcPr>
            <w:tcW w:w="238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w:t>
            </w:r>
          </w:p>
        </w:tc>
        <w:tc>
          <w:tcPr>
            <w:tcW w:w="130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(54)</w:t>
            </w:r>
          </w:p>
        </w:tc>
        <w:tc>
          <w:tcPr>
            <w:tcW w:w="1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(45)</w:t>
            </w:r>
          </w:p>
        </w:tc>
      </w:tr>
      <w:tr>
        <w:trPr>
          <w:trHeight w:val="115"/>
        </w:trPr>
        <w:tc>
          <w:tcPr>
            <w:tcW w:w="32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Contributions from noncontrolling interest holders</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r>
      <w:tr>
        <w:trPr>
          <w:trHeight w:val="115"/>
        </w:trPr>
        <w:tc>
          <w:tcPr>
            <w:tcW w:w="32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Ending balance</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673</w:t>
            </w:r>
          </w:p>
        </w:tc>
        <w:tc>
          <w:tcPr>
            <w:tcW w:w="13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241</w:t>
            </w:r>
          </w:p>
        </w:tc>
        <w:tc>
          <w:tcPr>
            <w:tcW w:w="11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212</w:t>
            </w:r>
          </w:p>
        </w:tc>
      </w:tr>
      <w:tr>
        <w:trPr>
          <w:trHeight w:val="115"/>
        </w:trPr>
        <w:tc>
          <w:tcPr>
            <w:tcW w:w="32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shareowners’ equity</w:t>
            </w:r>
          </w:p>
        </w:tc>
        <w:tc>
          <w:tcPr>
            <w:tcW w:w="3360" w:type="dxa"/>
            <w:vAlign w:val="bottom"/>
            <w:tcBorders>
              <w:bottom w:val="single" w:sz="8" w:color="DC202E"/>
            </w:tcBorders>
            <w:gridSpan w:val="2"/>
          </w:tcPr>
          <w:p>
            <w:pPr>
              <w:jc w:val="right"/>
              <w:ind w:right="232"/>
              <w:spacing w:after="0"/>
              <w:rPr>
                <w:sz w:val="20"/>
                <w:szCs w:val="20"/>
                <w:color w:val="auto"/>
              </w:rPr>
            </w:pPr>
            <w:r>
              <w:rPr>
                <w:rFonts w:ascii="Arial" w:cs="Arial" w:eastAsia="Arial" w:hAnsi="Arial"/>
                <w:sz w:val="10"/>
                <w:szCs w:val="10"/>
                <w:b w:val="1"/>
                <w:bCs w:val="1"/>
                <w:color w:val="auto"/>
              </w:rPr>
              <w:t>684.8</w:t>
            </w:r>
          </w:p>
        </w:tc>
        <w:tc>
          <w:tcPr>
            <w:tcW w:w="20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19,242</w:t>
            </w:r>
          </w:p>
        </w:tc>
        <w:tc>
          <w:tcPr>
            <w:tcW w:w="130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696.8</w:t>
            </w: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17,790</w:t>
            </w:r>
          </w:p>
        </w:tc>
        <w:tc>
          <w:tcPr>
            <w:tcW w:w="116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711.1</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18,706</w:t>
            </w:r>
          </w:p>
        </w:tc>
      </w:tr>
      <w:tr>
        <w:trPr>
          <w:trHeight w:val="115"/>
        </w:trPr>
        <w:tc>
          <w:tcPr>
            <w:tcW w:w="32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Cash dividends per share of common stock</w:t>
            </w:r>
          </w:p>
        </w:tc>
        <w:tc>
          <w:tcPr>
            <w:tcW w:w="238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3.770</w:t>
            </w:r>
          </w:p>
        </w:tc>
        <w:tc>
          <w:tcPr>
            <w:tcW w:w="13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3.630</w:t>
            </w:r>
          </w:p>
        </w:tc>
        <w:tc>
          <w:tcPr>
            <w:tcW w:w="11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3.360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57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ind w:left="4248"/>
        <w:spacing w:after="0"/>
        <w:rPr>
          <w:sz w:val="20"/>
          <w:szCs w:val="20"/>
          <w:color w:val="auto"/>
        </w:rPr>
      </w:pPr>
      <w:r>
        <w:rPr>
          <w:rFonts w:ascii="Arial" w:cs="Arial" w:eastAsia="Arial" w:hAnsi="Arial"/>
          <w:sz w:val="11"/>
          <w:szCs w:val="11"/>
          <w:b w:val="1"/>
          <w:bCs w:val="1"/>
          <w:color w:val="auto"/>
        </w:rPr>
        <w:t>NOTES TO CONSOLIDATED FINANCIAL STATEMENTS</w:t>
      </w:r>
    </w:p>
    <w:p>
      <w:pPr>
        <w:ind w:left="4208"/>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 . SUMMARY OF SIGNIFICANT ACCOUNTING POLICIES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ACCOUNTING PRINCIPLES</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financial statements and accompanying notes are prepared in accordance with accounting principles generally accepted in the United States of America. The following is a description of Honeywell’s significant accounting policies.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PRINCIPLES OF CONSOLIDATION</w:t>
      </w:r>
    </w:p>
    <w:p>
      <w:pPr>
        <w:spacing w:after="0" w:line="95" w:lineRule="exact"/>
        <w:rPr>
          <w:sz w:val="20"/>
          <w:szCs w:val="20"/>
          <w:color w:val="auto"/>
        </w:rPr>
      </w:pPr>
    </w:p>
    <w:p>
      <w:pPr>
        <w:jc w:val="both"/>
        <w:ind w:left="8" w:right="20"/>
        <w:spacing w:after="0" w:line="241" w:lineRule="auto"/>
        <w:rPr>
          <w:sz w:val="20"/>
          <w:szCs w:val="20"/>
          <w:color w:val="auto"/>
        </w:rPr>
      </w:pPr>
      <w:r>
        <w:rPr>
          <w:rFonts w:ascii="Arial" w:cs="Arial" w:eastAsia="Arial" w:hAnsi="Arial"/>
          <w:sz w:val="11"/>
          <w:szCs w:val="11"/>
          <w:color w:val="auto"/>
        </w:rPr>
        <w:t>The Consolidated Financial Statements include the accounts of Honeywell International Inc. and all of its subsidiaries and entities in which a controlling interest is maintained. The Company's consolidation policy requires equity investments that the Company exercises significant influence over but do not control the investee and are not the primary beneficiary of the investee’s activities to be accounted for using the equity method. Investments through which the Company is not able to exercise significant influence over the investee and which the Company does not have readily determinable fair values are accounted for under the cost method. All intercompany transactions and balances are eliminated in consolidation.</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RECLASSIFICATIONS</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1"/>
          <w:szCs w:val="11"/>
          <w:color w:val="auto"/>
        </w:rPr>
        <w:t>Certain prior year amounts have been reclassified to conform to the current year presentation.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RECENT ACCOUNTING PRONOUNCEMENTS</w:t>
      </w:r>
    </w:p>
    <w:p>
      <w:pPr>
        <w:spacing w:after="0" w:line="95"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1"/>
          <w:szCs w:val="11"/>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statement of operations, balance sheet and cash flows (Consolidated Financial Statements).</w:t>
      </w:r>
    </w:p>
    <w:p>
      <w:pPr>
        <w:spacing w:after="0" w:line="56" w:lineRule="exact"/>
        <w:rPr>
          <w:sz w:val="20"/>
          <w:szCs w:val="20"/>
          <w:color w:val="auto"/>
        </w:rPr>
      </w:pPr>
    </w:p>
    <w:p>
      <w:pPr>
        <w:jc w:val="both"/>
        <w:ind w:left="8"/>
        <w:spacing w:after="0" w:line="247" w:lineRule="auto"/>
        <w:rPr>
          <w:sz w:val="20"/>
          <w:szCs w:val="20"/>
          <w:color w:val="auto"/>
        </w:rPr>
      </w:pPr>
      <w:r>
        <w:rPr>
          <w:rFonts w:ascii="Arial" w:cs="Arial" w:eastAsia="Arial" w:hAnsi="Arial"/>
          <w:sz w:val="11"/>
          <w:szCs w:val="11"/>
          <w:color w:val="auto"/>
        </w:rPr>
        <w:t xml:space="preserve">In December 2019, the FASB issued ASU 2019-12, </w:t>
      </w:r>
      <w:r>
        <w:rPr>
          <w:rFonts w:ascii="Arial" w:cs="Arial" w:eastAsia="Arial" w:hAnsi="Arial"/>
          <w:sz w:val="11"/>
          <w:szCs w:val="11"/>
          <w:i w:val="1"/>
          <w:iCs w:val="1"/>
          <w:color w:val="auto"/>
        </w:rPr>
        <w:t>Simplifying the Accounting for Income Taxes.</w:t>
      </w:r>
      <w:r>
        <w:rPr>
          <w:rFonts w:ascii="Arial" w:cs="Arial" w:eastAsia="Arial" w:hAnsi="Arial"/>
          <w:sz w:val="11"/>
          <w:szCs w:val="11"/>
          <w:color w:val="auto"/>
        </w:rPr>
        <w:t xml:space="preserve">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Effective January 1, 2021, the Company adopted this standard. The adoption of this standard did not have a material impact on the Company's Consolidated Financial Statements.</w:t>
      </w:r>
    </w:p>
    <w:p>
      <w:pPr>
        <w:spacing w:after="0" w:line="5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 xml:space="preserve">In March 2020, the FASB issued ASU 2020-04, </w:t>
      </w:r>
      <w:r>
        <w:rPr>
          <w:rFonts w:ascii="Arial" w:cs="Arial" w:eastAsia="Arial" w:hAnsi="Arial"/>
          <w:sz w:val="11"/>
          <w:szCs w:val="11"/>
          <w:i w:val="1"/>
          <w:iCs w:val="1"/>
          <w:color w:val="auto"/>
        </w:rPr>
        <w:t>Reference Rate Reform (Topic 848): Facilitation of the Effects of Reference Rate Reform on Financial Reporting,</w:t>
      </w:r>
      <w:r>
        <w:rPr>
          <w:rFonts w:ascii="Arial" w:cs="Arial" w:eastAsia="Arial" w:hAnsi="Arial"/>
          <w:sz w:val="11"/>
          <w:szCs w:val="11"/>
          <w:color w:val="auto"/>
        </w:rPr>
        <w:t xml:space="preserve"> which provides optional expedients and exceptions for applying generally accepted accounted principles to contracts, hedging relationships, and other transactions affected by the transition away from reference rates expected to be discontinued to alternative reference rates. In January 2021, the FASB issued ASU 2021-01, </w:t>
      </w:r>
      <w:r>
        <w:rPr>
          <w:rFonts w:ascii="Arial" w:cs="Arial" w:eastAsia="Arial" w:hAnsi="Arial"/>
          <w:sz w:val="11"/>
          <w:szCs w:val="11"/>
          <w:i w:val="1"/>
          <w:iCs w:val="1"/>
          <w:color w:val="auto"/>
        </w:rPr>
        <w:t>Reference Rate Reform (Topic 848): Scope</w:t>
      </w:r>
      <w:r>
        <w:rPr>
          <w:rFonts w:ascii="Arial" w:cs="Arial" w:eastAsia="Arial" w:hAnsi="Arial"/>
          <w:sz w:val="11"/>
          <w:szCs w:val="11"/>
          <w:color w:val="auto"/>
        </w:rPr>
        <w:t>, to expand the scope of this guidance to include derivatives. The guidance was effective upon issuance and may be applied prospectively to contract modifications made and hedging relationships entered into on or before December 31, 2022. The Company will apply the guidance to impacted transactions during the transition period. The Company does not expect the adoption of this standard to have a material impact on the Company’s Consolidated Financial Statements.</w:t>
      </w:r>
    </w:p>
    <w:p>
      <w:pPr>
        <w:spacing w:after="0" w:line="56" w:lineRule="exact"/>
        <w:rPr>
          <w:sz w:val="20"/>
          <w:szCs w:val="20"/>
          <w:color w:val="auto"/>
        </w:rPr>
      </w:pPr>
    </w:p>
    <w:p>
      <w:pPr>
        <w:jc w:val="both"/>
        <w:ind w:left="8"/>
        <w:spacing w:after="0" w:line="247" w:lineRule="auto"/>
        <w:rPr>
          <w:sz w:val="20"/>
          <w:szCs w:val="20"/>
          <w:color w:val="auto"/>
        </w:rPr>
      </w:pPr>
      <w:r>
        <w:rPr>
          <w:rFonts w:ascii="Arial" w:cs="Arial" w:eastAsia="Arial" w:hAnsi="Arial"/>
          <w:sz w:val="11"/>
          <w:szCs w:val="11"/>
          <w:color w:val="auto"/>
        </w:rPr>
        <w:t xml:space="preserve">In October 2021, the FASB issued ASU 2021-08, </w:t>
      </w:r>
      <w:r>
        <w:rPr>
          <w:rFonts w:ascii="Arial" w:cs="Arial" w:eastAsia="Arial" w:hAnsi="Arial"/>
          <w:sz w:val="11"/>
          <w:szCs w:val="11"/>
          <w:i w:val="1"/>
          <w:iCs w:val="1"/>
          <w:color w:val="auto"/>
        </w:rPr>
        <w:t>Business Combinations (Topic 805) - Accounting for Contract Assets and Contract Liabilities from Contracts with Customers</w:t>
      </w:r>
      <w:r>
        <w:rPr>
          <w:rFonts w:ascii="Arial" w:cs="Arial" w:eastAsia="Arial" w:hAnsi="Arial"/>
          <w:sz w:val="11"/>
          <w:szCs w:val="11"/>
          <w:color w:val="auto"/>
        </w:rPr>
        <w:t>, which requires contract assets and contract liabilities acquired in a business combination to be recognized and measured by the acquirer on the acquisition date in accordance with ASC 606, Revenue from Contracts with Customers. This ASU should be applied prospectively to acquisitions occurring on or after the effective date of December 15, 2022, and early adoption is permitted. The Company is currently evaluating the impacts of this guidance on the Company’s Consolidated Financial Statements. The Company does not expect the adoption of this standard to have a material impact on the Company’s Consolidated Financial Statements.</w:t>
      </w:r>
    </w:p>
    <w:p>
      <w:pPr>
        <w:spacing w:after="0" w:line="206" w:lineRule="exact"/>
        <w:rPr>
          <w:sz w:val="20"/>
          <w:szCs w:val="20"/>
          <w:color w:val="auto"/>
        </w:rPr>
      </w:pPr>
    </w:p>
    <w:p>
      <w:pPr>
        <w:ind w:left="468" w:hanging="468"/>
        <w:spacing w:after="0"/>
        <w:tabs>
          <w:tab w:leader="none" w:pos="468" w:val="left"/>
        </w:tabs>
        <w:numPr>
          <w:ilvl w:val="0"/>
          <w:numId w:val="7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60" w:name="page61"/>
    <w:bookmarkEnd w:id="60"/>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95"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Research and development costs for projects are expensed as incurred, unless these costs relate to contracts with customers where the Company receives reimbursements. Amounts expensed as incurred for Company-sponsored research and development projects are included in Cost of products and services sold and were $1,333 million, $1,334 million and $1,556 million for the years ended December 31, 2021, 2020 and 2019, respectively. Costs related to contracts with customers for customer-sponsored research and development projects are included as a contract cost and included in Cost of products and services sold when revenue from such contracts is recognized, consistent with the Company's sales recognition policies. This revenue was $1,284 million, $1,200 million and $1,079 million for the years ended December 31, 2021, 2020 and 2019,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Cash and cash equivalents include cash on hand and highly liquid investments having an original maturity of three months or less.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Inventories are stated at the lower of cost or net realizable value, with cost determined on a first-in, first-out (FIFO) basis. Carrying value adjustments for inventory obsolescence is equal to the difference between the cost and net realizable value. Net realizable value is the estimate selling price in the ordinary course of business, less reasonably predictable costs of completion, disposal, and transportation.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95" w:lineRule="exact"/>
        <w:rPr>
          <w:sz w:val="20"/>
          <w:szCs w:val="20"/>
          <w:color w:val="auto"/>
        </w:rPr>
      </w:pPr>
    </w:p>
    <w:p>
      <w:pPr>
        <w:jc w:val="both"/>
        <w:ind w:right="20"/>
        <w:spacing w:after="0" w:line="242" w:lineRule="auto"/>
        <w:rPr>
          <w:sz w:val="20"/>
          <w:szCs w:val="20"/>
          <w:color w:val="auto"/>
        </w:rPr>
      </w:pPr>
      <w:r>
        <w:rPr>
          <w:rFonts w:ascii="Arial" w:cs="Arial" w:eastAsia="Arial" w:hAnsi="Arial"/>
          <w:sz w:val="11"/>
          <w:szCs w:val="11"/>
          <w:color w:val="auto"/>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and 3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INDEFINITE-LIVED INTANGIBLE ASSETS</w:t>
      </w:r>
    </w:p>
    <w:p>
      <w:pPr>
        <w:spacing w:after="0" w:line="95"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Goodwill and indefinite-lived intangible assets are subject to impairment testing annually as of March 31, or if a triggering event occurs or changes in circumstances indicate that the carrying amount may not be fully recoverable. This testing compares carrying values to fair values and, when appropriate, the carrying value of these assets is reduced to fair value. The Company completed its annual goodwill impairment test as of March 31, 2021, and determined that there was no impairment as of that date. The Company is not aware of any additional triggering events.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FINITE-LIVED INTANGIBLE ASSETS</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Other intangible assets with determinable lives consist of customer lists, technology, patents and trademarks and other intangibles and are amortized over their estimated useful lives, ranging from 2 to 22 years.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95"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59</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1" w:name="page62"/>
    <w:bookmarkEnd w:id="61"/>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DERIVATIVE FINANCIAL INSTRUMENTS</w:t>
      </w:r>
    </w:p>
    <w:p>
      <w:pPr>
        <w:spacing w:after="0" w:line="9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All derivative financial instruments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income (loss) and subsequently recognized in earnings when the hedged items impact earnings.</w:t>
      </w:r>
    </w:p>
    <w:p>
      <w:pPr>
        <w:spacing w:after="0" w:line="67"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Derivative financial instruments designated as hedges must be designated and effective as a hedge of the identified risk exposure at the inception of the contract. Changes in fair value of the derivative contract must be highly correlated with changes in fair value of the underlying hedged item at inception and over the life of the hedge contract. Cash flows of such derivative financial instruments are classified consistent with the underlying hedged item. The Company elected to exclude the time value of the derivatives (i.e., the forward points) from the assessment of hedge effectiveness and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income (loss). The gain or loss will be subsequently reclassified into net earnings when the hedged net investment is either sold or substantially liquidated.</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LEASES</w:t>
      </w:r>
    </w:p>
    <w:p>
      <w:pPr>
        <w:spacing w:after="0" w:line="9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w:t>
      </w:r>
    </w:p>
    <w:p>
      <w:pPr>
        <w:spacing w:after="0" w:line="66"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and we recognize lease expense for these leases as incurred over the lease term.</w:t>
      </w:r>
    </w:p>
    <w:p>
      <w:pPr>
        <w:spacing w:after="0" w:line="66"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ROU assets represent the Company's right to use an underlying asset during the reasonably certain lease term, and lease liabilities represent the obligation to make lease payments arising from the lease. The Company's lease terms may include options to extend or terminate the lease when it is reasonably certain that the Company will exercise that option.</w:t>
      </w:r>
    </w:p>
    <w:p>
      <w:pPr>
        <w:spacing w:after="0" w:line="66"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 and prepayments and excludes lease incentives. Lease expense is recognized on a straight-line basis over the lease term. The Company has lease agreements with lease and non-lease components, which are generally accounted for separately.</w:t>
      </w:r>
    </w:p>
    <w:p>
      <w:pPr>
        <w:spacing w:after="0" w:line="68"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 primarily uses its incremental borrowing rate, which is based on the information available at the lease commencement date, in determining the present value of the lease payments. In determining the borrowing rate, the Company considers the lease term, secured incremental borrowing rate, and for leases denominated in a currency different than U.S. dollar, the collateralized borrowing rate in the foreign currency using the U.S. dollar and foreign currency swap spread, when available.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PENSION BENEFITS</w:t>
      </w:r>
    </w:p>
    <w:p>
      <w:pPr>
        <w:spacing w:after="0" w:line="95"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1"/>
          <w:szCs w:val="11"/>
          <w:color w:val="auto"/>
        </w:rPr>
        <w:t>The Company presents net periodic pensions costs by disaggregating the service cost component of such costs and reports those costs in the same line item or items in the Consolidated Statement of Operations as other compensation costs arising from services rendered by the pertinent employees during the period. The other non-service components of such costs are required to be presented separately from the service cost component.</w:t>
      </w:r>
    </w:p>
    <w:p>
      <w:pPr>
        <w:spacing w:after="0" w:line="66"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 records the service cost component of Pension ongoing (income) expense in Costs of products and services sold and Selling, general and administrative expenses. The remaining components of costs within Pension ongoing (income) expense, primarily interest costs and assumed return on plan assets, are recorded in Other (income) expense. The Company recognizes net actuarial gains or losses in excess of 10% of the greater of the fair value of plan assets or the plan's projected benefit obligation (the corridor) annually in the fourth quarter each year (MTM Adjustment). The MTM Adjustment is also reported in Other (income) expense. See Note 22 Segment Financial Data for a definition of Pension ongoing (income) expense.</w:t>
      </w:r>
    </w:p>
    <w:p>
      <w:pPr>
        <w:spacing w:after="0" w:line="281" w:lineRule="exact"/>
        <w:rPr>
          <w:sz w:val="20"/>
          <w:szCs w:val="20"/>
          <w:color w:val="auto"/>
        </w:rPr>
      </w:pPr>
    </w:p>
    <w:p>
      <w:pPr>
        <w:ind w:left="468" w:hanging="468"/>
        <w:spacing w:after="0"/>
        <w:tabs>
          <w:tab w:leader="none" w:pos="468" w:val="left"/>
        </w:tabs>
        <w:numPr>
          <w:ilvl w:val="0"/>
          <w:numId w:val="7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RECOGNITION</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1"/>
          <w:szCs w:val="11"/>
          <w:color w:val="auto"/>
        </w:rPr>
        <w:t>Product and service sales are recognized when or as the Company transfers control of the promised products or services to its customers. Revenue is measured as the amount of consideration the Company expects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The Company recognizes revenue over time as the Company performs on these contracts because of the continuous transfer of control to the customer. With control transferring over time, revenue is recognized based on the extent of progress towards completion of the performance obligation. The Company generally uses the cost-to-cost input method of progress for contracts because it best depicts the transfer of control to the customer that occurs as the Company incurs costs. Under the cost-to-cost input method, the extent of progress towards completion is measured based on the proportion of costs incurred to date to the total estimated costs at completion of the performance obligation. The Company reviews its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The customer funding for costs incurred for nonrecurring engineering and development activities of the Company's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on the Company's Consolidated Balance Sheet. Capitalized contract fulfillment costs were approximately $1.3 billion as of December 31, 2021 and 2020. The amounts recognized as Cost of products and services sold were approximately $0.1 billion for the years ended December 31, 2021, 2020 and 2019.</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Revenues for the Company's mechanical service programs are recognized as performance obligations that are satisfied over time, with recognition reflecting a series of distinct services using the output method.</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The terms of a contract or the historical business practice can give rise to variable consideration due to, but not limited to, cash-based incentives, rebates, performance awards, or credits. The Company estimates variable consideration at the most likely amount the Company will receive from customers. The Company includes estimated amounts in the transaction price to the extent it is probable that a significant reversal of cumulative revenue recognized for such transaction will not occur, or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PLANS</w:t>
      </w:r>
    </w:p>
    <w:p>
      <w:pPr>
        <w:spacing w:after="0" w:line="95"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The principal awards issued under the Company's stock-based compensation plans, which are described in Note 15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the Company's historical forfeiture rates.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61</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3" w:name="page64"/>
    <w:bookmarkEnd w:id="63"/>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INCOME TAXES</w:t>
      </w:r>
    </w:p>
    <w:p>
      <w:pPr>
        <w:spacing w:after="0" w:line="95"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Significant judgment is required in evaluating tax positions. The Company establishes reserves for income taxes when, 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The Company regularly assesses the potential outcomes of these examinations and any future examinations for the current or prior years in determining the adequacy of the Company's provision for income taxes. The Company continually assesses the likelihood and amount of potential adjustments and adjust the income tax provision, the current tax liability and deferred taxes in the period in which the facts that give rise to a change in estimate become known. For additional information, see Note 5 Income Taxes.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EARNINGS PER SHARE</w:t>
      </w:r>
    </w:p>
    <w:p>
      <w:pPr>
        <w:spacing w:after="0" w:line="95"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1"/>
          <w:szCs w:val="11"/>
          <w:color w:val="auto"/>
        </w:rPr>
        <w:t>Basic earnings per share is based on the weighted average number of common shares outstanding. Diluted earnings per share is based on the weighted average number of common shares outstanding and all dilutive potential common shares outstanding.</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ENVIRONMENTAL</w:t>
      </w:r>
    </w:p>
    <w:p>
      <w:pPr>
        <w:spacing w:after="0" w:line="9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Company accrues costs related to environmental matters when it is probable that it has incurred a liability related to a contaminated site and the amount can be reasonably estimated. For additional information, see Note 19 Commitments and Contingencies.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ASBESTOS RELATED LIABILITIES AND INSURANCE RECOVERIES</w:t>
      </w:r>
    </w:p>
    <w:p>
      <w:pPr>
        <w:spacing w:after="0" w:line="9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Company recognizes a liability for any asbestos related contingency that is probable of occurrence and reasonably estimable. In connection with the recognition of liabilities for asbestos related matters, the Company records asbestos related insurance recoveries that are deemed probable. For additional information, see Note 19 Commitments and Contingencies.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REIMBURSEMENT RECEIVABLES</w:t>
      </w:r>
    </w:p>
    <w:p>
      <w:pPr>
        <w:spacing w:after="0" w:line="9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In conjunction with the Resideo Technologies, Inc. (Resideo) spin-off, the Company entered into a reimbursement agreement under which Honeywell receives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the Company monitors the recoverability of such receivables, which are subject to the terms of applicable credit agreements and general ability to pay.</w:t>
      </w:r>
    </w:p>
    <w:p>
      <w:pPr>
        <w:spacing w:after="0" w:line="280" w:lineRule="exact"/>
        <w:rPr>
          <w:sz w:val="20"/>
          <w:szCs w:val="20"/>
          <w:color w:val="auto"/>
        </w:rPr>
      </w:pPr>
    </w:p>
    <w:p>
      <w:pPr>
        <w:ind w:left="468" w:hanging="468"/>
        <w:spacing w:after="0"/>
        <w:tabs>
          <w:tab w:leader="none" w:pos="468" w:val="left"/>
        </w:tabs>
        <w:numPr>
          <w:ilvl w:val="0"/>
          <w:numId w:val="8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2. ACQUISITIONS AND DIVESTITURES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0"/>
          <w:szCs w:val="10"/>
          <w:color w:val="auto"/>
        </w:rPr>
        <w:t>On November 29, 2021, Honeywell Quantum Solutions, a wholly-owned subsidiary of Honeywell, and Cambridge Quantum Computing, a leading developer of quantum computing and quantum software, combined to form Quantinuum. Prior to closing the transaction, Honeywell held a 4.2% ownership interest in Cambridge Quantum Computing. At closing of the business combination, Honeywell contributed an additional $270 million of cash and is the controlling majority-owner of Quantinuum, with an overall 54% ownership in the business. Quantinuum is well positioned to lead the quantum computing industry by offering advanced, fully integrated hardware and software solutions at an unprecedented pace, scale and level of performance to large high-growth markets worldwide. Quantinuum supports customer needs for improved computation in cyber security, drug discovery and delivery, material science, finance, and optimization across all major industrial markets. The business is included within Corporate and All Other, which is not considered a reportable business segment. The combination was accounted for under the acquisition method of accounting; as such, assets and liabilities of Quantinuum are consolidated by Honeywell and included in the Consolidated Balance Sheet. Upon close of the transaction, Honeywell recorded a non-cash adjustment of $460 million in Additional paid-in-capital on the Consolidated Balance Sheet as the contribution of ownership interest in Honeywell Quantum Solutions and Cambridge Quantum Computing for the formation of Quantinuum. In addition, Honeywell recognized a gain of $22 million related to the fair value remeasurement of Honeywell's existing 4.2% ownership interest in Cambridge Quantum Computing, which was recorded in Other (income) expense on in the Consolidated Statement of Operations. At close of the transaction, the fair value of Cambridge Quantum Computing's noncontrolling interest in Quantinuum was $419 million. In December 2021, Cambridge Quantum Computing contributed cash of $12 million to Quantinuum, increasing their noncontrolling interest and decreasing Honeywell's additional-paid-in-capital. As of December 31, 2021, the assets and liabilities in Honeywell's Consolidated Balance Sheet includes $90 million of intangible assets and $943 million allocated to goodwill, which is non-deductible for tax purposes. The purchase accounting is subject to final adjustments, primarily for the valuation of intangible assets and goodwill.</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On February 12, 2021, the Company acquired 100% of the shares outstanding of Sparta Systems, a leading provider of enterprise quality management software for the life sciences industry, for $1,303 million. Sparta Systems is expected to further strengthen the Company's leadership in industrial automation, digital transformation solutions, and enterprise performance management software. The business is included within the Performance Materials and Technologies segment. The assets and liabilities acquired with Sparta Systems are included in the Consolidated Balance Sheet as of December 31, 2021, including $383 million of intangible assets and $1,011 million allocated to goodwill, which is nondeductible for tax purposes. The purchase accounting is subject to final adjustment, primarily for the valuation of intangible assets, amounts allocated to goodwill, tax balances, and certain pre-acquisition contingencies.</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During 2020, the Company acquired businesses for an aggregate cost (net of cash and debt assumed) of $261 million, which included the October 2020 acquisition of Rocky Research and the December 2020 acquisition of Sine Group. Rocky Research is a technology leader specializing in thermal, energy and power management solutions and is included within the Aerospace segment. Sine Group offers a Software-as-a-Service (SaaS) that handles visitor management, workplace and supply chain solutions and is included in the Honeywell Building Technologies segment. The acquisition of Rocky Research and Sine Group included approximately $167 million allocated to goodwill, which is non-deductible for tax purposes.</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During 2019, there were no significant acquisitions that closed individually or in the aggregate.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DIVESTITURES</w:t>
      </w:r>
    </w:p>
    <w:p>
      <w:pPr>
        <w:spacing w:after="0" w:line="95"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On March 15, 2021, the Company completed the sale of its retail footwear business in exchange for gross cash consideration of $230 million. The Company recognized a pre-tax gain of $95 million for the twelve months ended December 31, 2021, which was recorded in Other (income) expense. The retail footwear business was previously included in the Safety and Productivity Solutions segment.</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During 2020 and 2019, there were no significant divestitures that closed individually or in the aggregate.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63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5" w:name="page66"/>
    <w:bookmarkEnd w:id="65"/>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3. REVENUE RECOGNITION AND CONTRACTS WITH CUSTOMERS</w:t>
      </w:r>
    </w:p>
    <w:p>
      <w:pPr>
        <w:spacing w:after="0" w:line="15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Company has a comprehensive offering of products and services, including software and technologies, that are sold to a variety of customers in multiple end markets. See the following disaggregated revenue table and related discussions by operating segment for details.</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8380" w:type="dxa"/>
            <w:vAlign w:val="bottom"/>
          </w:tcPr>
          <w:p>
            <w:pPr>
              <w:spacing w:after="0"/>
              <w:rPr>
                <w:sz w:val="11"/>
                <w:szCs w:val="11"/>
                <w:color w:val="auto"/>
              </w:rPr>
            </w:pPr>
          </w:p>
        </w:tc>
        <w:tc>
          <w:tcPr>
            <w:tcW w:w="320" w:type="dxa"/>
            <w:vAlign w:val="bottom"/>
            <w:tcBorders>
              <w:bottom w:val="single" w:sz="8" w:color="DC202E"/>
            </w:tcBorders>
          </w:tcPr>
          <w:p>
            <w:pPr>
              <w:spacing w:after="0"/>
              <w:rPr>
                <w:sz w:val="11"/>
                <w:szCs w:val="11"/>
                <w:color w:val="auto"/>
              </w:rPr>
            </w:pPr>
          </w:p>
        </w:tc>
        <w:tc>
          <w:tcPr>
            <w:tcW w:w="18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r>
      <w:tr>
        <w:trPr>
          <w:trHeight w:val="133"/>
        </w:trPr>
        <w:tc>
          <w:tcPr>
            <w:tcW w:w="8380" w:type="dxa"/>
            <w:vAlign w:val="bottom"/>
            <w:tcBorders>
              <w:bottom w:val="single" w:sz="8" w:color="DC202E"/>
            </w:tcBorders>
          </w:tcPr>
          <w:p>
            <w:pPr>
              <w:spacing w:after="0"/>
              <w:rPr>
                <w:sz w:val="11"/>
                <w:szCs w:val="11"/>
                <w:color w:val="auto"/>
              </w:rPr>
            </w:pPr>
          </w:p>
        </w:tc>
        <w:tc>
          <w:tcPr>
            <w:tcW w:w="320" w:type="dxa"/>
            <w:vAlign w:val="bottom"/>
            <w:tcBorders>
              <w:bottom w:val="single" w:sz="8" w:color="DC202E"/>
            </w:tcBorders>
          </w:tcPr>
          <w:p>
            <w:pPr>
              <w:spacing w:after="0"/>
              <w:rPr>
                <w:sz w:val="11"/>
                <w:szCs w:val="11"/>
                <w:color w:val="auto"/>
              </w:rPr>
            </w:pPr>
          </w:p>
        </w:tc>
        <w:tc>
          <w:tcPr>
            <w:tcW w:w="74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C202E"/>
            </w:tcBorders>
          </w:tcPr>
          <w:p>
            <w:pPr>
              <w:spacing w:after="0"/>
              <w:rPr>
                <w:sz w:val="11"/>
                <w:szCs w:val="11"/>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33"/>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Aerospace</w:t>
            </w:r>
          </w:p>
        </w:tc>
        <w:tc>
          <w:tcPr>
            <w:tcW w:w="320" w:type="dxa"/>
            <w:vAlign w:val="bottom"/>
            <w:tcBorders>
              <w:bottom w:val="single" w:sz="8" w:color="939598"/>
            </w:tcBorders>
          </w:tcPr>
          <w:p>
            <w:pPr>
              <w:spacing w:after="0"/>
              <w:rPr>
                <w:sz w:val="11"/>
                <w:szCs w:val="11"/>
                <w:color w:val="auto"/>
              </w:rPr>
            </w:pPr>
          </w:p>
        </w:tc>
        <w:tc>
          <w:tcPr>
            <w:tcW w:w="740" w:type="dxa"/>
            <w:vAlign w:val="bottom"/>
            <w:tcBorders>
              <w:bottom w:val="single" w:sz="8" w:color="939598"/>
            </w:tcBorders>
          </w:tcPr>
          <w:p>
            <w:pPr>
              <w:spacing w:after="0"/>
              <w:rPr>
                <w:sz w:val="11"/>
                <w:szCs w:val="11"/>
                <w:color w:val="auto"/>
              </w:rPr>
            </w:pPr>
          </w:p>
        </w:tc>
        <w:tc>
          <w:tcPr>
            <w:tcW w:w="240" w:type="dxa"/>
            <w:vAlign w:val="bottom"/>
            <w:tcBorders>
              <w:bottom w:val="single" w:sz="8" w:color="939598"/>
            </w:tcBorders>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40" w:type="dxa"/>
            <w:vAlign w:val="bottom"/>
            <w:tcBorders>
              <w:bottom w:val="single" w:sz="8" w:color="939598"/>
            </w:tcBorders>
          </w:tcPr>
          <w:p>
            <w:pPr>
              <w:spacing w:after="0"/>
              <w:rPr>
                <w:sz w:val="11"/>
                <w:szCs w:val="11"/>
                <w:color w:val="auto"/>
              </w:rPr>
            </w:pPr>
          </w:p>
        </w:tc>
        <w:tc>
          <w:tcPr>
            <w:tcW w:w="660" w:type="dxa"/>
            <w:vAlign w:val="bottom"/>
            <w:tcBorders>
              <w:bottom w:val="single" w:sz="8" w:color="939598"/>
            </w:tcBorders>
          </w:tcPr>
          <w:p>
            <w:pPr>
              <w:spacing w:after="0"/>
              <w:rPr>
                <w:sz w:val="11"/>
                <w:szCs w:val="11"/>
                <w:color w:val="auto"/>
              </w:rPr>
            </w:pPr>
          </w:p>
        </w:tc>
      </w:tr>
      <w:tr>
        <w:trPr>
          <w:trHeight w:val="119"/>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Commercial Aviation Original Equipment</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1,720</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1,940</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2,999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Commercial Aviation Aftermarket</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4,155</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3,812</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5,761</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Defense and Space</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5,151</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5,792</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5,294</w:t>
            </w:r>
          </w:p>
        </w:tc>
      </w:tr>
      <w:tr>
        <w:trPr>
          <w:trHeight w:val="115"/>
        </w:trPr>
        <w:tc>
          <w:tcPr>
            <w:tcW w:w="83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11,026</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11,544</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14,054</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Honeywell Building Technologies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Products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3,243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2,971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3,293</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Building Solutions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2,296</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2,218</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2,424</w:t>
            </w:r>
          </w:p>
        </w:tc>
      </w:tr>
      <w:tr>
        <w:trPr>
          <w:trHeight w:val="115"/>
        </w:trPr>
        <w:tc>
          <w:tcPr>
            <w:tcW w:w="83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5,539</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5,189</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5,717</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Performance Materials and Technologies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UOP</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2,348</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2,177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2,890</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Process Solutions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4,611</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4,590</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5,146</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Advanced Materials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3,054</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2,656</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2,798</w:t>
            </w:r>
          </w:p>
        </w:tc>
      </w:tr>
      <w:tr>
        <w:trPr>
          <w:trHeight w:val="115"/>
        </w:trPr>
        <w:tc>
          <w:tcPr>
            <w:tcW w:w="83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10,013</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9,423</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10,834</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Safety and Productivity Solutions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Safety and Retail</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2,387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2,414</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2,215</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Productivity Solutions and Services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1,610</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1,270</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1,285</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Warehouse and Workflow Solutions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2,944</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1,965</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1,719</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Advanced Sensing Technologies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873</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832</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885</w:t>
            </w:r>
          </w:p>
        </w:tc>
      </w:tr>
      <w:tr>
        <w:trPr>
          <w:trHeight w:val="115"/>
        </w:trPr>
        <w:tc>
          <w:tcPr>
            <w:tcW w:w="83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7,814</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6,481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6,104</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Corporate and All Other</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sales</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34,392</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32,637</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36,709</w:t>
            </w:r>
          </w:p>
        </w:tc>
      </w:tr>
    </w:tbl>
    <w:p>
      <w:pPr>
        <w:spacing w:after="0" w:line="124" w:lineRule="exact"/>
        <w:rPr>
          <w:sz w:val="20"/>
          <w:szCs w:val="20"/>
          <w:color w:val="auto"/>
        </w:rPr>
      </w:pPr>
    </w:p>
    <w:p>
      <w:pPr>
        <w:jc w:val="both"/>
        <w:ind w:left="8"/>
        <w:spacing w:after="0" w:line="276" w:lineRule="auto"/>
        <w:rPr>
          <w:sz w:val="20"/>
          <w:szCs w:val="20"/>
          <w:color w:val="auto"/>
        </w:rPr>
      </w:pPr>
      <w:r>
        <w:rPr>
          <w:rFonts w:ascii="Arial" w:cs="Arial" w:eastAsia="Arial" w:hAnsi="Arial"/>
          <w:sz w:val="10"/>
          <w:szCs w:val="10"/>
          <w:b w:val="1"/>
          <w:bCs w:val="1"/>
          <w:color w:val="auto"/>
        </w:rPr>
        <w:t xml:space="preserve">Aerospace </w:t>
      </w:r>
      <w:r>
        <w:rPr>
          <w:rFonts w:ascii="Arial" w:cs="Arial" w:eastAsia="Arial" w:hAnsi="Arial"/>
          <w:sz w:val="10"/>
          <w:szCs w:val="10"/>
          <w:color w:val="auto"/>
        </w:rPr>
        <w:t>– A global supplier of products, software and services for aircrafts that it sells to OEM and other customers in a variety of end markets including: air transport, regional, business and general aviation aircraft, airlines, aircraft</w:t>
      </w:r>
      <w:r>
        <w:rPr>
          <w:rFonts w:ascii="Arial" w:cs="Arial" w:eastAsia="Arial" w:hAnsi="Arial"/>
          <w:sz w:val="10"/>
          <w:szCs w:val="10"/>
          <w:b w:val="1"/>
          <w:bCs w:val="1"/>
          <w:color w:val="auto"/>
        </w:rPr>
        <w:t xml:space="preserve"> </w:t>
      </w:r>
      <w:r>
        <w:rPr>
          <w:rFonts w:ascii="Arial" w:cs="Arial" w:eastAsia="Arial" w:hAnsi="Arial"/>
          <w:sz w:val="10"/>
          <w:szCs w:val="10"/>
          <w:color w:val="auto"/>
        </w:rPr>
        <w:t>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the Company's customers as tools to turn data into predictive maintenance and predictive analytics to enable better fleet management and make flight operations more efficient.</w:t>
      </w:r>
    </w:p>
    <w:p>
      <w:pPr>
        <w:spacing w:after="0" w:line="41"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b w:val="1"/>
          <w:bCs w:val="1"/>
          <w:color w:val="auto"/>
        </w:rPr>
        <w:t xml:space="preserve">Honeywell Building Technologies </w:t>
      </w:r>
      <w:r>
        <w:rPr>
          <w:rFonts w:ascii="Arial" w:cs="Arial" w:eastAsia="Arial" w:hAnsi="Arial"/>
          <w:sz w:val="11"/>
          <w:szCs w:val="11"/>
          <w:color w:val="auto"/>
        </w:rPr>
        <w:t>– A global provider of products, software, solutions, and technologies that enable building owners and occupants to ensure their facilities are safe, energy efficient, sustainable, and productive.</w:t>
      </w:r>
      <w:r>
        <w:rPr>
          <w:rFonts w:ascii="Arial" w:cs="Arial" w:eastAsia="Arial" w:hAnsi="Arial"/>
          <w:sz w:val="11"/>
          <w:szCs w:val="11"/>
          <w:b w:val="1"/>
          <w:bCs w:val="1"/>
          <w:color w:val="auto"/>
        </w:rPr>
        <w:t xml:space="preserve"> </w:t>
      </w:r>
      <w:r>
        <w:rPr>
          <w:rFonts w:ascii="Arial" w:cs="Arial" w:eastAsia="Arial" w:hAnsi="Arial"/>
          <w:sz w:val="11"/>
          <w:szCs w:val="11"/>
          <w:color w:val="auto"/>
        </w:rPr>
        <w:t>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278" w:lineRule="exact"/>
        <w:rPr>
          <w:sz w:val="20"/>
          <w:szCs w:val="20"/>
          <w:color w:val="auto"/>
        </w:rPr>
      </w:pPr>
    </w:p>
    <w:p>
      <w:pPr>
        <w:ind w:left="468" w:hanging="468"/>
        <w:spacing w:after="0"/>
        <w:tabs>
          <w:tab w:leader="none" w:pos="468" w:val="left"/>
        </w:tabs>
        <w:numPr>
          <w:ilvl w:val="0"/>
          <w:numId w:val="8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66" w:name="page67"/>
    <w:bookmarkEnd w:id="66"/>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76" w:lineRule="exact"/>
        <w:rPr>
          <w:sz w:val="20"/>
          <w:szCs w:val="20"/>
          <w:color w:val="auto"/>
        </w:rPr>
      </w:pPr>
    </w:p>
    <w:p>
      <w:pPr>
        <w:jc w:val="both"/>
        <w:spacing w:after="0" w:line="243" w:lineRule="auto"/>
        <w:rPr>
          <w:sz w:val="20"/>
          <w:szCs w:val="20"/>
          <w:color w:val="auto"/>
        </w:rPr>
      </w:pPr>
      <w:r>
        <w:rPr>
          <w:rFonts w:ascii="Arial" w:cs="Arial" w:eastAsia="Arial" w:hAnsi="Arial"/>
          <w:sz w:val="11"/>
          <w:szCs w:val="11"/>
          <w:b w:val="1"/>
          <w:bCs w:val="1"/>
          <w:color w:val="auto"/>
        </w:rPr>
        <w:t xml:space="preserve">Performance Materials and Technologies </w:t>
      </w:r>
      <w:r>
        <w:rPr>
          <w:rFonts w:ascii="Arial" w:cs="Arial" w:eastAsia="Arial" w:hAnsi="Arial"/>
          <w:sz w:val="11"/>
          <w:szCs w:val="11"/>
          <w:color w:val="auto"/>
        </w:rPr>
        <w:t>– A global provider in developing and manufacturing high-quality performance chemicals and materials, process technologies, and automation solutions. The segment is comprised of Process</w:t>
      </w:r>
      <w:r>
        <w:rPr>
          <w:rFonts w:ascii="Arial" w:cs="Arial" w:eastAsia="Arial" w:hAnsi="Arial"/>
          <w:sz w:val="11"/>
          <w:szCs w:val="11"/>
          <w:b w:val="1"/>
          <w:bCs w:val="1"/>
          <w:color w:val="auto"/>
        </w:rPr>
        <w:t xml:space="preserve"> </w:t>
      </w:r>
      <w:r>
        <w:rPr>
          <w:rFonts w:ascii="Arial" w:cs="Arial" w:eastAsia="Arial" w:hAnsi="Arial"/>
          <w:sz w:val="11"/>
          <w:szCs w:val="11"/>
          <w:color w:val="auto"/>
        </w:rPr>
        <w:t>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1"/>
          <w:szCs w:val="11"/>
          <w:b w:val="1"/>
          <w:bCs w:val="1"/>
          <w:color w:val="auto"/>
        </w:rPr>
        <w:t xml:space="preserve">Safety and Productivity Solutions </w:t>
      </w:r>
      <w:r>
        <w:rPr>
          <w:rFonts w:ascii="Arial" w:cs="Arial" w:eastAsia="Arial" w:hAnsi="Arial"/>
          <w:sz w:val="11"/>
          <w:szCs w:val="11"/>
          <w:color w:val="auto"/>
        </w:rPr>
        <w:t>– A global provider of products and software that improve productivity, workplace safety and asset performance to customers around the globe. Safety products include PPE, apparel, gear, and</w:t>
      </w:r>
      <w:r>
        <w:rPr>
          <w:rFonts w:ascii="Arial" w:cs="Arial" w:eastAsia="Arial" w:hAnsi="Arial"/>
          <w:sz w:val="11"/>
          <w:szCs w:val="11"/>
          <w:b w:val="1"/>
          <w:bCs w:val="1"/>
          <w:color w:val="auto"/>
        </w:rPr>
        <w:t xml:space="preserve"> </w:t>
      </w:r>
      <w:r>
        <w:rPr>
          <w:rFonts w:ascii="Arial" w:cs="Arial" w:eastAsia="Arial" w:hAnsi="Arial"/>
          <w:sz w:val="11"/>
          <w:szCs w:val="11"/>
          <w:color w:val="auto"/>
        </w:rPr>
        <w:t>footwear;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53"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b w:val="1"/>
          <w:bCs w:val="1"/>
          <w:color w:val="auto"/>
        </w:rPr>
        <w:t xml:space="preserve">Corporate and All Other </w:t>
      </w:r>
      <w:r>
        <w:rPr>
          <w:rFonts w:ascii="Arial" w:cs="Arial" w:eastAsia="Arial" w:hAnsi="Arial"/>
          <w:sz w:val="11"/>
          <w:szCs w:val="11"/>
          <w:color w:val="auto"/>
        </w:rPr>
        <w:t>– Corporate and All Other includes revenue from Honeywell's majority-owned investment in Quantinuum. Through Quantinuum, Honeywell provides a wide range of service offerings of fully integrated quantum</w:t>
      </w:r>
      <w:r>
        <w:rPr>
          <w:rFonts w:ascii="Arial" w:cs="Arial" w:eastAsia="Arial" w:hAnsi="Arial"/>
          <w:sz w:val="11"/>
          <w:szCs w:val="11"/>
          <w:b w:val="1"/>
          <w:bCs w:val="1"/>
          <w:color w:val="auto"/>
        </w:rPr>
        <w:t xml:space="preserve"> </w:t>
      </w:r>
      <w:r>
        <w:rPr>
          <w:rFonts w:ascii="Arial" w:cs="Arial" w:eastAsia="Arial" w:hAnsi="Arial"/>
          <w:sz w:val="11"/>
          <w:szCs w:val="11"/>
          <w:color w:val="auto"/>
        </w:rPr>
        <w:t>computing hardware and software solutions.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For a summary by disaggregated product and services sales for each segment, refer to Note 22 Segment Financial Data.</w:t>
      </w:r>
    </w:p>
    <w:p>
      <w:pPr>
        <w:spacing w:after="0" w:line="72"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92" w:lineRule="exact"/>
        <w:rPr>
          <w:sz w:val="20"/>
          <w:szCs w:val="20"/>
          <w:color w:val="auto"/>
        </w:rPr>
      </w:pPr>
    </w:p>
    <w:p>
      <w:pPr>
        <w:ind w:left="9120"/>
        <w:spacing w:after="0"/>
        <w:rPr>
          <w:sz w:val="20"/>
          <w:szCs w:val="20"/>
          <w:color w:val="auto"/>
        </w:rPr>
      </w:pPr>
      <w:r>
        <w:rPr>
          <w:rFonts w:ascii="Arial" w:cs="Arial" w:eastAsia="Arial" w:hAnsi="Arial"/>
          <w:sz w:val="10"/>
          <w:szCs w:val="10"/>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12700</wp:posOffset>
            </wp:positionV>
            <wp:extent cx="19945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994535" cy="571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840" w:type="dxa"/>
            <w:vAlign w:val="bottom"/>
            <w:tcBorders>
              <w:bottom w:val="single" w:sz="8" w:color="DC202E"/>
            </w:tcBorders>
          </w:tcPr>
          <w:p>
            <w:pPr>
              <w:ind w:left="8580"/>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DC202E"/>
            </w:tcBorders>
          </w:tcPr>
          <w:p>
            <w:pPr>
              <w:spacing w:after="0"/>
              <w:rPr>
                <w:sz w:val="11"/>
                <w:szCs w:val="11"/>
                <w:color w:val="auto"/>
              </w:rPr>
            </w:pPr>
          </w:p>
        </w:tc>
        <w:tc>
          <w:tcPr>
            <w:tcW w:w="104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2020</w:t>
            </w:r>
          </w:p>
        </w:tc>
        <w:tc>
          <w:tcPr>
            <w:tcW w:w="86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2019</w:t>
            </w:r>
          </w:p>
        </w:tc>
      </w:tr>
      <w:tr>
        <w:trPr>
          <w:trHeight w:val="119"/>
        </w:trPr>
        <w:tc>
          <w:tcPr>
            <w:tcW w:w="88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Products, transferred point in time</w:t>
            </w:r>
          </w:p>
        </w:tc>
        <w:tc>
          <w:tcPr>
            <w:tcW w:w="56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58 %</w:t>
            </w:r>
          </w:p>
        </w:tc>
        <w:tc>
          <w:tcPr>
            <w:tcW w:w="10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61 %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61 %</w:t>
            </w:r>
          </w:p>
        </w:tc>
      </w:tr>
      <w:tr>
        <w:trPr>
          <w:trHeight w:val="115"/>
        </w:trPr>
        <w:tc>
          <w:tcPr>
            <w:tcW w:w="88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Products, transferred over time</w:t>
            </w:r>
          </w:p>
        </w:tc>
        <w:tc>
          <w:tcPr>
            <w:tcW w:w="56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color w:val="auto"/>
              </w:rPr>
              <w:t>17</w:t>
            </w:r>
          </w:p>
        </w:tc>
        <w:tc>
          <w:tcPr>
            <w:tcW w:w="104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color w:val="auto"/>
              </w:rPr>
              <w:t>15</w:t>
            </w:r>
          </w:p>
        </w:tc>
        <w:tc>
          <w:tcPr>
            <w:tcW w:w="8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14</w:t>
            </w:r>
          </w:p>
        </w:tc>
      </w:tr>
      <w:tr>
        <w:trPr>
          <w:trHeight w:val="115"/>
        </w:trPr>
        <w:tc>
          <w:tcPr>
            <w:tcW w:w="8840" w:type="dxa"/>
            <w:vAlign w:val="bottom"/>
            <w:tcBorders>
              <w:bottom w:val="single" w:sz="8" w:color="DC202E"/>
            </w:tcBorders>
          </w:tcPr>
          <w:p>
            <w:pPr>
              <w:ind w:left="80"/>
              <w:spacing w:after="0"/>
              <w:rPr>
                <w:sz w:val="20"/>
                <w:szCs w:val="20"/>
                <w:color w:val="auto"/>
              </w:rPr>
            </w:pPr>
            <w:r>
              <w:rPr>
                <w:rFonts w:ascii="Arial" w:cs="Arial" w:eastAsia="Arial" w:hAnsi="Arial"/>
                <w:sz w:val="10"/>
                <w:szCs w:val="10"/>
                <w:b w:val="1"/>
                <w:bCs w:val="1"/>
                <w:color w:val="auto"/>
              </w:rPr>
              <w:t>Net product sales</w:t>
            </w:r>
          </w:p>
        </w:tc>
        <w:tc>
          <w:tcPr>
            <w:tcW w:w="56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75</w:t>
            </w:r>
          </w:p>
        </w:tc>
        <w:tc>
          <w:tcPr>
            <w:tcW w:w="104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76</w:t>
            </w:r>
          </w:p>
        </w:tc>
        <w:tc>
          <w:tcPr>
            <w:tcW w:w="8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75</w:t>
            </w:r>
          </w:p>
        </w:tc>
      </w:tr>
      <w:tr>
        <w:trPr>
          <w:trHeight w:val="115"/>
        </w:trPr>
        <w:tc>
          <w:tcPr>
            <w:tcW w:w="88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Services, transferred point in time</w:t>
            </w:r>
          </w:p>
        </w:tc>
        <w:tc>
          <w:tcPr>
            <w:tcW w:w="56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8</w:t>
            </w:r>
          </w:p>
        </w:tc>
        <w:tc>
          <w:tcPr>
            <w:tcW w:w="104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8</w:t>
            </w:r>
          </w:p>
        </w:tc>
        <w:tc>
          <w:tcPr>
            <w:tcW w:w="8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w:t>
            </w:r>
          </w:p>
        </w:tc>
      </w:tr>
      <w:tr>
        <w:trPr>
          <w:trHeight w:val="115"/>
        </w:trPr>
        <w:tc>
          <w:tcPr>
            <w:tcW w:w="88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Services, transferred over time</w:t>
            </w:r>
          </w:p>
        </w:tc>
        <w:tc>
          <w:tcPr>
            <w:tcW w:w="56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color w:val="auto"/>
              </w:rPr>
              <w:t>17</w:t>
            </w:r>
          </w:p>
        </w:tc>
        <w:tc>
          <w:tcPr>
            <w:tcW w:w="104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color w:val="auto"/>
              </w:rPr>
              <w:t>16</w:t>
            </w:r>
          </w:p>
        </w:tc>
        <w:tc>
          <w:tcPr>
            <w:tcW w:w="8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16</w:t>
            </w:r>
          </w:p>
        </w:tc>
      </w:tr>
      <w:tr>
        <w:trPr>
          <w:trHeight w:val="115"/>
        </w:trPr>
        <w:tc>
          <w:tcPr>
            <w:tcW w:w="8840" w:type="dxa"/>
            <w:vAlign w:val="bottom"/>
            <w:tcBorders>
              <w:bottom w:val="single" w:sz="8" w:color="DC202E"/>
            </w:tcBorders>
          </w:tcPr>
          <w:p>
            <w:pPr>
              <w:ind w:left="80"/>
              <w:spacing w:after="0"/>
              <w:rPr>
                <w:sz w:val="20"/>
                <w:szCs w:val="20"/>
                <w:color w:val="auto"/>
              </w:rPr>
            </w:pPr>
            <w:r>
              <w:rPr>
                <w:rFonts w:ascii="Arial" w:cs="Arial" w:eastAsia="Arial" w:hAnsi="Arial"/>
                <w:sz w:val="10"/>
                <w:szCs w:val="10"/>
                <w:b w:val="1"/>
                <w:bCs w:val="1"/>
                <w:color w:val="auto"/>
              </w:rPr>
              <w:t>Net service sales</w:t>
            </w:r>
          </w:p>
        </w:tc>
        <w:tc>
          <w:tcPr>
            <w:tcW w:w="56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25</w:t>
            </w:r>
          </w:p>
        </w:tc>
        <w:tc>
          <w:tcPr>
            <w:tcW w:w="104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24</w:t>
            </w:r>
          </w:p>
        </w:tc>
        <w:tc>
          <w:tcPr>
            <w:tcW w:w="8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25</w:t>
            </w:r>
          </w:p>
        </w:tc>
      </w:tr>
      <w:tr>
        <w:trPr>
          <w:trHeight w:val="115"/>
        </w:trPr>
        <w:tc>
          <w:tcPr>
            <w:tcW w:w="8840" w:type="dxa"/>
            <w:vAlign w:val="bottom"/>
            <w:tcBorders>
              <w:bottom w:val="single" w:sz="8" w:color="DC202E"/>
            </w:tcBorders>
          </w:tcPr>
          <w:p>
            <w:pPr>
              <w:ind w:left="80"/>
              <w:spacing w:after="0"/>
              <w:rPr>
                <w:sz w:val="20"/>
                <w:szCs w:val="20"/>
                <w:color w:val="auto"/>
              </w:rPr>
            </w:pPr>
            <w:r>
              <w:rPr>
                <w:rFonts w:ascii="Arial" w:cs="Arial" w:eastAsia="Arial" w:hAnsi="Arial"/>
                <w:sz w:val="10"/>
                <w:szCs w:val="10"/>
                <w:b w:val="1"/>
                <w:bCs w:val="1"/>
                <w:color w:val="auto"/>
              </w:rPr>
              <w:t>Net sales</w:t>
            </w:r>
          </w:p>
        </w:tc>
        <w:tc>
          <w:tcPr>
            <w:tcW w:w="56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100 %</w:t>
            </w:r>
          </w:p>
        </w:tc>
        <w:tc>
          <w:tcPr>
            <w:tcW w:w="104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100 %</w:t>
            </w: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100 %</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1"/>
          <w:szCs w:val="11"/>
          <w:color w:val="auto"/>
        </w:rPr>
        <w:t>The Company records progress on satisfying performance obligations under contracts with customers and the related billings and cash collections are recorded on the Consolidated Balance Sheet in Accounts receivable—net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65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7" w:name="page68"/>
    <w:bookmarkEnd w:id="67"/>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Contract balances are classified as assets or liabilities on a contract-by-contract basis at the end of each reporting period.</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Company's contract assets and liabilities balances: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940" w:type="dxa"/>
            <w:vAlign w:val="bottom"/>
            <w:tcBorders>
              <w:bottom w:val="single" w:sz="8" w:color="DC202E"/>
            </w:tcBorders>
          </w:tcPr>
          <w:p>
            <w:pPr>
              <w:spacing w:after="0"/>
              <w:rPr>
                <w:sz w:val="11"/>
                <w:szCs w:val="11"/>
                <w:color w:val="auto"/>
              </w:rPr>
            </w:pPr>
          </w:p>
        </w:tc>
        <w:tc>
          <w:tcPr>
            <w:tcW w:w="40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1"/>
                <w:szCs w:val="11"/>
                <w:color w:val="auto"/>
              </w:rPr>
            </w:pPr>
          </w:p>
        </w:tc>
        <w:tc>
          <w:tcPr>
            <w:tcW w:w="22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9"/>
        </w:trPr>
        <w:tc>
          <w:tcPr>
            <w:tcW w:w="59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Contract assets—January 1</w:t>
            </w:r>
          </w:p>
        </w:tc>
        <w:tc>
          <w:tcPr>
            <w:tcW w:w="40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1,618</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1,602</w:t>
            </w:r>
          </w:p>
        </w:tc>
      </w:tr>
      <w:tr>
        <w:trPr>
          <w:trHeight w:val="115"/>
        </w:trPr>
        <w:tc>
          <w:tcPr>
            <w:tcW w:w="59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Contract assets—December 31</w:t>
            </w:r>
          </w:p>
        </w:tc>
        <w:tc>
          <w:tcPr>
            <w:tcW w:w="40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2,060</w:t>
            </w:r>
          </w:p>
        </w:tc>
        <w:tc>
          <w:tcPr>
            <w:tcW w:w="22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1,618</w:t>
            </w:r>
          </w:p>
        </w:tc>
      </w:tr>
      <w:tr>
        <w:trPr>
          <w:trHeight w:val="115"/>
        </w:trPr>
        <w:tc>
          <w:tcPr>
            <w:tcW w:w="59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Change in contract assets—increase (decrease)</w:t>
            </w:r>
          </w:p>
        </w:tc>
        <w:tc>
          <w:tcPr>
            <w:tcW w:w="40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442</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16</w:t>
            </w:r>
          </w:p>
        </w:tc>
      </w:tr>
      <w:tr>
        <w:trPr>
          <w:trHeight w:val="115"/>
        </w:trPr>
        <w:tc>
          <w:tcPr>
            <w:tcW w:w="59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Contract liabilities—January 1</w:t>
            </w:r>
          </w:p>
        </w:tc>
        <w:tc>
          <w:tcPr>
            <w:tcW w:w="40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(4,033)</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(3,501)</w:t>
            </w:r>
          </w:p>
        </w:tc>
      </w:tr>
      <w:tr>
        <w:trPr>
          <w:trHeight w:val="115"/>
        </w:trPr>
        <w:tc>
          <w:tcPr>
            <w:tcW w:w="59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Contract liabilities—December 31</w:t>
            </w:r>
          </w:p>
        </w:tc>
        <w:tc>
          <w:tcPr>
            <w:tcW w:w="40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(4,290)</w:t>
            </w:r>
          </w:p>
        </w:tc>
        <w:tc>
          <w:tcPr>
            <w:tcW w:w="22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(4,033)</w:t>
            </w:r>
          </w:p>
        </w:tc>
      </w:tr>
      <w:tr>
        <w:trPr>
          <w:trHeight w:val="115"/>
        </w:trPr>
        <w:tc>
          <w:tcPr>
            <w:tcW w:w="59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Change in contract liabilities—(increase) decrease</w:t>
            </w:r>
          </w:p>
        </w:tc>
        <w:tc>
          <w:tcPr>
            <w:tcW w:w="40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(257)</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(532)</w:t>
            </w:r>
          </w:p>
        </w:tc>
      </w:tr>
      <w:tr>
        <w:trPr>
          <w:trHeight w:val="115"/>
        </w:trPr>
        <w:tc>
          <w:tcPr>
            <w:tcW w:w="59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change</w:t>
            </w:r>
          </w:p>
        </w:tc>
        <w:tc>
          <w:tcPr>
            <w:tcW w:w="40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185</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(516)</w:t>
            </w:r>
          </w:p>
        </w:tc>
      </w:tr>
    </w:tbl>
    <w:p>
      <w:pPr>
        <w:spacing w:after="0" w:line="136"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net change in 2021 and 2020 was primarily driven by the receipt of advance payments from customers exceeding recognition of revenue as performance obligations were satisfied prior to billing. For the years ended December 31, 2021 and 2020, the Company recognized revenue of $1,925 million and $1,709 million, respectively, that was previously included in the beginning balance of contract liabilities.</w:t>
      </w:r>
    </w:p>
    <w:p>
      <w:pPr>
        <w:spacing w:after="0" w:line="66"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Contract assets include $2,035 million and $1,589 million of unbilled balances under long-term contracts as of December 31, 2021 and 2020, respectively. These amounts are billed in accordance with the terms of customer contracts to which they relate.</w:t>
      </w:r>
    </w:p>
    <w:p>
      <w:pPr>
        <w:spacing w:after="0" w:line="66"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PERFORMANCE OBLIGATIONS</w:t>
      </w:r>
    </w:p>
    <w:p>
      <w:pPr>
        <w:spacing w:after="0" w:line="95"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69"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outlines the Company's remaining performance obligations disaggregated by segment:</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820" w:type="dxa"/>
            <w:vAlign w:val="bottom"/>
            <w:tcBorders>
              <w:bottom w:val="single" w:sz="8" w:color="DC202E"/>
            </w:tcBorders>
          </w:tcPr>
          <w:p>
            <w:pPr>
              <w:spacing w:after="0"/>
              <w:rPr>
                <w:sz w:val="11"/>
                <w:szCs w:val="11"/>
                <w:color w:val="auto"/>
              </w:rPr>
            </w:pPr>
          </w:p>
        </w:tc>
        <w:tc>
          <w:tcPr>
            <w:tcW w:w="4180" w:type="dxa"/>
            <w:vAlign w:val="bottom"/>
            <w:tcBorders>
              <w:bottom w:val="single" w:sz="8" w:color="DC202E"/>
            </w:tcBorders>
          </w:tcPr>
          <w:p>
            <w:pPr>
              <w:spacing w:after="0"/>
              <w:rPr>
                <w:sz w:val="11"/>
                <w:szCs w:val="11"/>
                <w:color w:val="auto"/>
              </w:rPr>
            </w:pPr>
          </w:p>
        </w:tc>
        <w:tc>
          <w:tcPr>
            <w:tcW w:w="130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99"/>
              </w:rPr>
              <w:t>December 31, 2021</w:t>
            </w:r>
          </w:p>
        </w:tc>
      </w:tr>
      <w:tr>
        <w:trPr>
          <w:trHeight w:val="119"/>
        </w:trPr>
        <w:tc>
          <w:tcPr>
            <w:tcW w:w="5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Aerospace</w:t>
            </w:r>
          </w:p>
        </w:tc>
        <w:tc>
          <w:tcPr>
            <w:tcW w:w="41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9,423</w:t>
            </w:r>
          </w:p>
        </w:tc>
      </w:tr>
      <w:tr>
        <w:trPr>
          <w:trHeight w:val="115"/>
        </w:trPr>
        <w:tc>
          <w:tcPr>
            <w:tcW w:w="5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Honeywell Building Technologies</w:t>
            </w:r>
          </w:p>
        </w:tc>
        <w:tc>
          <w:tcPr>
            <w:tcW w:w="418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6,871</w:t>
            </w:r>
          </w:p>
        </w:tc>
      </w:tr>
      <w:tr>
        <w:trPr>
          <w:trHeight w:val="115"/>
        </w:trPr>
        <w:tc>
          <w:tcPr>
            <w:tcW w:w="5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Performance Materials and Technologies</w:t>
            </w:r>
          </w:p>
        </w:tc>
        <w:tc>
          <w:tcPr>
            <w:tcW w:w="418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7,243</w:t>
            </w:r>
          </w:p>
        </w:tc>
      </w:tr>
      <w:tr>
        <w:trPr>
          <w:trHeight w:val="115"/>
        </w:trPr>
        <w:tc>
          <w:tcPr>
            <w:tcW w:w="5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Safety and Productivity Solutions</w:t>
            </w:r>
          </w:p>
        </w:tc>
        <w:tc>
          <w:tcPr>
            <w:tcW w:w="4180" w:type="dxa"/>
            <w:vAlign w:val="bottom"/>
            <w:tcBorders>
              <w:bottom w:val="single" w:sz="8" w:color="939598"/>
            </w:tcBorders>
          </w:tcPr>
          <w:p>
            <w:pPr>
              <w:spacing w:after="0"/>
              <w:rPr>
                <w:sz w:val="10"/>
                <w:szCs w:val="10"/>
                <w:color w:val="auto"/>
              </w:rPr>
            </w:pPr>
          </w:p>
        </w:tc>
        <w:tc>
          <w:tcPr>
            <w:tcW w:w="1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4,143</w:t>
            </w:r>
          </w:p>
        </w:tc>
      </w:tr>
      <w:tr>
        <w:trPr>
          <w:trHeight w:val="115"/>
        </w:trPr>
        <w:tc>
          <w:tcPr>
            <w:tcW w:w="58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Corporate and All Other</w:t>
            </w:r>
            <w:r>
              <w:rPr>
                <w:rFonts w:ascii="Arial" w:cs="Arial" w:eastAsia="Arial" w:hAnsi="Arial"/>
                <w:sz w:val="6"/>
                <w:szCs w:val="6"/>
                <w:color w:val="auto"/>
              </w:rPr>
              <w:t>(1)</w:t>
            </w:r>
          </w:p>
        </w:tc>
        <w:tc>
          <w:tcPr>
            <w:tcW w:w="4180" w:type="dxa"/>
            <w:vAlign w:val="bottom"/>
            <w:tcBorders>
              <w:bottom w:val="single" w:sz="8" w:color="DC202E"/>
            </w:tcBorders>
          </w:tcPr>
          <w:p>
            <w:pPr>
              <w:spacing w:after="0"/>
              <w:rPr>
                <w:sz w:val="10"/>
                <w:szCs w:val="10"/>
                <w:color w:val="auto"/>
              </w:rPr>
            </w:pPr>
          </w:p>
        </w:tc>
        <w:tc>
          <w:tcPr>
            <w:tcW w:w="1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w:t>
            </w:r>
          </w:p>
        </w:tc>
      </w:tr>
      <w:tr>
        <w:trPr>
          <w:trHeight w:val="115"/>
        </w:trPr>
        <w:tc>
          <w:tcPr>
            <w:tcW w:w="5820" w:type="dxa"/>
            <w:vAlign w:val="bottom"/>
            <w:tcBorders>
              <w:bottom w:val="single" w:sz="8" w:color="DC202E"/>
            </w:tcBorders>
          </w:tcPr>
          <w:p>
            <w:pPr>
              <w:spacing w:after="0"/>
              <w:rPr>
                <w:sz w:val="10"/>
                <w:szCs w:val="10"/>
                <w:color w:val="auto"/>
              </w:rPr>
            </w:pPr>
          </w:p>
        </w:tc>
        <w:tc>
          <w:tcPr>
            <w:tcW w:w="41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27,682</w:t>
            </w:r>
          </w:p>
        </w:tc>
      </w:tr>
    </w:tbl>
    <w:p>
      <w:pPr>
        <w:spacing w:after="0" w:line="131" w:lineRule="exact"/>
        <w:rPr>
          <w:sz w:val="20"/>
          <w:szCs w:val="20"/>
          <w:color w:val="auto"/>
        </w:rPr>
      </w:pPr>
    </w:p>
    <w:p>
      <w:pPr>
        <w:ind w:left="8"/>
        <w:spacing w:after="0"/>
        <w:rPr>
          <w:sz w:val="20"/>
          <w:szCs w:val="20"/>
          <w:color w:val="auto"/>
        </w:rPr>
      </w:pPr>
      <w:r>
        <w:rPr>
          <w:rFonts w:ascii="Arial" w:cs="Arial" w:eastAsia="Arial" w:hAnsi="Arial"/>
          <w:sz w:val="8"/>
          <w:szCs w:val="8"/>
          <w:color w:val="auto"/>
        </w:rPr>
        <w:t>(1) The remaining performance obligations within Corporate and All Other relate to the Quantinuum business.</w:t>
      </w:r>
    </w:p>
    <w:p>
      <w:pPr>
        <w:spacing w:after="0" w:line="270" w:lineRule="exact"/>
        <w:rPr>
          <w:sz w:val="20"/>
          <w:szCs w:val="20"/>
          <w:color w:val="auto"/>
        </w:rPr>
      </w:pPr>
    </w:p>
    <w:p>
      <w:pPr>
        <w:ind w:left="468" w:hanging="468"/>
        <w:spacing w:after="0"/>
        <w:tabs>
          <w:tab w:leader="none" w:pos="468" w:val="left"/>
        </w:tabs>
        <w:numPr>
          <w:ilvl w:val="0"/>
          <w:numId w:val="8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68" w:name="page69"/>
    <w:bookmarkEnd w:id="68"/>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Performance obligations recognized as of December 31, 2021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59% and 41%, respectively.</w:t>
      </w:r>
    </w:p>
    <w:p>
      <w:pPr>
        <w:spacing w:after="0" w:line="67"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the Company may be entitled to receive an advance payment.</w:t>
      </w:r>
    </w:p>
    <w:p>
      <w:pPr>
        <w:spacing w:after="0" w:line="6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The Company has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67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69" w:name="page70"/>
    <w:bookmarkEnd w:id="69"/>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4. REPOSITIONING AND OTHER CHARGES</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A summary of repositioning and other charges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c>
          <w:tcPr>
            <w:tcW w:w="144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51"/>
        </w:trPr>
        <w:tc>
          <w:tcPr>
            <w:tcW w:w="838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Severance</w:t>
            </w:r>
          </w:p>
        </w:tc>
        <w:tc>
          <w:tcPr>
            <w:tcW w:w="6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80</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475</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260</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Asset impairments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117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95</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Exit costs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134</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69</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83</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Reserve adjustments</w:t>
            </w:r>
          </w:p>
        </w:tc>
        <w:tc>
          <w:tcPr>
            <w:tcW w:w="6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(13)</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(47)</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w:t>
            </w:r>
          </w:p>
        </w:tc>
      </w:tr>
      <w:tr>
        <w:trPr>
          <w:trHeight w:val="115"/>
        </w:trPr>
        <w:tc>
          <w:tcPr>
            <w:tcW w:w="838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Total net repositioning charge</w:t>
            </w:r>
          </w:p>
        </w:tc>
        <w:tc>
          <w:tcPr>
            <w:tcW w:w="6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318</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518</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433</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Asbestos related litigation charges, net of insurance and reimbursements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129</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50</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42</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Probable and reasonably estimable environmental liabilities, net of reimbursements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22</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59</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charges</w:t>
            </w:r>
          </w:p>
        </w:tc>
        <w:tc>
          <w:tcPr>
            <w:tcW w:w="6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100</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(20)</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12</w:t>
            </w:r>
          </w:p>
        </w:tc>
      </w:tr>
      <w:tr>
        <w:trPr>
          <w:trHeight w:val="115"/>
        </w:trPr>
        <w:tc>
          <w:tcPr>
            <w:tcW w:w="838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Total net repositioning and other charges</w:t>
            </w:r>
          </w:p>
        </w:tc>
        <w:tc>
          <w:tcPr>
            <w:tcW w:w="6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569</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575</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546</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pre-tax distribution of total net repositioning and other charges by classification in the Consolidated Statement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380" w:type="dxa"/>
            <w:vAlign w:val="bottom"/>
          </w:tcPr>
          <w:p>
            <w:pPr>
              <w:spacing w:after="0"/>
              <w:rPr>
                <w:sz w:val="11"/>
                <w:szCs w:val="11"/>
                <w:color w:val="auto"/>
              </w:rPr>
            </w:pPr>
          </w:p>
        </w:tc>
        <w:tc>
          <w:tcPr>
            <w:tcW w:w="680" w:type="dxa"/>
            <w:vAlign w:val="bottom"/>
            <w:tcBorders>
              <w:bottom w:val="single" w:sz="8" w:color="DC202E"/>
            </w:tcBorders>
          </w:tcPr>
          <w:p>
            <w:pPr>
              <w:spacing w:after="0"/>
              <w:rPr>
                <w:sz w:val="11"/>
                <w:szCs w:val="11"/>
                <w:color w:val="auto"/>
              </w:rPr>
            </w:pPr>
          </w:p>
        </w:tc>
        <w:tc>
          <w:tcPr>
            <w:tcW w:w="144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r>
      <w:tr>
        <w:trPr>
          <w:trHeight w:val="151"/>
        </w:trPr>
        <w:tc>
          <w:tcPr>
            <w:tcW w:w="838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9"/>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Cost of products and services sold</w:t>
            </w:r>
          </w:p>
        </w:tc>
        <w:tc>
          <w:tcPr>
            <w:tcW w:w="6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457</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308</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276</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Selling, general and administrative expenses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112</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267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270</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(income) expense</w:t>
            </w:r>
          </w:p>
        </w:tc>
        <w:tc>
          <w:tcPr>
            <w:tcW w:w="6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38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569</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575</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546</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pre-tax amount of total net repositioning and other charges by segment. These amounts are excluded from segment profit as described in Note 22 Segment Financial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680" w:type="dxa"/>
            <w:vAlign w:val="bottom"/>
            <w:tcBorders>
              <w:bottom w:val="single" w:sz="8" w:color="DC202E"/>
            </w:tcBorders>
          </w:tcPr>
          <w:p>
            <w:pPr>
              <w:spacing w:after="0"/>
              <w:rPr>
                <w:sz w:val="11"/>
                <w:szCs w:val="11"/>
                <w:color w:val="auto"/>
              </w:rPr>
            </w:pPr>
          </w:p>
        </w:tc>
        <w:tc>
          <w:tcPr>
            <w:tcW w:w="144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r>
      <w:tr>
        <w:trPr>
          <w:trHeight w:val="151"/>
        </w:trPr>
        <w:tc>
          <w:tcPr>
            <w:tcW w:w="300" w:type="dxa"/>
            <w:vAlign w:val="bottom"/>
            <w:tcBorders>
              <w:bottom w:val="single" w:sz="8" w:color="DC202E"/>
            </w:tcBorders>
          </w:tcPr>
          <w:p>
            <w:pPr>
              <w:spacing w:after="0"/>
              <w:rPr>
                <w:sz w:val="13"/>
                <w:szCs w:val="13"/>
                <w:color w:val="auto"/>
              </w:rPr>
            </w:pPr>
          </w:p>
        </w:tc>
        <w:tc>
          <w:tcPr>
            <w:tcW w:w="808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9"/>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Aerospace</w:t>
            </w:r>
          </w:p>
        </w:tc>
        <w:tc>
          <w:tcPr>
            <w:tcW w:w="6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62</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157</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Honeywell Building Technologies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100</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108</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Performance Materials and Technologies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24</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167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93</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Safety and Productivity Solutions</w:t>
            </w:r>
          </w:p>
        </w:tc>
        <w:tc>
          <w:tcPr>
            <w:tcW w:w="6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268</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71</w:t>
            </w:r>
          </w:p>
        </w:tc>
      </w:tr>
      <w:tr>
        <w:trPr>
          <w:trHeight w:val="115"/>
        </w:trPr>
        <w:tc>
          <w:tcPr>
            <w:tcW w:w="838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Corporate and All Other</w:t>
            </w:r>
          </w:p>
        </w:tc>
        <w:tc>
          <w:tcPr>
            <w:tcW w:w="6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202</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110</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241</w:t>
            </w:r>
          </w:p>
        </w:tc>
      </w:tr>
      <w:tr>
        <w:trPr>
          <w:trHeight w:val="115"/>
        </w:trPr>
        <w:tc>
          <w:tcPr>
            <w:tcW w:w="300" w:type="dxa"/>
            <w:vAlign w:val="bottom"/>
            <w:tcBorders>
              <w:bottom w:val="single" w:sz="8" w:color="DC202E"/>
            </w:tcBorders>
          </w:tcPr>
          <w:p>
            <w:pPr>
              <w:spacing w:after="0"/>
              <w:rPr>
                <w:sz w:val="10"/>
                <w:szCs w:val="10"/>
                <w:color w:val="auto"/>
              </w:rPr>
            </w:pPr>
          </w:p>
        </w:tc>
        <w:tc>
          <w:tcPr>
            <w:tcW w:w="808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569</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575</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546</w:t>
            </w:r>
          </w:p>
        </w:tc>
      </w:tr>
      <w:tr>
        <w:trPr>
          <w:trHeight w:val="709"/>
        </w:trPr>
        <w:tc>
          <w:tcPr>
            <w:tcW w:w="300" w:type="dxa"/>
            <w:vAlign w:val="bottom"/>
          </w:tcPr>
          <w:p>
            <w:pPr>
              <w:spacing w:after="0"/>
              <w:rPr>
                <w:sz w:val="20"/>
                <w:szCs w:val="20"/>
                <w:color w:val="auto"/>
              </w:rPr>
            </w:pPr>
            <w:r>
              <w:rPr>
                <w:rFonts w:ascii="Arial" w:cs="Arial" w:eastAsia="Arial" w:hAnsi="Arial"/>
                <w:sz w:val="12"/>
                <w:szCs w:val="12"/>
                <w:b w:val="1"/>
                <w:bCs w:val="1"/>
                <w:color w:val="D7282F"/>
              </w:rPr>
              <w:t>68</w:t>
            </w:r>
          </w:p>
        </w:tc>
        <w:tc>
          <w:tcPr>
            <w:tcW w:w="8080" w:type="dxa"/>
            <w:vAlign w:val="bottom"/>
          </w:tcPr>
          <w:p>
            <w:pPr>
              <w:ind w:left="160"/>
              <w:spacing w:after="0"/>
              <w:rPr>
                <w:sz w:val="20"/>
                <w:szCs w:val="20"/>
                <w:color w:val="auto"/>
              </w:rPr>
            </w:pPr>
            <w:r>
              <w:rPr>
                <w:rFonts w:ascii="Arial" w:cs="Arial" w:eastAsia="Arial" w:hAnsi="Arial"/>
                <w:sz w:val="10"/>
                <w:szCs w:val="10"/>
                <w:color w:val="auto"/>
              </w:rPr>
              <w:t>Honeywell International Inc.</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4"/>
        </w:trPr>
        <w:tc>
          <w:tcPr>
            <w:tcW w:w="300" w:type="dxa"/>
            <w:vAlign w:val="bottom"/>
            <w:tcBorders>
              <w:bottom w:val="single" w:sz="8" w:color="9A9A9A"/>
            </w:tcBorders>
          </w:tcPr>
          <w:p>
            <w:pPr>
              <w:spacing w:after="0"/>
              <w:rPr>
                <w:sz w:val="12"/>
                <w:szCs w:val="12"/>
                <w:color w:val="auto"/>
              </w:rPr>
            </w:pPr>
          </w:p>
        </w:tc>
        <w:tc>
          <w:tcPr>
            <w:tcW w:w="80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jc w:val="both"/>
        <w:spacing w:after="0" w:line="270" w:lineRule="auto"/>
        <w:rPr>
          <w:sz w:val="20"/>
          <w:szCs w:val="20"/>
          <w:color w:val="auto"/>
        </w:rPr>
      </w:pPr>
      <w:r>
        <w:rPr>
          <w:rFonts w:ascii="Arial" w:cs="Arial" w:eastAsia="Arial" w:hAnsi="Arial"/>
          <w:sz w:val="10"/>
          <w:szCs w:val="10"/>
          <w:color w:val="auto"/>
        </w:rPr>
        <w:t>In 2021, the Company recognized repositioning charges totaling $331 million, including severance costs of $80 million related to workforce reductions of 6,432 manufacturing and administrative positions mainly in the Company's Safety and Productivity Solutions and Aerospace segments. The workforce reductions were primarily related to the re-alignment of a product line in the Company's Safety and Productivity Solutions segment, site transitions, mainly in Aerospace, to more cost-effective locations, and the Company's productivity and ongoing functional transformation initiatives. The repositioning charge included asset impairments of $117 million primarily related to the write-down of certain manufacturing and other equipment. The repositioning charge included exit costs of $134 million primarily for current period exit costs incurred for previously approved repositioning projects, closure obligations associated with site transitions, and lease obligations for equipment. Also, $13 million of previously established reserves, primarily for severance, were returned to income due to adjustments to the scope of previously announced repositioning actions.</w:t>
      </w:r>
    </w:p>
    <w:p>
      <w:pPr>
        <w:spacing w:after="0" w:line="55"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In 2021, Other charges include $105 million of incremental long-term contract labor cost inefficiencies due to severe supply chain disruptions (attributable to the COVID-19 pandemic) relating to the warehouse automation business within the Safety and Productivity Solutions segment. Certain of these costs incurred include amounts and provisions for anticipated losses recognized during the fourth quarter when total estimated costs at completion for certain of the business’ long-term contracts exceeded total estimated revenue. These costs represent unproductive labor costs due to unexpected supply delays and the resulting downstream installation issues, demobilization and remobilization of contract workers, and resolution of contractor disputes. These costs do not include normal operational inefficiencies experienced during a challenging operating environment in 2021.</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1"/>
          <w:szCs w:val="11"/>
          <w:color w:val="auto"/>
        </w:rPr>
        <w:t>In 2020, the Company recognized repositioning charges totaling $565 million, including severance costs of $475 million related to workforce reductions of 14,159 manufacturing and administrative positions across the Company's segments, with a majority of the workforce reductions in Aerospace and Performance Materials and Technologies. The workforce reductions primarily related to the Company aligning its cost structure with the slowdown in demand for many of its products and services due to the global recession, the Company's productivity and ongoing functional transformation initiatives, and to site consolidations and hub strategies. The repositioning charge included exit costs of $69 million primarily related to current period exit costs incurred for previously approved repositioning projects. Also, $47 million of previously established reserves, primarily for severance, were returned to income mainly as a result of higher attrition than anticipated in prior severance actions resulting in lower payments.</w:t>
      </w:r>
    </w:p>
    <w:p>
      <w:pPr>
        <w:spacing w:after="0" w:line="70" w:lineRule="exact"/>
        <w:rPr>
          <w:sz w:val="20"/>
          <w:szCs w:val="20"/>
          <w:color w:val="auto"/>
        </w:rPr>
      </w:pPr>
    </w:p>
    <w:p>
      <w:pPr>
        <w:jc w:val="both"/>
        <w:spacing w:after="0"/>
        <w:rPr>
          <w:sz w:val="20"/>
          <w:szCs w:val="20"/>
          <w:color w:val="auto"/>
        </w:rPr>
      </w:pPr>
      <w:r>
        <w:rPr>
          <w:rFonts w:ascii="Arial" w:cs="Arial" w:eastAsia="Arial" w:hAnsi="Arial"/>
          <w:sz w:val="11"/>
          <w:szCs w:val="11"/>
          <w:color w:val="auto"/>
        </w:rPr>
        <w:t>In 2019, the Company recognized repositioning charges totaling $438 million, including severance costs of $260 million related to workforce reductions of 5,336 manufacturing and administrative positions across the Company's segments. The workforce reductions related to the Company's productivity and ongoing functional transformation initiatives and to site transitions, mainly in Honeywell Building Technologies, as the Company transitions manufacturing to more cost-effective locations. The repositioning charge included asset impairments of $95 million largely related to a write down in connection with assets held for sale. The repositioning charge included exit costs of $83 million primarily related to current period exit costs incurred for previously approved repositioning projects, termination fees associated with the early cancellation of supply agreements for certain raw materials in Performance Materials and Technologies and Honeywell Building Technologies and for closure obligations associated with site transitions.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69</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71" w:name="page72"/>
    <w:bookmarkEnd w:id="71"/>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status of the Company's total repositioning reserves:</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3460" w:type="dxa"/>
            <w:vAlign w:val="bottom"/>
          </w:tcPr>
          <w:p>
            <w:pPr>
              <w:jc w:val="right"/>
              <w:spacing w:after="0"/>
              <w:rPr>
                <w:sz w:val="20"/>
                <w:szCs w:val="20"/>
                <w:color w:val="auto"/>
              </w:rPr>
            </w:pPr>
            <w:r>
              <w:rPr>
                <w:rFonts w:ascii="Arial" w:cs="Arial" w:eastAsia="Arial" w:hAnsi="Arial"/>
                <w:sz w:val="10"/>
                <w:szCs w:val="10"/>
                <w:b w:val="1"/>
                <w:bCs w:val="1"/>
                <w:color w:val="auto"/>
              </w:rPr>
              <w:t>Severance</w:t>
            </w:r>
          </w:p>
        </w:tc>
        <w:tc>
          <w:tcPr>
            <w:tcW w:w="380" w:type="dxa"/>
            <w:vAlign w:val="bottom"/>
          </w:tcPr>
          <w:p>
            <w:pPr>
              <w:spacing w:after="0"/>
              <w:rPr>
                <w:sz w:val="10"/>
                <w:szCs w:val="10"/>
                <w:color w:val="auto"/>
              </w:rPr>
            </w:pPr>
          </w:p>
        </w:tc>
        <w:tc>
          <w:tcPr>
            <w:tcW w:w="740" w:type="dxa"/>
            <w:vAlign w:val="bottom"/>
          </w:tcPr>
          <w:p>
            <w:pPr>
              <w:jc w:val="right"/>
              <w:ind w:right="112"/>
              <w:spacing w:after="0"/>
              <w:rPr>
                <w:sz w:val="20"/>
                <w:szCs w:val="20"/>
                <w:color w:val="auto"/>
              </w:rPr>
            </w:pPr>
            <w:r>
              <w:rPr>
                <w:rFonts w:ascii="Arial" w:cs="Arial" w:eastAsia="Arial" w:hAnsi="Arial"/>
                <w:sz w:val="10"/>
                <w:szCs w:val="10"/>
                <w:b w:val="1"/>
                <w:bCs w:val="1"/>
                <w:color w:val="auto"/>
              </w:rPr>
              <w:t>Asset</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532"/>
              <w:spacing w:after="0"/>
              <w:rPr>
                <w:sz w:val="20"/>
                <w:szCs w:val="20"/>
                <w:color w:val="auto"/>
              </w:rPr>
            </w:pPr>
            <w:r>
              <w:rPr>
                <w:rFonts w:ascii="Arial" w:cs="Arial" w:eastAsia="Arial" w:hAnsi="Arial"/>
                <w:sz w:val="10"/>
                <w:szCs w:val="10"/>
                <w:b w:val="1"/>
                <w:bCs w:val="1"/>
                <w:color w:val="auto"/>
              </w:rPr>
              <w:t>Exit</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1"/>
        </w:trPr>
        <w:tc>
          <w:tcPr>
            <w:tcW w:w="4240" w:type="dxa"/>
            <w:vAlign w:val="bottom"/>
            <w:tcBorders>
              <w:bottom w:val="single" w:sz="8" w:color="DC202E"/>
            </w:tcBorders>
          </w:tcPr>
          <w:p>
            <w:pPr>
              <w:spacing w:after="0"/>
              <w:rPr>
                <w:sz w:val="11"/>
                <w:szCs w:val="11"/>
                <w:color w:val="auto"/>
              </w:rPr>
            </w:pPr>
          </w:p>
        </w:tc>
        <w:tc>
          <w:tcPr>
            <w:tcW w:w="3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Costs</w:t>
            </w:r>
          </w:p>
        </w:tc>
        <w:tc>
          <w:tcPr>
            <w:tcW w:w="380" w:type="dxa"/>
            <w:vAlign w:val="bottom"/>
            <w:tcBorders>
              <w:bottom w:val="single" w:sz="8" w:color="DC202E"/>
            </w:tcBorders>
          </w:tcPr>
          <w:p>
            <w:pPr>
              <w:spacing w:after="0"/>
              <w:rPr>
                <w:sz w:val="11"/>
                <w:szCs w:val="11"/>
                <w:color w:val="auto"/>
              </w:rPr>
            </w:pP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Impairments</w:t>
            </w:r>
          </w:p>
        </w:tc>
        <w:tc>
          <w:tcPr>
            <w:tcW w:w="360" w:type="dxa"/>
            <w:vAlign w:val="bottom"/>
            <w:tcBorders>
              <w:bottom w:val="single" w:sz="8" w:color="DC202E"/>
            </w:tcBorders>
          </w:tcPr>
          <w:p>
            <w:pPr>
              <w:spacing w:after="0"/>
              <w:rPr>
                <w:sz w:val="11"/>
                <w:szCs w:val="11"/>
                <w:color w:val="auto"/>
              </w:rPr>
            </w:pPr>
          </w:p>
        </w:tc>
        <w:tc>
          <w:tcPr>
            <w:tcW w:w="260" w:type="dxa"/>
            <w:vAlign w:val="bottom"/>
            <w:tcBorders>
              <w:bottom w:val="single" w:sz="8" w:color="DC202E"/>
            </w:tcBorders>
          </w:tcPr>
          <w:p>
            <w:pPr>
              <w:spacing w:after="0"/>
              <w:rPr>
                <w:sz w:val="11"/>
                <w:szCs w:val="11"/>
                <w:color w:val="auto"/>
              </w:rPr>
            </w:pPr>
          </w:p>
        </w:tc>
        <w:tc>
          <w:tcPr>
            <w:tcW w:w="860" w:type="dxa"/>
            <w:vAlign w:val="bottom"/>
            <w:tcBorders>
              <w:bottom w:val="single" w:sz="8" w:color="DC202E"/>
            </w:tcBorders>
          </w:tcPr>
          <w:p>
            <w:pPr>
              <w:jc w:val="right"/>
              <w:ind w:right="492"/>
              <w:spacing w:after="0"/>
              <w:rPr>
                <w:sz w:val="20"/>
                <w:szCs w:val="20"/>
                <w:color w:val="auto"/>
              </w:rPr>
            </w:pPr>
            <w:r>
              <w:rPr>
                <w:rFonts w:ascii="Arial" w:cs="Arial" w:eastAsia="Arial" w:hAnsi="Arial"/>
                <w:sz w:val="10"/>
                <w:szCs w:val="10"/>
                <w:b w:val="1"/>
                <w:bCs w:val="1"/>
                <w:color w:val="auto"/>
              </w:rPr>
              <w:t>Costs</w:t>
            </w:r>
          </w:p>
        </w:tc>
        <w:tc>
          <w:tcPr>
            <w:tcW w:w="260" w:type="dxa"/>
            <w:vAlign w:val="bottom"/>
            <w:tcBorders>
              <w:bottom w:val="single" w:sz="8" w:color="DC202E"/>
            </w:tcBorders>
          </w:tcPr>
          <w:p>
            <w:pPr>
              <w:spacing w:after="0"/>
              <w:rPr>
                <w:sz w:val="11"/>
                <w:szCs w:val="11"/>
                <w:color w:val="auto"/>
              </w:rPr>
            </w:pPr>
          </w:p>
        </w:tc>
        <w:tc>
          <w:tcPr>
            <w:tcW w:w="74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Total</w:t>
            </w:r>
          </w:p>
        </w:tc>
      </w:tr>
      <w:tr>
        <w:trPr>
          <w:trHeight w:val="119"/>
        </w:trPr>
        <w:tc>
          <w:tcPr>
            <w:tcW w:w="4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December 31, 2018</w:t>
            </w:r>
          </w:p>
        </w:tc>
        <w:tc>
          <w:tcPr>
            <w:tcW w:w="346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489</w:t>
            </w:r>
          </w:p>
        </w:tc>
        <w:tc>
          <w:tcPr>
            <w:tcW w:w="74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77</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566</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Charges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260</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95</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83</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438</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Usage—cash</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(186)</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(63)</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(249)</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Usage—noncash</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4"/>
              </w:rPr>
              <w:t>(100)</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(100)</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Divestitures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Adjustments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w:t>
            </w:r>
          </w:p>
        </w:tc>
      </w:tr>
      <w:tr>
        <w:trPr>
          <w:trHeight w:val="115"/>
        </w:trPr>
        <w:tc>
          <w:tcPr>
            <w:tcW w:w="424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4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1</w:t>
            </w:r>
          </w:p>
        </w:tc>
        <w:tc>
          <w:tcPr>
            <w:tcW w:w="26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w:t>
            </w:r>
          </w:p>
        </w:tc>
      </w:tr>
      <w:tr>
        <w:trPr>
          <w:trHeight w:val="115"/>
        </w:trPr>
        <w:tc>
          <w:tcPr>
            <w:tcW w:w="4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December 31, 2019</w:t>
            </w:r>
          </w:p>
        </w:tc>
        <w:tc>
          <w:tcPr>
            <w:tcW w:w="34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555</w:t>
            </w:r>
          </w:p>
        </w:tc>
        <w:tc>
          <w:tcPr>
            <w:tcW w:w="74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96</w:t>
            </w:r>
          </w:p>
        </w:tc>
        <w:tc>
          <w:tcPr>
            <w:tcW w:w="26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651</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Charges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475</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21</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69</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565</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Usage—cash</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(474)</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(90)</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(564)</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Usage—noncash</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(21)</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Divestitures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Adjustments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(44)</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(47)</w:t>
            </w:r>
          </w:p>
        </w:tc>
      </w:tr>
      <w:tr>
        <w:trPr>
          <w:trHeight w:val="115"/>
        </w:trPr>
        <w:tc>
          <w:tcPr>
            <w:tcW w:w="424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4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15</w:t>
            </w:r>
          </w:p>
        </w:tc>
        <w:tc>
          <w:tcPr>
            <w:tcW w:w="74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17</w:t>
            </w:r>
          </w:p>
        </w:tc>
      </w:tr>
      <w:tr>
        <w:trPr>
          <w:trHeight w:val="115"/>
        </w:trPr>
        <w:tc>
          <w:tcPr>
            <w:tcW w:w="4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December 31, 2020</w:t>
            </w:r>
          </w:p>
        </w:tc>
        <w:tc>
          <w:tcPr>
            <w:tcW w:w="34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527</w:t>
            </w:r>
          </w:p>
        </w:tc>
        <w:tc>
          <w:tcPr>
            <w:tcW w:w="74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74</w:t>
            </w:r>
          </w:p>
        </w:tc>
        <w:tc>
          <w:tcPr>
            <w:tcW w:w="26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601</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Charges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80</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117</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134</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331</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Usage—cash</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(299)</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(83)</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(382)</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Usage—noncash</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4"/>
              </w:rPr>
              <w:t>(119)</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(119)</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Divestitures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42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Adjustments</w:t>
            </w:r>
          </w:p>
        </w:tc>
        <w:tc>
          <w:tcPr>
            <w:tcW w:w="34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(14)</w:t>
            </w:r>
          </w:p>
        </w:tc>
        <w:tc>
          <w:tcPr>
            <w:tcW w:w="7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w:t>
            </w:r>
          </w:p>
        </w:tc>
        <w:tc>
          <w:tcPr>
            <w:tcW w:w="26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w:t>
            </w:r>
          </w:p>
        </w:tc>
      </w:tr>
      <w:tr>
        <w:trPr>
          <w:trHeight w:val="115"/>
        </w:trPr>
        <w:tc>
          <w:tcPr>
            <w:tcW w:w="424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4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(5)</w:t>
            </w:r>
          </w:p>
        </w:tc>
        <w:tc>
          <w:tcPr>
            <w:tcW w:w="74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w:t>
            </w:r>
          </w:p>
        </w:tc>
      </w:tr>
      <w:tr>
        <w:trPr>
          <w:trHeight w:val="115"/>
        </w:trPr>
        <w:tc>
          <w:tcPr>
            <w:tcW w:w="4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346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289</w:t>
            </w:r>
          </w:p>
        </w:tc>
        <w:tc>
          <w:tcPr>
            <w:tcW w:w="74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122</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411</w:t>
            </w:r>
          </w:p>
        </w:tc>
      </w:tr>
    </w:tbl>
    <w:p>
      <w:pPr>
        <w:spacing w:after="0" w:line="136" w:lineRule="exact"/>
        <w:rPr>
          <w:sz w:val="20"/>
          <w:szCs w:val="20"/>
          <w:color w:val="auto"/>
        </w:rPr>
      </w:pPr>
    </w:p>
    <w:p>
      <w:pPr>
        <w:ind w:left="8"/>
        <w:spacing w:after="0"/>
        <w:rPr>
          <w:sz w:val="20"/>
          <w:szCs w:val="20"/>
          <w:color w:val="auto"/>
        </w:rPr>
      </w:pPr>
      <w:r>
        <w:rPr>
          <w:rFonts w:ascii="Arial" w:cs="Arial" w:eastAsia="Arial" w:hAnsi="Arial"/>
          <w:sz w:val="11"/>
          <w:szCs w:val="11"/>
          <w:color w:val="auto"/>
        </w:rPr>
        <w:t>Certain repositioning projects will recognize exit costs in future periods when the actual liability is incurred. Such exit costs incurred in 2021, 2020, and 2019 were not significant.</w:t>
      </w:r>
    </w:p>
    <w:p>
      <w:pPr>
        <w:spacing w:after="0" w:line="200" w:lineRule="exact"/>
        <w:rPr>
          <w:sz w:val="20"/>
          <w:szCs w:val="20"/>
          <w:color w:val="auto"/>
        </w:rPr>
      </w:pPr>
    </w:p>
    <w:p>
      <w:pPr>
        <w:spacing w:after="0" w:line="246" w:lineRule="exact"/>
        <w:rPr>
          <w:sz w:val="20"/>
          <w:szCs w:val="20"/>
          <w:color w:val="auto"/>
        </w:rPr>
      </w:pPr>
    </w:p>
    <w:p>
      <w:pPr>
        <w:ind w:left="468" w:hanging="468"/>
        <w:spacing w:after="0"/>
        <w:tabs>
          <w:tab w:leader="none" w:pos="468" w:val="left"/>
        </w:tabs>
        <w:numPr>
          <w:ilvl w:val="0"/>
          <w:numId w:val="8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72" w:name="page73"/>
    <w:bookmarkEnd w:id="72"/>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5.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BEFORE TAXES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48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51"/>
        </w:trPr>
        <w:tc>
          <w:tcPr>
            <w:tcW w:w="838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3,955</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3,318</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4,178</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Non-U.S.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3,280</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2,694</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3,381</w:t>
            </w:r>
          </w:p>
        </w:tc>
      </w:tr>
      <w:tr>
        <w:trPr>
          <w:trHeight w:val="115"/>
        </w:trPr>
        <w:tc>
          <w:tcPr>
            <w:tcW w:w="838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7,235</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6,012</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7,559</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EXPENSE (BENEFIT)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8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DC202E"/>
            </w:tcBorders>
          </w:tcPr>
          <w:p>
            <w:pPr>
              <w:spacing w:after="0"/>
              <w:rPr>
                <w:sz w:val="13"/>
                <w:szCs w:val="13"/>
                <w:color w:val="auto"/>
              </w:rPr>
            </w:pPr>
          </w:p>
        </w:tc>
        <w:tc>
          <w:tcPr>
            <w:tcW w:w="808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ind w:left="40"/>
              <w:spacing w:after="0"/>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380" w:type="dxa"/>
            <w:vAlign w:val="bottom"/>
            <w:tcBorders>
              <w:bottom w:val="single" w:sz="8" w:color="939598"/>
            </w:tcBorders>
            <w:gridSpan w:val="3"/>
          </w:tcPr>
          <w:p>
            <w:pPr>
              <w:spacing w:after="0"/>
              <w:rPr>
                <w:sz w:val="20"/>
                <w:szCs w:val="20"/>
                <w:color w:val="auto"/>
              </w:rPr>
            </w:pPr>
            <w:r>
              <w:rPr>
                <w:rFonts w:ascii="Arial" w:cs="Arial" w:eastAsia="Arial" w:hAnsi="Arial"/>
                <w:sz w:val="10"/>
                <w:szCs w:val="10"/>
                <w:color w:val="auto"/>
              </w:rPr>
              <w:t>Tax expense (benefit) consists of</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Current:</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U.S. Federal</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415</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475</w:t>
            </w:r>
          </w:p>
        </w:tc>
        <w:tc>
          <w:tcPr>
            <w:tcW w:w="1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U.S. State</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146</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79</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15"/>
        </w:trPr>
        <w:tc>
          <w:tcPr>
            <w:tcW w:w="80" w:type="dxa"/>
            <w:vAlign w:val="bottom"/>
            <w:tcBorders>
              <w:bottom w:val="single" w:sz="8" w:color="DC202E"/>
            </w:tcBorders>
          </w:tcPr>
          <w:p>
            <w:pPr>
              <w:spacing w:after="0"/>
              <w:rPr>
                <w:sz w:val="10"/>
                <w:szCs w:val="10"/>
                <w:color w:val="auto"/>
              </w:rPr>
            </w:pPr>
          </w:p>
        </w:tc>
        <w:tc>
          <w:tcPr>
            <w:tcW w:w="8300" w:type="dxa"/>
            <w:vAlign w:val="bottom"/>
            <w:tcBorders>
              <w:bottom w:val="single" w:sz="8" w:color="DC202E"/>
            </w:tcBorders>
            <w:gridSpan w:val="2"/>
          </w:tcPr>
          <w:p>
            <w:pPr>
              <w:ind w:left="140"/>
              <w:spacing w:after="0"/>
              <w:rPr>
                <w:sz w:val="20"/>
                <w:szCs w:val="20"/>
                <w:color w:val="auto"/>
              </w:rPr>
            </w:pPr>
            <w:r>
              <w:rPr>
                <w:rFonts w:ascii="Arial" w:cs="Arial" w:eastAsia="Arial" w:hAnsi="Arial"/>
                <w:sz w:val="10"/>
                <w:szCs w:val="10"/>
                <w:color w:val="auto"/>
              </w:rPr>
              <w:t>Non-U.S.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886</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768</w:t>
            </w:r>
          </w:p>
        </w:tc>
        <w:tc>
          <w:tcPr>
            <w:tcW w:w="1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1,099</w:t>
            </w:r>
          </w:p>
        </w:tc>
        <w:tc>
          <w:tcPr>
            <w:tcW w:w="0" w:type="dxa"/>
            <w:vAlign w:val="bottom"/>
          </w:tcPr>
          <w:p>
            <w:pPr>
              <w:spacing w:after="0"/>
              <w:rPr>
                <w:sz w:val="1"/>
                <w:szCs w:val="1"/>
                <w:color w:val="auto"/>
              </w:rPr>
            </w:pPr>
          </w:p>
        </w:tc>
      </w:tr>
      <w:tr>
        <w:trPr>
          <w:trHeight w:val="115"/>
        </w:trPr>
        <w:tc>
          <w:tcPr>
            <w:tcW w:w="80" w:type="dxa"/>
            <w:vAlign w:val="bottom"/>
            <w:tcBorders>
              <w:bottom w:val="single" w:sz="8" w:color="DC202E"/>
            </w:tcBorders>
          </w:tcPr>
          <w:p>
            <w:pPr>
              <w:spacing w:after="0"/>
              <w:rPr>
                <w:sz w:val="10"/>
                <w:szCs w:val="10"/>
                <w:color w:val="auto"/>
              </w:rPr>
            </w:pPr>
          </w:p>
        </w:tc>
        <w:tc>
          <w:tcPr>
            <w:tcW w:w="808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1,447</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1,322</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1,150</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Deferred:</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U.S. Federal</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173</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234</w:t>
            </w:r>
          </w:p>
        </w:tc>
        <w:tc>
          <w:tcPr>
            <w:tcW w:w="1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332</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U.S. State</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39</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63</w:t>
            </w:r>
          </w:p>
        </w:tc>
        <w:tc>
          <w:tcPr>
            <w:tcW w:w="0" w:type="dxa"/>
            <w:vAlign w:val="bottom"/>
          </w:tcPr>
          <w:p>
            <w:pPr>
              <w:spacing w:after="0"/>
              <w:rPr>
                <w:sz w:val="1"/>
                <w:szCs w:val="1"/>
                <w:color w:val="auto"/>
              </w:rPr>
            </w:pPr>
          </w:p>
        </w:tc>
      </w:tr>
      <w:tr>
        <w:trPr>
          <w:trHeight w:val="115"/>
        </w:trPr>
        <w:tc>
          <w:tcPr>
            <w:tcW w:w="80" w:type="dxa"/>
            <w:vAlign w:val="bottom"/>
            <w:tcBorders>
              <w:bottom w:val="single" w:sz="8" w:color="DC202E"/>
            </w:tcBorders>
          </w:tcPr>
          <w:p>
            <w:pPr>
              <w:spacing w:after="0"/>
              <w:rPr>
                <w:sz w:val="10"/>
                <w:szCs w:val="10"/>
                <w:color w:val="auto"/>
              </w:rPr>
            </w:pPr>
          </w:p>
        </w:tc>
        <w:tc>
          <w:tcPr>
            <w:tcW w:w="8300" w:type="dxa"/>
            <w:vAlign w:val="bottom"/>
            <w:tcBorders>
              <w:bottom w:val="single" w:sz="8" w:color="DC202E"/>
            </w:tcBorders>
            <w:gridSpan w:val="2"/>
          </w:tcPr>
          <w:p>
            <w:pPr>
              <w:ind w:left="140"/>
              <w:spacing w:after="0"/>
              <w:rPr>
                <w:sz w:val="20"/>
                <w:szCs w:val="20"/>
                <w:color w:val="auto"/>
              </w:rPr>
            </w:pPr>
            <w:r>
              <w:rPr>
                <w:rFonts w:ascii="Arial" w:cs="Arial" w:eastAsia="Arial" w:hAnsi="Arial"/>
                <w:sz w:val="10"/>
                <w:szCs w:val="10"/>
                <w:color w:val="auto"/>
              </w:rPr>
              <w:t>Non-U.S.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(32)</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(448)</w:t>
            </w:r>
          </w:p>
        </w:tc>
        <w:tc>
          <w:tcPr>
            <w:tcW w:w="1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(216)</w:t>
            </w:r>
          </w:p>
        </w:tc>
        <w:tc>
          <w:tcPr>
            <w:tcW w:w="0" w:type="dxa"/>
            <w:vAlign w:val="bottom"/>
          </w:tcPr>
          <w:p>
            <w:pPr>
              <w:spacing w:after="0"/>
              <w:rPr>
                <w:sz w:val="1"/>
                <w:szCs w:val="1"/>
                <w:color w:val="auto"/>
              </w:rPr>
            </w:pPr>
          </w:p>
        </w:tc>
      </w:tr>
      <w:tr>
        <w:trPr>
          <w:trHeight w:val="115"/>
        </w:trPr>
        <w:tc>
          <w:tcPr>
            <w:tcW w:w="80" w:type="dxa"/>
            <w:vAlign w:val="bottom"/>
            <w:tcBorders>
              <w:bottom w:val="single" w:sz="8" w:color="DC202E"/>
            </w:tcBorders>
          </w:tcPr>
          <w:p>
            <w:pPr>
              <w:spacing w:after="0"/>
              <w:rPr>
                <w:sz w:val="10"/>
                <w:szCs w:val="10"/>
                <w:color w:val="auto"/>
              </w:rPr>
            </w:pPr>
          </w:p>
        </w:tc>
        <w:tc>
          <w:tcPr>
            <w:tcW w:w="808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178</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(175)</w:t>
            </w:r>
          </w:p>
        </w:tc>
        <w:tc>
          <w:tcPr>
            <w:tcW w:w="1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179</w:t>
            </w:r>
          </w:p>
        </w:tc>
        <w:tc>
          <w:tcPr>
            <w:tcW w:w="0" w:type="dxa"/>
            <w:vAlign w:val="bottom"/>
          </w:tcPr>
          <w:p>
            <w:pPr>
              <w:spacing w:after="0"/>
              <w:rPr>
                <w:sz w:val="1"/>
                <w:szCs w:val="1"/>
                <w:color w:val="auto"/>
              </w:rPr>
            </w:pPr>
          </w:p>
        </w:tc>
      </w:tr>
      <w:tr>
        <w:trPr>
          <w:trHeight w:val="115"/>
        </w:trPr>
        <w:tc>
          <w:tcPr>
            <w:tcW w:w="80" w:type="dxa"/>
            <w:vAlign w:val="bottom"/>
            <w:tcBorders>
              <w:bottom w:val="single" w:sz="8" w:color="DC202E"/>
            </w:tcBorders>
          </w:tcPr>
          <w:p>
            <w:pPr>
              <w:spacing w:after="0"/>
              <w:rPr>
                <w:sz w:val="10"/>
                <w:szCs w:val="10"/>
                <w:color w:val="auto"/>
              </w:rPr>
            </w:pPr>
          </w:p>
        </w:tc>
        <w:tc>
          <w:tcPr>
            <w:tcW w:w="808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1,625</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1,147</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1,329</w:t>
            </w:r>
          </w:p>
        </w:tc>
        <w:tc>
          <w:tcPr>
            <w:tcW w:w="0" w:type="dxa"/>
            <w:vAlign w:val="bottom"/>
          </w:tcPr>
          <w:p>
            <w:pPr>
              <w:spacing w:after="0"/>
              <w:rPr>
                <w:sz w:val="1"/>
                <w:szCs w:val="1"/>
                <w:color w:val="auto"/>
              </w:rPr>
            </w:pPr>
          </w:p>
        </w:tc>
      </w:tr>
      <w:tr>
        <w:trPr>
          <w:trHeight w:val="313"/>
        </w:trPr>
        <w:tc>
          <w:tcPr>
            <w:tcW w:w="8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0" w:type="dxa"/>
            <w:vAlign w:val="bottom"/>
            <w:tcBorders>
              <w:bottom w:val="single" w:sz="8" w:color="DC202E"/>
            </w:tcBorders>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1800" w:type="dxa"/>
            <w:vAlign w:val="bottom"/>
            <w:tcBorders>
              <w:bottom w:val="single" w:sz="8" w:color="DC202E"/>
            </w:tcBorders>
            <w:gridSpan w:val="3"/>
          </w:tcPr>
          <w:p>
            <w:pPr>
              <w:jc w:val="right"/>
              <w:ind w:right="112"/>
              <w:spacing w:after="0"/>
              <w:rPr>
                <w:sz w:val="20"/>
                <w:szCs w:val="20"/>
                <w:color w:val="auto"/>
              </w:rPr>
            </w:pPr>
            <w:r>
              <w:rPr>
                <w:rFonts w:ascii="Arial" w:cs="Arial" w:eastAsia="Arial" w:hAnsi="Arial"/>
                <w:sz w:val="10"/>
                <w:szCs w:val="10"/>
                <w:b w:val="1"/>
                <w:bCs w:val="1"/>
                <w:color w:val="auto"/>
              </w:rPr>
              <w:t>Years Ended December 31,</w:t>
            </w:r>
          </w:p>
        </w:tc>
        <w:tc>
          <w:tcPr>
            <w:tcW w:w="120" w:type="dxa"/>
            <w:vAlign w:val="bottom"/>
            <w:tcBorders>
              <w:bottom w:val="single" w:sz="8" w:color="DC202E"/>
            </w:tcBorders>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36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DC202E"/>
            </w:tcBorders>
          </w:tcPr>
          <w:p>
            <w:pPr>
              <w:spacing w:after="0"/>
              <w:rPr>
                <w:sz w:val="13"/>
                <w:szCs w:val="13"/>
                <w:color w:val="auto"/>
              </w:rPr>
            </w:pPr>
          </w:p>
        </w:tc>
        <w:tc>
          <w:tcPr>
            <w:tcW w:w="808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1060" w:type="dxa"/>
            <w:vAlign w:val="bottom"/>
            <w:tcBorders>
              <w:bottom w:val="single" w:sz="8" w:color="DC202E"/>
            </w:tcBorders>
            <w:gridSpan w:val="2"/>
          </w:tcPr>
          <w:p>
            <w:pPr>
              <w:jc w:val="right"/>
              <w:ind w:right="612"/>
              <w:spacing w:after="0"/>
              <w:rPr>
                <w:sz w:val="20"/>
                <w:szCs w:val="20"/>
                <w:color w:val="auto"/>
              </w:rPr>
            </w:pPr>
            <w:r>
              <w:rPr>
                <w:rFonts w:ascii="Arial" w:cs="Arial" w:eastAsia="Arial" w:hAnsi="Arial"/>
                <w:sz w:val="10"/>
                <w:szCs w:val="10"/>
                <w:b w:val="1"/>
                <w:bCs w:val="1"/>
                <w:color w:val="auto"/>
              </w:rPr>
              <w:t>2021</w:t>
            </w:r>
          </w:p>
        </w:tc>
        <w:tc>
          <w:tcPr>
            <w:tcW w:w="1060" w:type="dxa"/>
            <w:vAlign w:val="bottom"/>
            <w:tcBorders>
              <w:bottom w:val="single" w:sz="8" w:color="DC202E"/>
            </w:tcBorders>
            <w:gridSpan w:val="2"/>
          </w:tcPr>
          <w:p>
            <w:pPr>
              <w:jc w:val="right"/>
              <w:ind w:right="632"/>
              <w:spacing w:after="0"/>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380" w:type="dxa"/>
            <w:vAlign w:val="bottom"/>
            <w:tcBorders>
              <w:bottom w:val="single" w:sz="8" w:color="939598"/>
            </w:tcBorders>
            <w:gridSpan w:val="3"/>
          </w:tcPr>
          <w:p>
            <w:pPr>
              <w:spacing w:after="0"/>
              <w:rPr>
                <w:sz w:val="20"/>
                <w:szCs w:val="20"/>
                <w:color w:val="auto"/>
              </w:rPr>
            </w:pPr>
            <w:r>
              <w:rPr>
                <w:rFonts w:ascii="Arial" w:cs="Arial" w:eastAsia="Arial" w:hAnsi="Arial"/>
                <w:sz w:val="10"/>
                <w:szCs w:val="10"/>
                <w:color w:val="auto"/>
              </w:rPr>
              <w:t>The U.S. federal statutory income tax rate is reconciled to the effective income tax rate as follows: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U.S. federal statutory income tax rate</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21.0 %</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212"/>
              <w:spacing w:after="0"/>
              <w:rPr>
                <w:sz w:val="20"/>
                <w:szCs w:val="20"/>
                <w:color w:val="auto"/>
              </w:rPr>
            </w:pPr>
            <w:r>
              <w:rPr>
                <w:rFonts w:ascii="Arial" w:cs="Arial" w:eastAsia="Arial" w:hAnsi="Arial"/>
                <w:sz w:val="10"/>
                <w:szCs w:val="10"/>
                <w:color w:val="auto"/>
              </w:rPr>
              <w:t>21.0 %</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21.0 %</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line="115" w:lineRule="exact"/>
              <w:rPr>
                <w:sz w:val="20"/>
                <w:szCs w:val="20"/>
                <w:color w:val="auto"/>
              </w:rPr>
            </w:pPr>
            <w:r>
              <w:rPr>
                <w:rFonts w:ascii="Arial" w:cs="Arial" w:eastAsia="Arial" w:hAnsi="Arial"/>
                <w:sz w:val="10"/>
                <w:szCs w:val="10"/>
                <w:color w:val="auto"/>
              </w:rPr>
              <w:t>Taxes on non-U.S. earnings</w:t>
            </w:r>
            <w:r>
              <w:rPr>
                <w:rFonts w:ascii="Arial" w:cs="Arial" w:eastAsia="Arial" w:hAnsi="Arial"/>
                <w:sz w:val="12"/>
                <w:szCs w:val="12"/>
                <w:color w:val="auto"/>
                <w:vertAlign w:val="superscript"/>
              </w:rPr>
              <w:t>(1)(2)</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(1.4)</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(0.8)</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51"/>
              <w:spacing w:after="0"/>
              <w:rPr>
                <w:sz w:val="20"/>
                <w:szCs w:val="20"/>
                <w:color w:val="auto"/>
              </w:rPr>
            </w:pPr>
            <w:r>
              <w:rPr>
                <w:rFonts w:ascii="Arial" w:cs="Arial" w:eastAsia="Arial" w:hAnsi="Arial"/>
                <w:sz w:val="10"/>
                <w:szCs w:val="10"/>
                <w:color w:val="auto"/>
              </w:rPr>
              <w:t>(0.5)</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line="115" w:lineRule="exact"/>
              <w:rPr>
                <w:sz w:val="20"/>
                <w:szCs w:val="20"/>
                <w:color w:val="auto"/>
              </w:rPr>
            </w:pPr>
            <w:r>
              <w:rPr>
                <w:rFonts w:ascii="Arial" w:cs="Arial" w:eastAsia="Arial" w:hAnsi="Arial"/>
                <w:sz w:val="10"/>
                <w:szCs w:val="10"/>
                <w:color w:val="auto"/>
              </w:rPr>
              <w:t>U.S. state income taxes</w:t>
            </w:r>
            <w:r>
              <w:rPr>
                <w:rFonts w:ascii="Arial" w:cs="Arial" w:eastAsia="Arial" w:hAnsi="Arial"/>
                <w:sz w:val="12"/>
                <w:szCs w:val="12"/>
                <w:color w:val="auto"/>
                <w:vertAlign w:val="superscript"/>
              </w:rPr>
              <w:t>(1)</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1.5</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1.3</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1"/>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Reserves for tax contingencies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2.2</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(2.6)</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1"/>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Employee share-based payments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(0.7)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(1.2)</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51"/>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Reduction of certain receivables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2.0</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U.S. Tax Cuts and Jobs Act</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51"/>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Restructuring</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(1.4)</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80" w:type="dxa"/>
            <w:vAlign w:val="bottom"/>
            <w:tcBorders>
              <w:bottom w:val="single" w:sz="8" w:color="939598"/>
            </w:tcBorders>
          </w:tcPr>
          <w:p>
            <w:pPr>
              <w:spacing w:after="0"/>
              <w:rPr>
                <w:sz w:val="10"/>
                <w:szCs w:val="10"/>
                <w:color w:val="auto"/>
              </w:rPr>
            </w:pPr>
          </w:p>
        </w:tc>
        <w:tc>
          <w:tcPr>
            <w:tcW w:w="8300" w:type="dxa"/>
            <w:vAlign w:val="bottom"/>
            <w:tcBorders>
              <w:bottom w:val="single" w:sz="8" w:color="939598"/>
            </w:tcBorders>
            <w:gridSpan w:val="2"/>
          </w:tcPr>
          <w:p>
            <w:pPr>
              <w:ind w:left="140"/>
              <w:spacing w:after="0"/>
              <w:rPr>
                <w:sz w:val="20"/>
                <w:szCs w:val="20"/>
                <w:color w:val="auto"/>
              </w:rPr>
            </w:pPr>
            <w:r>
              <w:rPr>
                <w:rFonts w:ascii="Arial" w:cs="Arial" w:eastAsia="Arial" w:hAnsi="Arial"/>
                <w:sz w:val="10"/>
                <w:szCs w:val="10"/>
                <w:color w:val="auto"/>
              </w:rPr>
              <w:t>U.S. Valuation Allowance</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2.0</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0.1</w:t>
            </w:r>
          </w:p>
        </w:tc>
        <w:tc>
          <w:tcPr>
            <w:tcW w:w="1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80" w:type="dxa"/>
            <w:vAlign w:val="bottom"/>
            <w:tcBorders>
              <w:bottom w:val="single" w:sz="8" w:color="DC202E"/>
            </w:tcBorders>
          </w:tcPr>
          <w:p>
            <w:pPr>
              <w:spacing w:after="0"/>
              <w:rPr>
                <w:sz w:val="10"/>
                <w:szCs w:val="10"/>
                <w:color w:val="auto"/>
              </w:rPr>
            </w:pPr>
          </w:p>
        </w:tc>
        <w:tc>
          <w:tcPr>
            <w:tcW w:w="8300" w:type="dxa"/>
            <w:vAlign w:val="bottom"/>
            <w:tcBorders>
              <w:bottom w:val="single" w:sz="8" w:color="DC202E"/>
            </w:tcBorders>
            <w:gridSpan w:val="2"/>
          </w:tcPr>
          <w:p>
            <w:pPr>
              <w:ind w:left="140"/>
              <w:spacing w:after="0"/>
              <w:rPr>
                <w:sz w:val="20"/>
                <w:szCs w:val="20"/>
                <w:color w:val="auto"/>
              </w:rPr>
            </w:pPr>
            <w:r>
              <w:rPr>
                <w:rFonts w:ascii="Arial" w:cs="Arial" w:eastAsia="Arial" w:hAnsi="Arial"/>
                <w:sz w:val="10"/>
                <w:szCs w:val="10"/>
                <w:color w:val="auto"/>
              </w:rPr>
              <w:t>All other items—net</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color w:val="auto"/>
              </w:rPr>
              <w:t>(0.7)</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(0.7)</w:t>
            </w:r>
          </w:p>
        </w:tc>
        <w:tc>
          <w:tcPr>
            <w:tcW w:w="1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51"/>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15"/>
        </w:trPr>
        <w:tc>
          <w:tcPr>
            <w:tcW w:w="80" w:type="dxa"/>
            <w:vAlign w:val="bottom"/>
            <w:tcBorders>
              <w:bottom w:val="single" w:sz="8" w:color="DC202E"/>
            </w:tcBorders>
          </w:tcPr>
          <w:p>
            <w:pPr>
              <w:spacing w:after="0"/>
              <w:rPr>
                <w:sz w:val="10"/>
                <w:szCs w:val="10"/>
                <w:color w:val="auto"/>
              </w:rPr>
            </w:pPr>
          </w:p>
        </w:tc>
        <w:tc>
          <w:tcPr>
            <w:tcW w:w="808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b w:val="1"/>
                <w:bCs w:val="1"/>
                <w:color w:val="auto"/>
              </w:rPr>
              <w:t>22.5 %</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212"/>
              <w:spacing w:after="0"/>
              <w:rPr>
                <w:sz w:val="20"/>
                <w:szCs w:val="20"/>
                <w:color w:val="auto"/>
              </w:rPr>
            </w:pPr>
            <w:r>
              <w:rPr>
                <w:rFonts w:ascii="Arial" w:cs="Arial" w:eastAsia="Arial" w:hAnsi="Arial"/>
                <w:sz w:val="10"/>
                <w:szCs w:val="10"/>
                <w:b w:val="1"/>
                <w:bCs w:val="1"/>
                <w:color w:val="auto"/>
              </w:rPr>
              <w:t>19.1 %</w:t>
            </w:r>
          </w:p>
        </w:tc>
        <w:tc>
          <w:tcPr>
            <w:tcW w:w="1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17.6 %</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20"/>
                <w:szCs w:val="20"/>
                <w:color w:val="auto"/>
              </w:rPr>
            </w:pPr>
            <w:r>
              <w:rPr>
                <w:rFonts w:ascii="Arial" w:cs="Arial" w:eastAsia="Arial" w:hAnsi="Arial"/>
                <w:sz w:val="5"/>
                <w:szCs w:val="5"/>
                <w:color w:val="auto"/>
                <w:w w:val="97"/>
              </w:rPr>
              <w:t>(1)</w:t>
            </w:r>
          </w:p>
        </w:tc>
        <w:tc>
          <w:tcPr>
            <w:tcW w:w="8300" w:type="dxa"/>
            <w:vAlign w:val="bottom"/>
            <w:gridSpan w:val="2"/>
            <w:vMerge w:val="restart"/>
          </w:tcPr>
          <w:p>
            <w:pPr>
              <w:ind w:left="100"/>
              <w:spacing w:after="0"/>
              <w:rPr>
                <w:sz w:val="20"/>
                <w:szCs w:val="20"/>
                <w:color w:val="auto"/>
              </w:rPr>
            </w:pPr>
            <w:r>
              <w:rPr>
                <w:rFonts w:ascii="Arial" w:cs="Arial" w:eastAsia="Arial" w:hAnsi="Arial"/>
                <w:sz w:val="8"/>
                <w:szCs w:val="8"/>
                <w:color w:val="auto"/>
              </w:rPr>
              <w:t>Net of changes in valuation allowance</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83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9"/>
        </w:trPr>
        <w:tc>
          <w:tcPr>
            <w:tcW w:w="80" w:type="dxa"/>
            <w:vAlign w:val="bottom"/>
          </w:tcPr>
          <w:p>
            <w:pPr>
              <w:spacing w:after="0"/>
              <w:rPr>
                <w:sz w:val="20"/>
                <w:szCs w:val="20"/>
                <w:color w:val="auto"/>
              </w:rPr>
            </w:pPr>
            <w:r>
              <w:rPr>
                <w:rFonts w:ascii="Arial" w:cs="Arial" w:eastAsia="Arial" w:hAnsi="Arial"/>
                <w:sz w:val="5"/>
                <w:szCs w:val="5"/>
                <w:color w:val="auto"/>
                <w:w w:val="97"/>
              </w:rPr>
              <w:t>(2)</w:t>
            </w:r>
          </w:p>
        </w:tc>
        <w:tc>
          <w:tcPr>
            <w:tcW w:w="8300" w:type="dxa"/>
            <w:vAlign w:val="bottom"/>
            <w:gridSpan w:val="2"/>
            <w:vMerge w:val="restart"/>
          </w:tcPr>
          <w:p>
            <w:pPr>
              <w:ind w:left="80"/>
              <w:spacing w:after="0"/>
              <w:rPr>
                <w:sz w:val="20"/>
                <w:szCs w:val="20"/>
                <w:color w:val="auto"/>
              </w:rPr>
            </w:pPr>
            <w:r>
              <w:rPr>
                <w:rFonts w:ascii="Arial" w:cs="Arial" w:eastAsia="Arial" w:hAnsi="Arial"/>
                <w:sz w:val="8"/>
                <w:szCs w:val="8"/>
                <w:color w:val="auto"/>
              </w:rPr>
              <w:t>Includes U.S. taxes on non-U.S. earnings</w:t>
            </w: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83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8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0"/>
                <w:szCs w:val="10"/>
                <w:color w:val="auto"/>
                <w:w w:val="97"/>
              </w:rPr>
              <w:t>Honeywell International Inc.</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D7282F"/>
              </w:rPr>
              <w:t>71</w:t>
            </w:r>
          </w:p>
        </w:tc>
        <w:tc>
          <w:tcPr>
            <w:tcW w:w="0" w:type="dxa"/>
            <w:vAlign w:val="bottom"/>
          </w:tcPr>
          <w:p>
            <w:pPr>
              <w:spacing w:after="0"/>
              <w:rPr>
                <w:sz w:val="1"/>
                <w:szCs w:val="1"/>
                <w:color w:val="auto"/>
              </w:rPr>
            </w:pPr>
          </w:p>
        </w:tc>
      </w:tr>
      <w:tr>
        <w:trPr>
          <w:trHeight w:val="144"/>
        </w:trPr>
        <w:tc>
          <w:tcPr>
            <w:tcW w:w="80" w:type="dxa"/>
            <w:vAlign w:val="bottom"/>
            <w:tcBorders>
              <w:bottom w:val="single" w:sz="8" w:color="9A9A9A"/>
            </w:tcBorders>
          </w:tcPr>
          <w:p>
            <w:pPr>
              <w:spacing w:after="0"/>
              <w:rPr>
                <w:sz w:val="12"/>
                <w:szCs w:val="12"/>
                <w:color w:val="auto"/>
              </w:rPr>
            </w:pPr>
          </w:p>
        </w:tc>
        <w:tc>
          <w:tcPr>
            <w:tcW w:w="80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73" w:name="page74"/>
    <w:bookmarkEnd w:id="73"/>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jc w:val="both"/>
        <w:spacing w:after="0"/>
        <w:rPr>
          <w:sz w:val="20"/>
          <w:szCs w:val="20"/>
          <w:color w:val="auto"/>
        </w:rPr>
      </w:pPr>
      <w:r>
        <w:rPr>
          <w:rFonts w:ascii="Arial" w:cs="Arial" w:eastAsia="Arial" w:hAnsi="Arial"/>
          <w:sz w:val="11"/>
          <w:szCs w:val="11"/>
          <w:color w:val="auto"/>
        </w:rPr>
        <w:t>The effective tax rate increased by 3.4 percentage points in 2021 compared to 2020. The increase was primarily due to the establishment of a valuation allowance for deferred tax assets not expected to be realized, incremental tax reserves, a lower tax benefit from restructuring and the absence of prior year items including tax benefits realized as a result of the favorable resolution of a foreign tax matter related to the spin-off transactions, tax law changes in India and the resolution of certain U.S. tax matters offset by a non-cash charge related to the reduction of the aggregate carrying value of certain receivables with no corresponding tax benefit. The Company’s non-U.S. effective tax rate was 26.0%, an increase of approximately 14.1 percentage points compared to 2020. The increase in the foreign effective tax rate was primarily attributable to incremental tax reserves, the tax impact of restructuring and the absence of prior year items including the favorable resolution of a foreign tax matter related to the previously completed spin-off transactions and tax law changes in India.</w:t>
      </w:r>
    </w:p>
    <w:p>
      <w:pPr>
        <w:spacing w:after="0" w:line="70" w:lineRule="exact"/>
        <w:rPr>
          <w:sz w:val="20"/>
          <w:szCs w:val="20"/>
          <w:color w:val="auto"/>
        </w:rPr>
      </w:pPr>
    </w:p>
    <w:p>
      <w:pPr>
        <w:jc w:val="both"/>
        <w:spacing w:after="0"/>
        <w:rPr>
          <w:sz w:val="20"/>
          <w:szCs w:val="20"/>
          <w:color w:val="auto"/>
        </w:rPr>
      </w:pPr>
      <w:r>
        <w:rPr>
          <w:rFonts w:ascii="Arial" w:cs="Arial" w:eastAsia="Arial" w:hAnsi="Arial"/>
          <w:sz w:val="11"/>
          <w:szCs w:val="11"/>
          <w:color w:val="auto"/>
        </w:rPr>
        <w:t>The effective tax rate increased by 1.5 percentage points in 2020 compared to 2019. The increase was primarily attributable to accrued withholding taxes related to unremitted foreign earnings and non-cash charges related to the reduction of the aggregate carrying value of certain receivables with no corresponding tax benefit, offset by the favorable resolution of a foreign tax matter related to the previously completed spin-off transactions, tax impact of restructuring, tax law changes in India, and the resolution of certain U.S. tax matters. The Company’s non-U.S. effective tax rate was 11.9%, a decrease of approximately 14.2 percentage points compared to 2019. The decrease in the foreign effective tax rate was primarily attributable to the favorable resolution of a foreign tax matter related to the previously completed spin-off transactions, tax impact of restructuring, and tax law changes in India offset by accrued withholding taxes related to unremitted foreign earnings.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TAX ASSETS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The tax effects of temporary differences and tax carryforwards which give rise to future income tax benefits and payables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C202E"/>
            </w:tcBorders>
          </w:tcPr>
          <w:p>
            <w:pPr>
              <w:spacing w:after="0"/>
              <w:rPr>
                <w:sz w:val="10"/>
                <w:szCs w:val="10"/>
                <w:color w:val="auto"/>
              </w:rPr>
            </w:pPr>
          </w:p>
        </w:tc>
      </w:tr>
      <w:tr>
        <w:trPr>
          <w:trHeight w:val="151"/>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Deferred tax assets:</w:t>
            </w:r>
          </w:p>
        </w:tc>
        <w:tc>
          <w:tcPr>
            <w:tcW w:w="34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Postretirement benefits other than pensions</w:t>
            </w: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77</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85</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Asbestos and environmental</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468</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508</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Employee compensation and benefits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174</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180</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Lease liabilities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242</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197</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Other accruals and reserves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260</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110</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Net operating and capital losses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734</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779</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Capital loss limitation and carryover</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151</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9340" w:type="dxa"/>
            <w:vAlign w:val="bottom"/>
            <w:tcBorders>
              <w:bottom w:val="single" w:sz="8" w:color="DC202E"/>
            </w:tcBorders>
            <w:gridSpan w:val="2"/>
          </w:tcPr>
          <w:p>
            <w:pPr>
              <w:ind w:left="80"/>
              <w:spacing w:after="0"/>
              <w:rPr>
                <w:sz w:val="20"/>
                <w:szCs w:val="20"/>
                <w:color w:val="auto"/>
              </w:rPr>
            </w:pPr>
            <w:r>
              <w:rPr>
                <w:rFonts w:ascii="Arial" w:cs="Arial" w:eastAsia="Arial" w:hAnsi="Arial"/>
                <w:sz w:val="10"/>
                <w:szCs w:val="10"/>
                <w:color w:val="auto"/>
              </w:rPr>
              <w:t>Tax credit carryforwards</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164</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219</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Gross deferred tax assets</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2,270</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2,078</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Valuation allowance</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(857)</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(766)</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Total deferred tax assets</w:t>
            </w: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1,413</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1,312</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Deferred tax liabilities: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r>
      <w:tr>
        <w:trPr>
          <w:trHeight w:val="115"/>
        </w:trPr>
        <w:tc>
          <w:tcPr>
            <w:tcW w:w="44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w w:val="93"/>
              </w:rPr>
              <w:t>Pension</w:t>
            </w:r>
          </w:p>
        </w:tc>
        <w:tc>
          <w:tcPr>
            <w:tcW w:w="89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(948)</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(548)</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Property, plant and equipment</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(464)</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(437)</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Right-of-use asset</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(230)</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(184)</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Intangibles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(883)</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(898)</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Unremitted earnings of foreign subsidiaries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(426)</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(398)</w:t>
            </w:r>
          </w:p>
        </w:tc>
      </w:tr>
      <w:tr>
        <w:trPr>
          <w:trHeight w:val="115"/>
        </w:trPr>
        <w:tc>
          <w:tcPr>
            <w:tcW w:w="934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Other asset basis differences</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(334)</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(169)</w:t>
            </w:r>
          </w:p>
        </w:tc>
      </w:tr>
      <w:tr>
        <w:trPr>
          <w:trHeight w:val="115"/>
        </w:trPr>
        <w:tc>
          <w:tcPr>
            <w:tcW w:w="44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Other</w:t>
            </w:r>
          </w:p>
        </w:tc>
        <w:tc>
          <w:tcPr>
            <w:tcW w:w="89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(31)</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Total deferred tax liabilities</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(3,287)</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(2,665)</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Net deferred tax liability</w:t>
            </w: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(1,874)</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(1,353)</w:t>
            </w:r>
          </w:p>
        </w:tc>
      </w:tr>
      <w:tr>
        <w:trPr>
          <w:trHeight w:val="475"/>
        </w:trPr>
        <w:tc>
          <w:tcPr>
            <w:tcW w:w="440" w:type="dxa"/>
            <w:vAlign w:val="bottom"/>
          </w:tcPr>
          <w:p>
            <w:pPr>
              <w:spacing w:after="0"/>
              <w:rPr>
                <w:sz w:val="20"/>
                <w:szCs w:val="20"/>
                <w:color w:val="auto"/>
              </w:rPr>
            </w:pPr>
            <w:r>
              <w:rPr>
                <w:rFonts w:ascii="Arial" w:cs="Arial" w:eastAsia="Arial" w:hAnsi="Arial"/>
                <w:sz w:val="12"/>
                <w:szCs w:val="12"/>
                <w:b w:val="1"/>
                <w:bCs w:val="1"/>
                <w:color w:val="D7282F"/>
              </w:rPr>
              <w:t>72</w:t>
            </w:r>
          </w:p>
        </w:tc>
        <w:tc>
          <w:tcPr>
            <w:tcW w:w="8900" w:type="dxa"/>
            <w:vAlign w:val="bottom"/>
          </w:tcPr>
          <w:p>
            <w:pPr>
              <w:ind w:left="2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4"/>
        </w:trPr>
        <w:tc>
          <w:tcPr>
            <w:tcW w:w="440" w:type="dxa"/>
            <w:vAlign w:val="bottom"/>
            <w:tcBorders>
              <w:bottom w:val="single" w:sz="8" w:color="9A9A9A"/>
            </w:tcBorders>
          </w:tcPr>
          <w:p>
            <w:pPr>
              <w:spacing w:after="0"/>
              <w:rPr>
                <w:sz w:val="12"/>
                <w:szCs w:val="12"/>
                <w:color w:val="auto"/>
              </w:rPr>
            </w:pPr>
          </w:p>
        </w:tc>
        <w:tc>
          <w:tcPr>
            <w:tcW w:w="89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74" w:name="page75"/>
    <w:bookmarkEnd w:id="74"/>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jc w:val="both"/>
        <w:spacing w:after="0"/>
        <w:rPr>
          <w:sz w:val="20"/>
          <w:szCs w:val="20"/>
          <w:color w:val="auto"/>
        </w:rPr>
      </w:pPr>
      <w:r>
        <w:rPr>
          <w:rFonts w:ascii="Arial" w:cs="Arial" w:eastAsia="Arial" w:hAnsi="Arial"/>
          <w:sz w:val="11"/>
          <w:szCs w:val="11"/>
          <w:color w:val="auto"/>
        </w:rPr>
        <w:t>The Company's gross deferred tax assets include $901 million related to non-U.S. operations comprised principally of net operating losses, capital loss and tax credit carryforwards, primarily in Canada, France, Germany, Luxembourg, and the United Kingdom, and deductible temporary differences. The Company maintains a valuation allowance of $703 million against a portion of the non-U.S. gross deferred tax assets. Additionally, a valuation allowance of $150 million was established against the U.S. gross deferred tax asset for capital losses generated from restructuring transactions during the year. The change in the valuation allowance resulted in an increase of $124 million, increase of $105 million, and a decrease of $23 million to income tax expense in 2021, 2020 and 2019, respectively. In the event the Company determines that it will not be able to realize its net deferred tax assets in the future, the Company will reduce such amounts through an increase to income tax expense in the period such determination is made. Conversely, if the Company determines that it will be able to realize net deferred tax assets in excess of the carrying amounts, the Company will decrease the recorded valuation allowance through a reduction to income tax expense in the period that such determination is made.</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2021, the Company recorded a $426 million deferred tax liability on all unremitted foreign earnings based on estimated earnings and profits of approximately $17.1 billion as of the balance sheet date.</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2021, the Company's net operating loss, capital loss and tax credit carryforwards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4320" w:type="dxa"/>
            <w:vAlign w:val="bottom"/>
            <w:vMerge w:val="restart"/>
          </w:tcPr>
          <w:p>
            <w:pPr>
              <w:jc w:val="center"/>
              <w:ind w:left="3352"/>
              <w:spacing w:after="0"/>
              <w:rPr>
                <w:sz w:val="20"/>
                <w:szCs w:val="20"/>
                <w:color w:val="auto"/>
              </w:rPr>
            </w:pPr>
            <w:r>
              <w:rPr>
                <w:rFonts w:ascii="Arial" w:cs="Arial" w:eastAsia="Arial" w:hAnsi="Arial"/>
                <w:sz w:val="10"/>
                <w:szCs w:val="10"/>
                <w:b w:val="1"/>
                <w:bCs w:val="1"/>
                <w:color w:val="auto"/>
                <w:w w:val="98"/>
              </w:rPr>
              <w:t>Expiration</w:t>
            </w:r>
          </w:p>
        </w:tc>
        <w:tc>
          <w:tcPr>
            <w:tcW w:w="1100" w:type="dxa"/>
            <w:vAlign w:val="bottom"/>
          </w:tcPr>
          <w:p>
            <w:pPr>
              <w:jc w:val="center"/>
              <w:ind w:left="252"/>
              <w:spacing w:after="0"/>
              <w:rPr>
                <w:sz w:val="20"/>
                <w:szCs w:val="20"/>
                <w:color w:val="auto"/>
              </w:rPr>
            </w:pPr>
            <w:r>
              <w:rPr>
                <w:rFonts w:ascii="Arial" w:cs="Arial" w:eastAsia="Arial" w:hAnsi="Arial"/>
                <w:sz w:val="10"/>
                <w:szCs w:val="10"/>
                <w:b w:val="1"/>
                <w:bCs w:val="1"/>
                <w:color w:val="auto"/>
                <w:w w:val="96"/>
              </w:rPr>
              <w:t>Net Operating</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restart"/>
          </w:tcPr>
          <w:p>
            <w:pPr>
              <w:jc w:val="right"/>
              <w:ind w:right="432"/>
              <w:spacing w:after="0"/>
              <w:rPr>
                <w:sz w:val="20"/>
                <w:szCs w:val="20"/>
                <w:color w:val="auto"/>
              </w:rPr>
            </w:pPr>
            <w:r>
              <w:rPr>
                <w:rFonts w:ascii="Arial" w:cs="Arial" w:eastAsia="Arial" w:hAnsi="Arial"/>
                <w:sz w:val="10"/>
                <w:szCs w:val="10"/>
                <w:b w:val="1"/>
                <w:bCs w:val="1"/>
                <w:color w:val="auto"/>
              </w:rPr>
              <w:t>Tax Credit</w:t>
            </w:r>
          </w:p>
        </w:tc>
        <w:tc>
          <w:tcPr>
            <w:tcW w:w="0" w:type="dxa"/>
            <w:vAlign w:val="bottom"/>
          </w:tcPr>
          <w:p>
            <w:pPr>
              <w:spacing w:after="0"/>
              <w:rPr>
                <w:sz w:val="1"/>
                <w:szCs w:val="1"/>
                <w:color w:val="auto"/>
              </w:rPr>
            </w:pPr>
          </w:p>
        </w:tc>
      </w:tr>
      <w:tr>
        <w:trPr>
          <w:trHeight w:val="90"/>
        </w:trPr>
        <w:tc>
          <w:tcPr>
            <w:tcW w:w="4160" w:type="dxa"/>
            <w:vAlign w:val="bottom"/>
            <w:vMerge w:val="restart"/>
          </w:tcPr>
          <w:p>
            <w:pPr>
              <w:spacing w:after="0"/>
              <w:rPr>
                <w:sz w:val="20"/>
                <w:szCs w:val="20"/>
                <w:color w:val="auto"/>
              </w:rPr>
            </w:pPr>
            <w:r>
              <w:rPr>
                <w:rFonts w:ascii="Arial" w:cs="Arial" w:eastAsia="Arial" w:hAnsi="Arial"/>
                <w:sz w:val="10"/>
                <w:szCs w:val="10"/>
                <w:b w:val="1"/>
                <w:bCs w:val="1"/>
                <w:color w:val="auto"/>
              </w:rPr>
              <w:t>Jurisdiction</w:t>
            </w:r>
          </w:p>
        </w:tc>
        <w:tc>
          <w:tcPr>
            <w:tcW w:w="4320" w:type="dxa"/>
            <w:vAlign w:val="bottom"/>
            <w:vMerge w:val="continue"/>
          </w:tcPr>
          <w:p>
            <w:pPr>
              <w:spacing w:after="0"/>
              <w:rPr>
                <w:sz w:val="7"/>
                <w:szCs w:val="7"/>
                <w:color w:val="auto"/>
              </w:rPr>
            </w:pPr>
          </w:p>
        </w:tc>
        <w:tc>
          <w:tcPr>
            <w:tcW w:w="110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94"/>
              </w:rPr>
              <w:t>and Capital Loss</w:t>
            </w: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160" w:type="dxa"/>
            <w:vAlign w:val="bottom"/>
            <w:tcBorders>
              <w:bottom w:val="single" w:sz="8" w:color="DC202E"/>
            </w:tcBorders>
            <w:vMerge w:val="continue"/>
          </w:tcPr>
          <w:p>
            <w:pPr>
              <w:spacing w:after="0"/>
              <w:rPr>
                <w:sz w:val="10"/>
                <w:szCs w:val="10"/>
                <w:color w:val="auto"/>
              </w:rPr>
            </w:pPr>
          </w:p>
        </w:tc>
        <w:tc>
          <w:tcPr>
            <w:tcW w:w="4320" w:type="dxa"/>
            <w:vAlign w:val="bottom"/>
            <w:tcBorders>
              <w:bottom w:val="single" w:sz="8" w:color="DC202E"/>
            </w:tcBorders>
          </w:tcPr>
          <w:p>
            <w:pPr>
              <w:jc w:val="center"/>
              <w:ind w:left="3332"/>
              <w:spacing w:after="0"/>
              <w:rPr>
                <w:sz w:val="20"/>
                <w:szCs w:val="20"/>
                <w:color w:val="auto"/>
              </w:rPr>
            </w:pPr>
            <w:r>
              <w:rPr>
                <w:rFonts w:ascii="Arial" w:cs="Arial" w:eastAsia="Arial" w:hAnsi="Arial"/>
                <w:sz w:val="10"/>
                <w:szCs w:val="10"/>
                <w:b w:val="1"/>
                <w:bCs w:val="1"/>
                <w:color w:val="auto"/>
                <w:w w:val="96"/>
              </w:rPr>
              <w:t>Period</w:t>
            </w:r>
          </w:p>
        </w:tc>
        <w:tc>
          <w:tcPr>
            <w:tcW w:w="1100" w:type="dxa"/>
            <w:vAlign w:val="bottom"/>
            <w:tcBorders>
              <w:bottom w:val="single" w:sz="8" w:color="DC202E"/>
            </w:tcBorders>
          </w:tcPr>
          <w:p>
            <w:pPr>
              <w:jc w:val="center"/>
              <w:ind w:left="232"/>
              <w:spacing w:after="0"/>
              <w:rPr>
                <w:sz w:val="20"/>
                <w:szCs w:val="20"/>
                <w:color w:val="auto"/>
              </w:rPr>
            </w:pPr>
            <w:r>
              <w:rPr>
                <w:rFonts w:ascii="Arial" w:cs="Arial" w:eastAsia="Arial" w:hAnsi="Arial"/>
                <w:sz w:val="10"/>
                <w:szCs w:val="10"/>
                <w:b w:val="1"/>
                <w:bCs w:val="1"/>
                <w:color w:val="auto"/>
                <w:w w:val="96"/>
              </w:rPr>
              <w:t>Carryforwards</w:t>
            </w:r>
          </w:p>
        </w:tc>
        <w:tc>
          <w:tcPr>
            <w:tcW w:w="4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08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99"/>
              </w:rPr>
              <w:t>Carryforwards</w:t>
            </w:r>
          </w:p>
        </w:tc>
        <w:tc>
          <w:tcPr>
            <w:tcW w:w="0" w:type="dxa"/>
            <w:vAlign w:val="bottom"/>
          </w:tcPr>
          <w:p>
            <w:pPr>
              <w:spacing w:after="0"/>
              <w:rPr>
                <w:sz w:val="1"/>
                <w:szCs w:val="1"/>
                <w:color w:val="auto"/>
              </w:rPr>
            </w:pPr>
          </w:p>
        </w:tc>
      </w:tr>
      <w:tr>
        <w:trPr>
          <w:trHeight w:val="115"/>
        </w:trPr>
        <w:tc>
          <w:tcPr>
            <w:tcW w:w="41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U.S. Federal</w:t>
            </w:r>
          </w:p>
        </w:tc>
        <w:tc>
          <w:tcPr>
            <w:tcW w:w="4320" w:type="dxa"/>
            <w:vAlign w:val="bottom"/>
            <w:tcBorders>
              <w:bottom w:val="single" w:sz="8" w:color="939598"/>
            </w:tcBorders>
          </w:tcPr>
          <w:p>
            <w:pPr>
              <w:jc w:val="center"/>
              <w:ind w:left="3332"/>
              <w:spacing w:after="0"/>
              <w:rPr>
                <w:sz w:val="20"/>
                <w:szCs w:val="20"/>
                <w:color w:val="auto"/>
              </w:rPr>
            </w:pPr>
            <w:r>
              <w:rPr>
                <w:rFonts w:ascii="Arial" w:cs="Arial" w:eastAsia="Arial" w:hAnsi="Arial"/>
                <w:sz w:val="10"/>
                <w:szCs w:val="10"/>
                <w:color w:val="auto"/>
                <w:w w:val="98"/>
              </w:rPr>
              <w:t>2040</w:t>
            </w:r>
          </w:p>
        </w:tc>
        <w:tc>
          <w:tcPr>
            <w:tcW w:w="1100" w:type="dxa"/>
            <w:vAlign w:val="bottom"/>
            <w:tcBorders>
              <w:bottom w:val="single" w:sz="8" w:color="939598"/>
            </w:tcBorders>
          </w:tcPr>
          <w:p>
            <w:pPr>
              <w:jc w:val="right"/>
              <w:ind w:right="77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684</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97</w:t>
            </w:r>
          </w:p>
        </w:tc>
        <w:tc>
          <w:tcPr>
            <w:tcW w:w="0" w:type="dxa"/>
            <w:vAlign w:val="bottom"/>
          </w:tcPr>
          <w:p>
            <w:pPr>
              <w:spacing w:after="0"/>
              <w:rPr>
                <w:sz w:val="1"/>
                <w:szCs w:val="1"/>
                <w:color w:val="auto"/>
              </w:rPr>
            </w:pPr>
          </w:p>
        </w:tc>
      </w:tr>
      <w:tr>
        <w:trPr>
          <w:trHeight w:val="115"/>
        </w:trPr>
        <w:tc>
          <w:tcPr>
            <w:tcW w:w="41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U.S. State</w:t>
            </w:r>
          </w:p>
        </w:tc>
        <w:tc>
          <w:tcPr>
            <w:tcW w:w="4320" w:type="dxa"/>
            <w:vAlign w:val="bottom"/>
            <w:tcBorders>
              <w:bottom w:val="single" w:sz="8" w:color="939598"/>
            </w:tcBorders>
          </w:tcPr>
          <w:p>
            <w:pPr>
              <w:jc w:val="center"/>
              <w:ind w:left="3332"/>
              <w:spacing w:after="0"/>
              <w:rPr>
                <w:sz w:val="20"/>
                <w:szCs w:val="20"/>
                <w:color w:val="auto"/>
              </w:rPr>
            </w:pPr>
            <w:r>
              <w:rPr>
                <w:rFonts w:ascii="Arial" w:cs="Arial" w:eastAsia="Arial" w:hAnsi="Arial"/>
                <w:sz w:val="10"/>
                <w:szCs w:val="10"/>
                <w:color w:val="auto"/>
                <w:w w:val="98"/>
              </w:rPr>
              <w:t>2040</w:t>
            </w:r>
          </w:p>
        </w:tc>
        <w:tc>
          <w:tcPr>
            <w:tcW w:w="110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390</w:t>
            </w:r>
          </w:p>
        </w:tc>
        <w:tc>
          <w:tcPr>
            <w:tcW w:w="24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15"/>
        </w:trPr>
        <w:tc>
          <w:tcPr>
            <w:tcW w:w="41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Non-U.S.</w:t>
            </w:r>
          </w:p>
        </w:tc>
        <w:tc>
          <w:tcPr>
            <w:tcW w:w="4320" w:type="dxa"/>
            <w:vAlign w:val="bottom"/>
            <w:tcBorders>
              <w:bottom w:val="single" w:sz="8" w:color="939598"/>
            </w:tcBorders>
          </w:tcPr>
          <w:p>
            <w:pPr>
              <w:jc w:val="center"/>
              <w:ind w:left="3332"/>
              <w:spacing w:after="0"/>
              <w:rPr>
                <w:sz w:val="20"/>
                <w:szCs w:val="20"/>
                <w:color w:val="auto"/>
              </w:rPr>
            </w:pPr>
            <w:r>
              <w:rPr>
                <w:rFonts w:ascii="Arial" w:cs="Arial" w:eastAsia="Arial" w:hAnsi="Arial"/>
                <w:sz w:val="10"/>
                <w:szCs w:val="10"/>
                <w:color w:val="auto"/>
                <w:w w:val="98"/>
              </w:rPr>
              <w:t>2041</w:t>
            </w:r>
          </w:p>
        </w:tc>
        <w:tc>
          <w:tcPr>
            <w:tcW w:w="110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466</w:t>
            </w:r>
          </w:p>
        </w:tc>
        <w:tc>
          <w:tcPr>
            <w:tcW w:w="24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15"/>
        </w:trPr>
        <w:tc>
          <w:tcPr>
            <w:tcW w:w="41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Non-U.S.</w:t>
            </w:r>
          </w:p>
        </w:tc>
        <w:tc>
          <w:tcPr>
            <w:tcW w:w="4320" w:type="dxa"/>
            <w:vAlign w:val="bottom"/>
            <w:tcBorders>
              <w:bottom w:val="single" w:sz="8" w:color="DC202E"/>
            </w:tcBorders>
          </w:tcPr>
          <w:p>
            <w:pPr>
              <w:jc w:val="center"/>
              <w:ind w:left="3352"/>
              <w:spacing w:after="0"/>
              <w:rPr>
                <w:sz w:val="20"/>
                <w:szCs w:val="20"/>
                <w:color w:val="auto"/>
              </w:rPr>
            </w:pPr>
            <w:r>
              <w:rPr>
                <w:rFonts w:ascii="Arial" w:cs="Arial" w:eastAsia="Arial" w:hAnsi="Arial"/>
                <w:sz w:val="10"/>
                <w:szCs w:val="10"/>
                <w:color w:val="auto"/>
                <w:w w:val="98"/>
              </w:rPr>
              <w:t>Indefinite</w:t>
            </w:r>
          </w:p>
        </w:tc>
        <w:tc>
          <w:tcPr>
            <w:tcW w:w="110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w w:val="95"/>
              </w:rPr>
              <w:t>2,185</w:t>
            </w:r>
          </w:p>
        </w:tc>
        <w:tc>
          <w:tcPr>
            <w:tcW w:w="240" w:type="dxa"/>
            <w:vAlign w:val="bottom"/>
            <w:tcBorders>
              <w:bottom w:val="single" w:sz="8" w:color="DC202E"/>
            </w:tcBorders>
          </w:tcPr>
          <w:p>
            <w:pPr>
              <w:spacing w:after="0"/>
              <w:rPr>
                <w:sz w:val="10"/>
                <w:szCs w:val="10"/>
                <w:color w:val="auto"/>
              </w:rPr>
            </w:pPr>
          </w:p>
        </w:tc>
        <w:tc>
          <w:tcPr>
            <w:tcW w:w="10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4160" w:type="dxa"/>
            <w:vAlign w:val="bottom"/>
            <w:tcBorders>
              <w:bottom w:val="single" w:sz="8" w:color="DC202E"/>
            </w:tcBorders>
          </w:tcPr>
          <w:p>
            <w:pPr>
              <w:spacing w:after="0"/>
              <w:rPr>
                <w:sz w:val="10"/>
                <w:szCs w:val="10"/>
                <w:color w:val="auto"/>
              </w:rPr>
            </w:pPr>
          </w:p>
        </w:tc>
        <w:tc>
          <w:tcPr>
            <w:tcW w:w="432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tcPr>
          <w:p>
            <w:pPr>
              <w:jc w:val="right"/>
              <w:ind w:right="77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3,725</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168</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48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15"/>
        </w:trPr>
        <w:tc>
          <w:tcPr>
            <w:tcW w:w="838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Change in unrecognized tax benefits: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Balance at beginning of year</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991</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1,164</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1,089</w:t>
            </w:r>
          </w:p>
        </w:tc>
      </w:tr>
      <w:tr>
        <w:trPr>
          <w:trHeight w:val="115"/>
        </w:trPr>
        <w:tc>
          <w:tcPr>
            <w:tcW w:w="838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Gross increases related to current period tax positions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94</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w:t>
            </w:r>
          </w:p>
        </w:tc>
      </w:tr>
      <w:tr>
        <w:trPr>
          <w:trHeight w:val="115"/>
        </w:trPr>
        <w:tc>
          <w:tcPr>
            <w:tcW w:w="838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Gross increases related to prior periods tax positions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39</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83</w:t>
            </w:r>
          </w:p>
        </w:tc>
      </w:tr>
      <w:tr>
        <w:trPr>
          <w:trHeight w:val="115"/>
        </w:trPr>
        <w:tc>
          <w:tcPr>
            <w:tcW w:w="838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Gross decreases related to prior periods tax positions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(256)</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w:t>
            </w:r>
          </w:p>
        </w:tc>
      </w:tr>
      <w:tr>
        <w:trPr>
          <w:trHeight w:val="115"/>
        </w:trPr>
        <w:tc>
          <w:tcPr>
            <w:tcW w:w="838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Decrease related to resolutions of audits with tax authorities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(35)</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w:t>
            </w:r>
          </w:p>
        </w:tc>
      </w:tr>
      <w:tr>
        <w:trPr>
          <w:trHeight w:val="115"/>
        </w:trPr>
        <w:tc>
          <w:tcPr>
            <w:tcW w:w="838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Expiration of the statute of limitations for the assessment of taxes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(12)</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(76)</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w:t>
            </w:r>
          </w:p>
        </w:tc>
      </w:tr>
      <w:tr>
        <w:trPr>
          <w:trHeight w:val="115"/>
        </w:trPr>
        <w:tc>
          <w:tcPr>
            <w:tcW w:w="8380" w:type="dxa"/>
            <w:vAlign w:val="bottom"/>
            <w:tcBorders>
              <w:bottom w:val="single" w:sz="8" w:color="DC202E"/>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(22)</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32</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end of year</w:t>
            </w: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1,061</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991</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1,164</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2021, 2020 and 2019, there were $1,061 million, $991 million, and $1,164 million, respectively, of unrecognized tax benefits that if recognized would be recorded as a component of Tax expense.</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73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75" w:name="page76"/>
    <w:bookmarkEnd w:id="75"/>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tax years that remain subject to examination by major tax jurisdictions as of December 31, 2021:</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6640" w:type="dxa"/>
            <w:vAlign w:val="bottom"/>
          </w:tcPr>
          <w:p>
            <w:pPr>
              <w:spacing w:after="0"/>
              <w:rPr>
                <w:sz w:val="10"/>
                <w:szCs w:val="10"/>
                <w:color w:val="auto"/>
              </w:rPr>
            </w:pPr>
          </w:p>
        </w:tc>
        <w:tc>
          <w:tcPr>
            <w:tcW w:w="4660" w:type="dxa"/>
            <w:vAlign w:val="bottom"/>
            <w:tcBorders>
              <w:bottom w:val="single" w:sz="8" w:color="DC202E"/>
            </w:tcBorders>
            <w:gridSpan w:val="2"/>
          </w:tcPr>
          <w:p>
            <w:pPr>
              <w:ind w:left="1180"/>
              <w:spacing w:after="0"/>
              <w:rPr>
                <w:sz w:val="20"/>
                <w:szCs w:val="20"/>
                <w:color w:val="auto"/>
              </w:rPr>
            </w:pPr>
            <w:r>
              <w:rPr>
                <w:rFonts w:ascii="Arial" w:cs="Arial" w:eastAsia="Arial" w:hAnsi="Arial"/>
                <w:sz w:val="10"/>
                <w:szCs w:val="10"/>
                <w:b w:val="1"/>
                <w:bCs w:val="1"/>
                <w:color w:val="auto"/>
              </w:rPr>
              <w:t>Open Tax Years Based on Originally Filed Returns</w:t>
            </w:r>
          </w:p>
        </w:tc>
      </w:tr>
      <w:tr>
        <w:trPr>
          <w:trHeight w:val="151"/>
        </w:trPr>
        <w:tc>
          <w:tcPr>
            <w:tcW w:w="66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Jurisdiction</w:t>
            </w:r>
          </w:p>
        </w:tc>
        <w:tc>
          <w:tcPr>
            <w:tcW w:w="2140" w:type="dxa"/>
            <w:vAlign w:val="bottom"/>
            <w:tcBorders>
              <w:bottom w:val="single" w:sz="8" w:color="DC202E"/>
            </w:tcBorders>
          </w:tcPr>
          <w:p>
            <w:pPr>
              <w:jc w:val="center"/>
              <w:ind w:right="52"/>
              <w:spacing w:after="0"/>
              <w:rPr>
                <w:sz w:val="20"/>
                <w:szCs w:val="20"/>
                <w:color w:val="auto"/>
              </w:rPr>
            </w:pPr>
            <w:r>
              <w:rPr>
                <w:rFonts w:ascii="Arial" w:cs="Arial" w:eastAsia="Arial" w:hAnsi="Arial"/>
                <w:sz w:val="10"/>
                <w:szCs w:val="10"/>
                <w:b w:val="1"/>
                <w:bCs w:val="1"/>
                <w:color w:val="auto"/>
                <w:w w:val="95"/>
              </w:rPr>
              <w:t>Examination in progress</w:t>
            </w:r>
          </w:p>
        </w:tc>
        <w:tc>
          <w:tcPr>
            <w:tcW w:w="2520" w:type="dxa"/>
            <w:vAlign w:val="bottom"/>
            <w:tcBorders>
              <w:bottom w:val="single" w:sz="8" w:color="DC202E"/>
            </w:tcBorders>
          </w:tcPr>
          <w:p>
            <w:pPr>
              <w:ind w:left="560"/>
              <w:spacing w:after="0"/>
              <w:rPr>
                <w:sz w:val="20"/>
                <w:szCs w:val="20"/>
                <w:color w:val="auto"/>
              </w:rPr>
            </w:pPr>
            <w:r>
              <w:rPr>
                <w:rFonts w:ascii="Arial" w:cs="Arial" w:eastAsia="Arial" w:hAnsi="Arial"/>
                <w:sz w:val="10"/>
                <w:szCs w:val="10"/>
                <w:b w:val="1"/>
                <w:bCs w:val="1"/>
                <w:color w:val="auto"/>
              </w:rPr>
              <w:t>Examination not yet initiated</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U.S. Federal</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2017-2018</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2019-2021</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U.S. State</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2013-2019</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2017-2021</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Australia</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rPr>
              <w:t>n/a</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2018-2021</w:t>
            </w:r>
          </w:p>
        </w:tc>
      </w:tr>
      <w:tr>
        <w:trPr>
          <w:trHeight w:val="115"/>
        </w:trPr>
        <w:tc>
          <w:tcPr>
            <w:tcW w:w="664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Canada</w:t>
            </w:r>
            <w:r>
              <w:rPr>
                <w:rFonts w:ascii="Arial" w:cs="Arial" w:eastAsia="Arial" w:hAnsi="Arial"/>
                <w:sz w:val="12"/>
                <w:szCs w:val="12"/>
                <w:color w:val="auto"/>
                <w:vertAlign w:val="superscript"/>
              </w:rPr>
              <w:t>(1)</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2015-2018</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2019-2021</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China</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2011-2020</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8"/>
              </w:rPr>
              <w:t>2021</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France</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2018-2020</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8"/>
              </w:rPr>
              <w:t>2021</w:t>
            </w:r>
          </w:p>
        </w:tc>
      </w:tr>
      <w:tr>
        <w:trPr>
          <w:trHeight w:val="115"/>
        </w:trPr>
        <w:tc>
          <w:tcPr>
            <w:tcW w:w="664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Germany</w:t>
            </w:r>
            <w:r>
              <w:rPr>
                <w:rFonts w:ascii="Arial" w:cs="Arial" w:eastAsia="Arial" w:hAnsi="Arial"/>
                <w:sz w:val="12"/>
                <w:szCs w:val="12"/>
                <w:color w:val="auto"/>
                <w:vertAlign w:val="superscript"/>
              </w:rPr>
              <w:t>(1)</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2009-2018</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2019-2021</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India</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1999-2020</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8"/>
              </w:rPr>
              <w:t>2021</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Italy</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2012-2018</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2019-2021</w:t>
            </w:r>
          </w:p>
        </w:tc>
      </w:tr>
      <w:tr>
        <w:trPr>
          <w:trHeight w:val="115"/>
        </w:trPr>
        <w:tc>
          <w:tcPr>
            <w:tcW w:w="66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Netherlands</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rPr>
              <w:t>n/a</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2018-2021</w:t>
            </w:r>
          </w:p>
        </w:tc>
      </w:tr>
      <w:tr>
        <w:trPr>
          <w:trHeight w:val="115"/>
        </w:trPr>
        <w:tc>
          <w:tcPr>
            <w:tcW w:w="664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Switzerland</w:t>
            </w:r>
            <w:r>
              <w:rPr>
                <w:rFonts w:ascii="Arial" w:cs="Arial" w:eastAsia="Arial" w:hAnsi="Arial"/>
                <w:sz w:val="12"/>
                <w:szCs w:val="12"/>
                <w:color w:val="auto"/>
                <w:vertAlign w:val="superscript"/>
              </w:rPr>
              <w:t>(1)</w:t>
            </w:r>
          </w:p>
        </w:tc>
        <w:tc>
          <w:tcPr>
            <w:tcW w:w="2140" w:type="dxa"/>
            <w:vAlign w:val="bottom"/>
            <w:tcBorders>
              <w:bottom w:val="single" w:sz="8" w:color="939598"/>
            </w:tcBorders>
          </w:tcPr>
          <w:p>
            <w:pPr>
              <w:jc w:val="center"/>
              <w:ind w:right="32"/>
              <w:spacing w:after="0"/>
              <w:rPr>
                <w:sz w:val="20"/>
                <w:szCs w:val="20"/>
                <w:color w:val="auto"/>
              </w:rPr>
            </w:pPr>
            <w:r>
              <w:rPr>
                <w:rFonts w:ascii="Arial" w:cs="Arial" w:eastAsia="Arial" w:hAnsi="Arial"/>
                <w:sz w:val="10"/>
                <w:szCs w:val="10"/>
                <w:color w:val="auto"/>
                <w:w w:val="96"/>
              </w:rPr>
              <w:t>2016-2018</w:t>
            </w:r>
          </w:p>
        </w:tc>
        <w:tc>
          <w:tcPr>
            <w:tcW w:w="2520" w:type="dxa"/>
            <w:vAlign w:val="bottom"/>
            <w:tcBorders>
              <w:bottom w:val="single" w:sz="8" w:color="939598"/>
            </w:tcBorders>
          </w:tcPr>
          <w:p>
            <w:pPr>
              <w:jc w:val="center"/>
              <w:ind w:right="52"/>
              <w:spacing w:after="0"/>
              <w:rPr>
                <w:sz w:val="20"/>
                <w:szCs w:val="20"/>
                <w:color w:val="auto"/>
              </w:rPr>
            </w:pPr>
            <w:r>
              <w:rPr>
                <w:rFonts w:ascii="Arial" w:cs="Arial" w:eastAsia="Arial" w:hAnsi="Arial"/>
                <w:sz w:val="10"/>
                <w:szCs w:val="10"/>
                <w:color w:val="auto"/>
                <w:w w:val="96"/>
              </w:rPr>
              <w:t>2019-2021</w:t>
            </w:r>
          </w:p>
        </w:tc>
      </w:tr>
      <w:tr>
        <w:trPr>
          <w:trHeight w:val="115"/>
        </w:trPr>
        <w:tc>
          <w:tcPr>
            <w:tcW w:w="66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United Kingdom</w:t>
            </w:r>
          </w:p>
        </w:tc>
        <w:tc>
          <w:tcPr>
            <w:tcW w:w="2140" w:type="dxa"/>
            <w:vAlign w:val="bottom"/>
            <w:tcBorders>
              <w:bottom w:val="single" w:sz="8" w:color="DC202E"/>
            </w:tcBorders>
          </w:tcPr>
          <w:p>
            <w:pPr>
              <w:jc w:val="center"/>
              <w:ind w:right="32"/>
              <w:spacing w:after="0"/>
              <w:rPr>
                <w:sz w:val="20"/>
                <w:szCs w:val="20"/>
                <w:color w:val="auto"/>
              </w:rPr>
            </w:pPr>
            <w:r>
              <w:rPr>
                <w:rFonts w:ascii="Arial" w:cs="Arial" w:eastAsia="Arial" w:hAnsi="Arial"/>
                <w:sz w:val="10"/>
                <w:szCs w:val="10"/>
                <w:color w:val="auto"/>
                <w:w w:val="96"/>
              </w:rPr>
              <w:t>2013-2019</w:t>
            </w:r>
          </w:p>
        </w:tc>
        <w:tc>
          <w:tcPr>
            <w:tcW w:w="2520" w:type="dxa"/>
            <w:vAlign w:val="bottom"/>
            <w:tcBorders>
              <w:bottom w:val="single" w:sz="8" w:color="DC202E"/>
            </w:tcBorders>
          </w:tcPr>
          <w:p>
            <w:pPr>
              <w:jc w:val="center"/>
              <w:ind w:right="52"/>
              <w:spacing w:after="0"/>
              <w:rPr>
                <w:sz w:val="20"/>
                <w:szCs w:val="20"/>
                <w:color w:val="auto"/>
              </w:rPr>
            </w:pPr>
            <w:r>
              <w:rPr>
                <w:rFonts w:ascii="Arial" w:cs="Arial" w:eastAsia="Arial" w:hAnsi="Arial"/>
                <w:sz w:val="10"/>
                <w:szCs w:val="10"/>
                <w:color w:val="auto"/>
                <w:w w:val="96"/>
              </w:rPr>
              <w:t>2020-2021</w:t>
            </w:r>
          </w:p>
        </w:tc>
      </w:tr>
    </w:tbl>
    <w:p>
      <w:pPr>
        <w:spacing w:after="0" w:line="78" w:lineRule="exact"/>
        <w:rPr>
          <w:sz w:val="20"/>
          <w:szCs w:val="20"/>
          <w:color w:val="auto"/>
        </w:rPr>
      </w:pPr>
    </w:p>
    <w:p>
      <w:pPr>
        <w:ind w:left="188" w:hanging="188"/>
        <w:spacing w:after="0"/>
        <w:tabs>
          <w:tab w:leader="none" w:pos="188" w:val="left"/>
        </w:tabs>
        <w:numPr>
          <w:ilvl w:val="0"/>
          <w:numId w:val="84"/>
        </w:numPr>
        <w:rPr>
          <w:rFonts w:ascii="Arial" w:cs="Arial" w:eastAsia="Arial" w:hAnsi="Arial"/>
          <w:sz w:val="11"/>
          <w:szCs w:val="11"/>
          <w:color w:val="auto"/>
          <w:vertAlign w:val="superscript"/>
        </w:rPr>
      </w:pPr>
      <w:r>
        <w:rPr>
          <w:rFonts w:ascii="Arial" w:cs="Arial" w:eastAsia="Arial" w:hAnsi="Arial"/>
          <w:sz w:val="8"/>
          <w:szCs w:val="8"/>
          <w:color w:val="auto"/>
        </w:rPr>
        <w:t>Includes provincial or similar local jurisdictions, as applicable.</w:t>
      </w:r>
    </w:p>
    <w:p>
      <w:pPr>
        <w:spacing w:after="0" w:line="76"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the Company's financial statements. In addition, the outcome of these examinations may impact the valuation of certain deferred tax assets (such as net operating losses) in future periods.</w:t>
      </w:r>
    </w:p>
    <w:p>
      <w:pPr>
        <w:spacing w:after="0" w:line="67"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Unrecognized tax benefits for examinations in progress were $592 million, $556 million, and $413 million, as of December 31, 2021, 2020 and 2019, respectively. Estimated interest and penalties related to the underpayment of income taxes are classified as a component of Tax expense in the Consolidated Statement of Operations and totaled $79 million, $80 million, and $73 million for the years ended December 31, 2021, 2020 and 2019, respectively. Accrued interest and penalties were $580 million, $507 million, and $487 million, as of December 31, 2021, 2020 and 2019, respectively.</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6. INVENTORIES</w:t>
      </w: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40" w:type="dxa"/>
            <w:vAlign w:val="bottom"/>
            <w:tcBorders>
              <w:bottom w:val="single" w:sz="8" w:color="DC202E"/>
            </w:tcBorders>
          </w:tcPr>
          <w:p>
            <w:pPr>
              <w:spacing w:after="0"/>
              <w:rPr>
                <w:sz w:val="10"/>
                <w:szCs w:val="10"/>
                <w:color w:val="auto"/>
              </w:rPr>
            </w:pPr>
          </w:p>
        </w:tc>
      </w:tr>
      <w:tr>
        <w:trPr>
          <w:trHeight w:val="151"/>
        </w:trPr>
        <w:tc>
          <w:tcPr>
            <w:tcW w:w="300" w:type="dxa"/>
            <w:vAlign w:val="bottom"/>
            <w:tcBorders>
              <w:bottom w:val="single" w:sz="8" w:color="DC202E"/>
            </w:tcBorders>
          </w:tcPr>
          <w:p>
            <w:pPr>
              <w:spacing w:after="0"/>
              <w:rPr>
                <w:sz w:val="13"/>
                <w:szCs w:val="13"/>
                <w:color w:val="auto"/>
              </w:rPr>
            </w:pPr>
          </w:p>
        </w:tc>
        <w:tc>
          <w:tcPr>
            <w:tcW w:w="90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3"/>
                <w:szCs w:val="13"/>
                <w:color w:val="auto"/>
              </w:rPr>
            </w:pPr>
          </w:p>
        </w:tc>
        <w:tc>
          <w:tcPr>
            <w:tcW w:w="2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Raw materials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1,352</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1,079</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Work in process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861</w:t>
            </w: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798</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Finished products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2,925</w:t>
            </w: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2,612</w:t>
            </w:r>
          </w:p>
        </w:tc>
      </w:tr>
      <w:tr>
        <w:trPr>
          <w:trHeight w:val="115"/>
        </w:trPr>
        <w:tc>
          <w:tcPr>
            <w:tcW w:w="300" w:type="dxa"/>
            <w:vAlign w:val="bottom"/>
            <w:tcBorders>
              <w:bottom w:val="single" w:sz="8" w:color="DC202E"/>
            </w:tcBorders>
          </w:tcPr>
          <w:p>
            <w:pPr>
              <w:spacing w:after="0"/>
              <w:rPr>
                <w:sz w:val="10"/>
                <w:szCs w:val="10"/>
                <w:color w:val="auto"/>
              </w:rPr>
            </w:pPr>
          </w:p>
        </w:tc>
        <w:tc>
          <w:tcPr>
            <w:tcW w:w="90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5,138</w:t>
            </w: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4,489</w:t>
            </w:r>
          </w:p>
        </w:tc>
      </w:tr>
      <w:tr>
        <w:trPr>
          <w:trHeight w:val="484"/>
        </w:trPr>
        <w:tc>
          <w:tcPr>
            <w:tcW w:w="300" w:type="dxa"/>
            <w:vAlign w:val="bottom"/>
          </w:tcPr>
          <w:p>
            <w:pPr>
              <w:spacing w:after="0"/>
              <w:rPr>
                <w:sz w:val="20"/>
                <w:szCs w:val="20"/>
                <w:color w:val="auto"/>
              </w:rPr>
            </w:pPr>
            <w:r>
              <w:rPr>
                <w:rFonts w:ascii="Arial" w:cs="Arial" w:eastAsia="Arial" w:hAnsi="Arial"/>
                <w:sz w:val="12"/>
                <w:szCs w:val="12"/>
                <w:b w:val="1"/>
                <w:bCs w:val="1"/>
                <w:color w:val="D7282F"/>
              </w:rPr>
              <w:t>74</w:t>
            </w:r>
          </w:p>
        </w:tc>
        <w:tc>
          <w:tcPr>
            <w:tcW w:w="9040" w:type="dxa"/>
            <w:vAlign w:val="bottom"/>
          </w:tcPr>
          <w:p>
            <w:pPr>
              <w:ind w:left="160"/>
              <w:spacing w:after="0"/>
              <w:rPr>
                <w:sz w:val="20"/>
                <w:szCs w:val="20"/>
                <w:color w:val="auto"/>
              </w:rPr>
            </w:pPr>
            <w:r>
              <w:rPr>
                <w:rFonts w:ascii="Arial" w:cs="Arial" w:eastAsia="Arial" w:hAnsi="Arial"/>
                <w:sz w:val="10"/>
                <w:szCs w:val="10"/>
                <w:color w:val="auto"/>
              </w:rPr>
              <w:t>Honeywell International Inc.</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4"/>
        </w:trPr>
        <w:tc>
          <w:tcPr>
            <w:tcW w:w="300" w:type="dxa"/>
            <w:vAlign w:val="bottom"/>
            <w:tcBorders>
              <w:bottom w:val="single" w:sz="8" w:color="9A9A9A"/>
            </w:tcBorders>
          </w:tcPr>
          <w:p>
            <w:pPr>
              <w:spacing w:after="0"/>
              <w:rPr>
                <w:sz w:val="12"/>
                <w:szCs w:val="12"/>
                <w:color w:val="auto"/>
              </w:rPr>
            </w:pPr>
          </w:p>
        </w:tc>
        <w:tc>
          <w:tcPr>
            <w:tcW w:w="90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76" w:name="page77"/>
    <w:bookmarkEnd w:id="76"/>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7. PROPERTY, PLANT AND EQUIPMENT—NET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40" w:type="dxa"/>
            <w:vAlign w:val="bottom"/>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7282F"/>
            </w:tcBorders>
          </w:tcPr>
          <w:p>
            <w:pPr>
              <w:spacing w:after="0"/>
              <w:rPr>
                <w:sz w:val="10"/>
                <w:szCs w:val="10"/>
                <w:color w:val="auto"/>
              </w:rPr>
            </w:pPr>
          </w:p>
        </w:tc>
      </w:tr>
      <w:tr>
        <w:trPr>
          <w:trHeight w:val="151"/>
        </w:trPr>
        <w:tc>
          <w:tcPr>
            <w:tcW w:w="9340" w:type="dxa"/>
            <w:vAlign w:val="bottom"/>
            <w:tcBorders>
              <w:bottom w:val="single" w:sz="8" w:color="D7282F"/>
            </w:tcBorders>
          </w:tcPr>
          <w:p>
            <w:pPr>
              <w:spacing w:after="0"/>
              <w:rPr>
                <w:sz w:val="13"/>
                <w:szCs w:val="13"/>
                <w:color w:val="auto"/>
              </w:rPr>
            </w:pPr>
          </w:p>
        </w:tc>
        <w:tc>
          <w:tcPr>
            <w:tcW w:w="34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5"/>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Land and improvements</w:t>
            </w: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226</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259</w:t>
            </w:r>
          </w:p>
        </w:tc>
      </w:tr>
      <w:tr>
        <w:trPr>
          <w:trHeight w:val="115"/>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Machinery and equipment</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10,143</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10,008</w:t>
            </w:r>
          </w:p>
        </w:tc>
      </w:tr>
      <w:tr>
        <w:trPr>
          <w:trHeight w:val="115"/>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Buildings and improvements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3,225</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3,245</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Construction in progress</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856</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825</w:t>
            </w:r>
          </w:p>
        </w:tc>
      </w:tr>
      <w:tr>
        <w:trPr>
          <w:trHeight w:val="115"/>
        </w:trPr>
        <w:tc>
          <w:tcPr>
            <w:tcW w:w="93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14,450</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14,337</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Less—Accumulated depreciation</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(8,888)</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(8,767)</w:t>
            </w:r>
          </w:p>
        </w:tc>
      </w:tr>
      <w:tr>
        <w:trPr>
          <w:trHeight w:val="115"/>
        </w:trPr>
        <w:tc>
          <w:tcPr>
            <w:tcW w:w="93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5,562</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5,570</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Depreciation expense was $674 million, $644 million and $673 million for the years ended December 31, 2021,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D7282F"/>
        </w:rPr>
        <w:t>NOTE 8. GOODWILL AND OTHER INTANGIBLE ASSETS—NET</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change in the carrying amount of goodwill for the years ended December 31, 2021 and 2020 by segment.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center"/>
              <w:ind w:left="252"/>
              <w:spacing w:after="0"/>
              <w:rPr>
                <w:sz w:val="20"/>
                <w:szCs w:val="20"/>
                <w:color w:val="auto"/>
              </w:rPr>
            </w:pPr>
            <w:r>
              <w:rPr>
                <w:rFonts w:ascii="Arial" w:cs="Arial" w:eastAsia="Arial" w:hAnsi="Arial"/>
                <w:sz w:val="10"/>
                <w:szCs w:val="10"/>
                <w:b w:val="1"/>
                <w:bCs w:val="1"/>
                <w:color w:val="auto"/>
                <w:w w:val="95"/>
              </w:rPr>
              <w:t>Acquisitions/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ind w:right="292"/>
              <w:spacing w:after="0"/>
              <w:rPr>
                <w:sz w:val="20"/>
                <w:szCs w:val="20"/>
                <w:color w:val="auto"/>
              </w:rPr>
            </w:pPr>
            <w:r>
              <w:rPr>
                <w:rFonts w:ascii="Arial" w:cs="Arial" w:eastAsia="Arial" w:hAnsi="Arial"/>
                <w:sz w:val="10"/>
                <w:szCs w:val="10"/>
                <w:b w:val="1"/>
                <w:bCs w:val="1"/>
                <w:color w:val="auto"/>
                <w:w w:val="95"/>
              </w:rPr>
              <w:t>Currency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80" w:type="dxa"/>
            <w:vAlign w:val="bottom"/>
            <w:gridSpan w:val="3"/>
            <w:vMerge w:val="restart"/>
          </w:tcPr>
          <w:p>
            <w:pPr>
              <w:jc w:val="right"/>
              <w:ind w:right="92"/>
              <w:spacing w:after="0"/>
              <w:rPr>
                <w:sz w:val="20"/>
                <w:szCs w:val="20"/>
                <w:color w:val="auto"/>
              </w:rPr>
            </w:pPr>
            <w:r>
              <w:rPr>
                <w:rFonts w:ascii="Arial" w:cs="Arial" w:eastAsia="Arial" w:hAnsi="Arial"/>
                <w:sz w:val="10"/>
                <w:szCs w:val="10"/>
                <w:b w:val="1"/>
                <w:bCs w:val="1"/>
                <w:color w:val="auto"/>
              </w:rPr>
              <w:t>December 31, 2020</w:t>
            </w:r>
          </w:p>
        </w:tc>
        <w:tc>
          <w:tcPr>
            <w:tcW w:w="9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jc w:val="center"/>
              <w:ind w:right="312"/>
              <w:spacing w:after="0" w:line="90" w:lineRule="exact"/>
              <w:rPr>
                <w:sz w:val="20"/>
                <w:szCs w:val="20"/>
                <w:color w:val="auto"/>
              </w:rPr>
            </w:pPr>
            <w:r>
              <w:rPr>
                <w:rFonts w:ascii="Arial" w:cs="Arial" w:eastAsia="Arial" w:hAnsi="Arial"/>
                <w:sz w:val="10"/>
                <w:szCs w:val="10"/>
                <w:b w:val="1"/>
                <w:bCs w:val="1"/>
                <w:color w:val="auto"/>
                <w:w w:val="96"/>
              </w:rPr>
              <w:t>Translation</w:t>
            </w:r>
          </w:p>
        </w:tc>
        <w:tc>
          <w:tcPr>
            <w:tcW w:w="1100" w:type="dxa"/>
            <w:vAlign w:val="bottom"/>
            <w:gridSpan w:val="2"/>
            <w:vMerge w:val="restart"/>
          </w:tcPr>
          <w:p>
            <w:pPr>
              <w:jc w:val="center"/>
              <w:ind w:right="32"/>
              <w:spacing w:after="0"/>
              <w:rPr>
                <w:sz w:val="20"/>
                <w:szCs w:val="20"/>
                <w:color w:val="auto"/>
              </w:rPr>
            </w:pPr>
            <w:r>
              <w:rPr>
                <w:rFonts w:ascii="Arial" w:cs="Arial" w:eastAsia="Arial" w:hAnsi="Arial"/>
                <w:sz w:val="10"/>
                <w:szCs w:val="10"/>
                <w:b w:val="1"/>
                <w:bCs w:val="1"/>
                <w:color w:val="auto"/>
                <w:w w:val="95"/>
              </w:rPr>
              <w:t>December 31, 2021</w:t>
            </w:r>
          </w:p>
        </w:tc>
        <w:tc>
          <w:tcPr>
            <w:tcW w:w="0" w:type="dxa"/>
            <w:vAlign w:val="bottom"/>
          </w:tcPr>
          <w:p>
            <w:pPr>
              <w:spacing w:after="0"/>
              <w:rPr>
                <w:sz w:val="1"/>
                <w:szCs w:val="1"/>
                <w:color w:val="auto"/>
              </w:rPr>
            </w:pPr>
          </w:p>
        </w:tc>
      </w:tr>
      <w:tr>
        <w:trPr>
          <w:trHeight w:val="117"/>
        </w:trPr>
        <w:tc>
          <w:tcPr>
            <w:tcW w:w="40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1280" w:type="dxa"/>
            <w:vAlign w:val="bottom"/>
            <w:tcBorders>
              <w:bottom w:val="single" w:sz="8" w:color="DC202E"/>
            </w:tcBorders>
            <w:gridSpan w:val="3"/>
            <w:vMerge w:val="continue"/>
          </w:tcPr>
          <w:p>
            <w:pPr>
              <w:spacing w:after="0"/>
              <w:rPr>
                <w:sz w:val="10"/>
                <w:szCs w:val="10"/>
                <w:color w:val="auto"/>
              </w:rPr>
            </w:pPr>
          </w:p>
        </w:tc>
        <w:tc>
          <w:tcPr>
            <w:tcW w:w="900" w:type="dxa"/>
            <w:vAlign w:val="bottom"/>
            <w:tcBorders>
              <w:bottom w:val="single" w:sz="8" w:color="DC202E"/>
            </w:tcBorders>
          </w:tcPr>
          <w:p>
            <w:pPr>
              <w:jc w:val="center"/>
              <w:ind w:left="232"/>
              <w:spacing w:after="0"/>
              <w:rPr>
                <w:sz w:val="20"/>
                <w:szCs w:val="20"/>
                <w:color w:val="auto"/>
              </w:rPr>
            </w:pPr>
            <w:r>
              <w:rPr>
                <w:rFonts w:ascii="Arial" w:cs="Arial" w:eastAsia="Arial" w:hAnsi="Arial"/>
                <w:sz w:val="10"/>
                <w:szCs w:val="10"/>
                <w:b w:val="1"/>
                <w:bCs w:val="1"/>
                <w:color w:val="auto"/>
                <w:w w:val="94"/>
              </w:rPr>
              <w:t>Divestitures</w:t>
            </w:r>
          </w:p>
        </w:tc>
        <w:tc>
          <w:tcPr>
            <w:tcW w:w="3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center"/>
              <w:ind w:right="312"/>
              <w:spacing w:after="0"/>
              <w:rPr>
                <w:sz w:val="20"/>
                <w:szCs w:val="20"/>
                <w:color w:val="auto"/>
              </w:rPr>
            </w:pPr>
            <w:r>
              <w:rPr>
                <w:rFonts w:ascii="Arial" w:cs="Arial" w:eastAsia="Arial" w:hAnsi="Arial"/>
                <w:sz w:val="10"/>
                <w:szCs w:val="10"/>
                <w:b w:val="1"/>
                <w:bCs w:val="1"/>
                <w:color w:val="auto"/>
                <w:w w:val="94"/>
              </w:rPr>
              <w:t>Adjustment</w:t>
            </w:r>
          </w:p>
        </w:tc>
        <w:tc>
          <w:tcPr>
            <w:tcW w:w="1100" w:type="dxa"/>
            <w:vAlign w:val="bottom"/>
            <w:tcBorders>
              <w:bottom w:val="single" w:sz="8" w:color="DC202E"/>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Aerospace</w:t>
            </w:r>
          </w:p>
        </w:tc>
        <w:tc>
          <w:tcPr>
            <w:tcW w:w="3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939598"/>
            </w:tcBorders>
            <w:gridSpan w:val="2"/>
          </w:tcPr>
          <w:p>
            <w:pPr>
              <w:jc w:val="right"/>
              <w:spacing w:after="0"/>
              <w:rPr>
                <w:sz w:val="20"/>
                <w:szCs w:val="20"/>
                <w:color w:val="auto"/>
              </w:rPr>
            </w:pPr>
            <w:r>
              <w:rPr>
                <w:rFonts w:ascii="Arial" w:cs="Arial" w:eastAsia="Arial" w:hAnsi="Arial"/>
                <w:sz w:val="10"/>
                <w:szCs w:val="10"/>
                <w:color w:val="auto"/>
              </w:rPr>
              <w:t>2,378</w:t>
            </w:r>
          </w:p>
        </w:tc>
        <w:tc>
          <w:tcPr>
            <w:tcW w:w="900" w:type="dxa"/>
            <w:vAlign w:val="bottom"/>
            <w:tcBorders>
              <w:bottom w:val="single" w:sz="8" w:color="939598"/>
            </w:tcBorders>
          </w:tcPr>
          <w:p>
            <w:pPr>
              <w:jc w:val="right"/>
              <w:ind w:right="57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21</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2,399</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Honeywell Building Technologies</w:t>
            </w:r>
          </w:p>
        </w:tc>
        <w:tc>
          <w:tcPr>
            <w:tcW w:w="3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gridSpan w:val="2"/>
          </w:tcPr>
          <w:p>
            <w:pPr>
              <w:jc w:val="right"/>
              <w:spacing w:after="0"/>
              <w:rPr>
                <w:sz w:val="20"/>
                <w:szCs w:val="20"/>
                <w:color w:val="auto"/>
              </w:rPr>
            </w:pPr>
            <w:r>
              <w:rPr>
                <w:rFonts w:ascii="Arial" w:cs="Arial" w:eastAsia="Arial" w:hAnsi="Arial"/>
                <w:sz w:val="10"/>
                <w:szCs w:val="10"/>
                <w:color w:val="auto"/>
              </w:rPr>
              <w:t>3,385</w:t>
            </w:r>
          </w:p>
        </w:tc>
        <w:tc>
          <w:tcPr>
            <w:tcW w:w="9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20</w:t>
            </w:r>
          </w:p>
        </w:tc>
        <w:tc>
          <w:tcPr>
            <w:tcW w:w="2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(88)</w:t>
            </w:r>
          </w:p>
        </w:tc>
        <w:tc>
          <w:tcPr>
            <w:tcW w:w="2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3,317</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Performance Materials and Technologies</w:t>
            </w:r>
          </w:p>
        </w:tc>
        <w:tc>
          <w:tcPr>
            <w:tcW w:w="3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gridSpan w:val="2"/>
          </w:tcPr>
          <w:p>
            <w:pPr>
              <w:jc w:val="right"/>
              <w:spacing w:after="0"/>
              <w:rPr>
                <w:sz w:val="20"/>
                <w:szCs w:val="20"/>
                <w:color w:val="auto"/>
              </w:rPr>
            </w:pPr>
            <w:r>
              <w:rPr>
                <w:rFonts w:ascii="Arial" w:cs="Arial" w:eastAsia="Arial" w:hAnsi="Arial"/>
                <w:sz w:val="10"/>
                <w:szCs w:val="10"/>
                <w:color w:val="auto"/>
              </w:rPr>
              <w:t>5,255</w:t>
            </w:r>
          </w:p>
        </w:tc>
        <w:tc>
          <w:tcPr>
            <w:tcW w:w="9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87"/>
              </w:rPr>
              <w:t>1,019</w:t>
            </w:r>
          </w:p>
        </w:tc>
        <w:tc>
          <w:tcPr>
            <w:tcW w:w="2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(136)</w:t>
            </w:r>
          </w:p>
        </w:tc>
        <w:tc>
          <w:tcPr>
            <w:tcW w:w="2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6,138</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Safety and Productivity Solutions</w:t>
            </w:r>
          </w:p>
        </w:tc>
        <w:tc>
          <w:tcPr>
            <w:tcW w:w="3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gridSpan w:val="2"/>
          </w:tcPr>
          <w:p>
            <w:pPr>
              <w:jc w:val="right"/>
              <w:spacing w:after="0"/>
              <w:rPr>
                <w:sz w:val="20"/>
                <w:szCs w:val="20"/>
                <w:color w:val="auto"/>
              </w:rPr>
            </w:pPr>
            <w:r>
              <w:rPr>
                <w:rFonts w:ascii="Arial" w:cs="Arial" w:eastAsia="Arial" w:hAnsi="Arial"/>
                <w:sz w:val="10"/>
                <w:szCs w:val="10"/>
                <w:color w:val="auto"/>
              </w:rPr>
              <w:t>5,040</w:t>
            </w:r>
          </w:p>
        </w:tc>
        <w:tc>
          <w:tcPr>
            <w:tcW w:w="9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(32)</w:t>
            </w:r>
          </w:p>
        </w:tc>
        <w:tc>
          <w:tcPr>
            <w:tcW w:w="2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(47)</w:t>
            </w:r>
          </w:p>
        </w:tc>
        <w:tc>
          <w:tcPr>
            <w:tcW w:w="2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4,961</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Corporate and All Other</w:t>
            </w: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943</w:t>
            </w: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941</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16,058</w:t>
            </w:r>
          </w:p>
        </w:tc>
        <w:tc>
          <w:tcPr>
            <w:tcW w:w="90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87"/>
              </w:rPr>
              <w:t>1,971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(273)</w:t>
            </w: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17,756</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Arial" w:cs="Arial" w:eastAsia="Arial" w:hAnsi="Arial"/>
                <w:sz w:val="11"/>
                <w:szCs w:val="11"/>
                <w:color w:val="auto"/>
              </w:rPr>
              <w:t>Other intangible assets are comprised of:</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60" w:type="dxa"/>
            <w:vAlign w:val="bottom"/>
          </w:tcPr>
          <w:p>
            <w:pPr>
              <w:spacing w:after="0"/>
              <w:rPr>
                <w:sz w:val="22"/>
                <w:szCs w:val="22"/>
                <w:color w:val="auto"/>
              </w:rPr>
            </w:pPr>
          </w:p>
        </w:tc>
        <w:tc>
          <w:tcPr>
            <w:tcW w:w="340" w:type="dxa"/>
            <w:vAlign w:val="bottom"/>
            <w:tcBorders>
              <w:bottom w:val="single" w:sz="8" w:color="DC202E"/>
            </w:tcBorders>
          </w:tcPr>
          <w:p>
            <w:pPr>
              <w:spacing w:after="0"/>
              <w:rPr>
                <w:sz w:val="22"/>
                <w:szCs w:val="22"/>
                <w:color w:val="auto"/>
              </w:rPr>
            </w:pPr>
          </w:p>
        </w:tc>
        <w:tc>
          <w:tcPr>
            <w:tcW w:w="880" w:type="dxa"/>
            <w:vAlign w:val="bottom"/>
            <w:tcBorders>
              <w:bottom w:val="single" w:sz="8" w:color="DC202E"/>
            </w:tcBorders>
          </w:tcPr>
          <w:p>
            <w:pPr>
              <w:spacing w:after="0"/>
              <w:rPr>
                <w:sz w:val="22"/>
                <w:szCs w:val="22"/>
                <w:color w:val="auto"/>
              </w:rPr>
            </w:pPr>
          </w:p>
        </w:tc>
        <w:tc>
          <w:tcPr>
            <w:tcW w:w="1220" w:type="dxa"/>
            <w:vAlign w:val="bottom"/>
            <w:tcBorders>
              <w:bottom w:val="single" w:sz="8" w:color="DC202E"/>
            </w:tcBorders>
            <w:gridSpan w:val="2"/>
          </w:tcPr>
          <w:p>
            <w:pPr>
              <w:jc w:val="center"/>
              <w:ind w:right="112"/>
              <w:spacing w:after="0"/>
              <w:rPr>
                <w:sz w:val="20"/>
                <w:szCs w:val="20"/>
                <w:color w:val="auto"/>
              </w:rPr>
            </w:pPr>
            <w:r>
              <w:rPr>
                <w:rFonts w:ascii="Arial" w:cs="Arial" w:eastAsia="Arial" w:hAnsi="Arial"/>
                <w:sz w:val="10"/>
                <w:szCs w:val="10"/>
                <w:b w:val="1"/>
                <w:bCs w:val="1"/>
                <w:color w:val="auto"/>
                <w:w w:val="95"/>
              </w:rPr>
              <w:t>December 31, 2021</w:t>
            </w:r>
          </w:p>
        </w:tc>
        <w:tc>
          <w:tcPr>
            <w:tcW w:w="740" w:type="dxa"/>
            <w:vAlign w:val="bottom"/>
            <w:tcBorders>
              <w:bottom w:val="single" w:sz="8" w:color="DC202E"/>
            </w:tcBorders>
          </w:tcPr>
          <w:p>
            <w:pPr>
              <w:spacing w:after="0"/>
              <w:rPr>
                <w:sz w:val="22"/>
                <w:szCs w:val="22"/>
                <w:color w:val="auto"/>
              </w:rPr>
            </w:pPr>
          </w:p>
        </w:tc>
        <w:tc>
          <w:tcPr>
            <w:tcW w:w="320" w:type="dxa"/>
            <w:vAlign w:val="bottom"/>
            <w:tcBorders>
              <w:bottom w:val="single" w:sz="8" w:color="DC202E"/>
            </w:tcBorders>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Borders>
              <w:bottom w:val="single" w:sz="8" w:color="DC202E"/>
            </w:tcBorders>
          </w:tcPr>
          <w:p>
            <w:pPr>
              <w:spacing w:after="0"/>
              <w:rPr>
                <w:sz w:val="22"/>
                <w:szCs w:val="22"/>
                <w:color w:val="auto"/>
              </w:rPr>
            </w:pPr>
          </w:p>
        </w:tc>
        <w:tc>
          <w:tcPr>
            <w:tcW w:w="340" w:type="dxa"/>
            <w:vAlign w:val="bottom"/>
            <w:tcBorders>
              <w:bottom w:val="single" w:sz="8" w:color="DC202E"/>
            </w:tcBorders>
          </w:tcPr>
          <w:p>
            <w:pPr>
              <w:spacing w:after="0"/>
              <w:rPr>
                <w:sz w:val="22"/>
                <w:szCs w:val="22"/>
                <w:color w:val="auto"/>
              </w:rPr>
            </w:pPr>
          </w:p>
        </w:tc>
        <w:tc>
          <w:tcPr>
            <w:tcW w:w="1180" w:type="dxa"/>
            <w:vAlign w:val="bottom"/>
            <w:tcBorders>
              <w:bottom w:val="single" w:sz="8" w:color="DC202E"/>
            </w:tcBorders>
            <w:gridSpan w:val="2"/>
          </w:tcPr>
          <w:p>
            <w:pPr>
              <w:jc w:val="center"/>
              <w:ind w:right="92"/>
              <w:spacing w:after="0"/>
              <w:rPr>
                <w:sz w:val="20"/>
                <w:szCs w:val="20"/>
                <w:color w:val="auto"/>
              </w:rPr>
            </w:pPr>
            <w:r>
              <w:rPr>
                <w:rFonts w:ascii="Arial" w:cs="Arial" w:eastAsia="Arial" w:hAnsi="Arial"/>
                <w:sz w:val="10"/>
                <w:szCs w:val="10"/>
                <w:b w:val="1"/>
                <w:bCs w:val="1"/>
                <w:color w:val="auto"/>
                <w:w w:val="97"/>
              </w:rPr>
              <w:t>December 31, 2020</w:t>
            </w:r>
          </w:p>
        </w:tc>
        <w:tc>
          <w:tcPr>
            <w:tcW w:w="260" w:type="dxa"/>
            <w:vAlign w:val="bottom"/>
            <w:tcBorders>
              <w:bottom w:val="single" w:sz="8" w:color="DC202E"/>
            </w:tcBorders>
          </w:tcPr>
          <w:p>
            <w:pPr>
              <w:spacing w:after="0"/>
              <w:rPr>
                <w:sz w:val="22"/>
                <w:szCs w:val="22"/>
                <w:color w:val="auto"/>
              </w:rPr>
            </w:pPr>
          </w:p>
        </w:tc>
        <w:tc>
          <w:tcPr>
            <w:tcW w:w="840" w:type="dxa"/>
            <w:vAlign w:val="bottom"/>
            <w:tcBorders>
              <w:bottom w:val="single" w:sz="8" w:color="DC202E"/>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jc w:val="center"/>
              <w:ind w:right="352"/>
              <w:spacing w:after="0"/>
              <w:rPr>
                <w:sz w:val="20"/>
                <w:szCs w:val="20"/>
                <w:color w:val="auto"/>
              </w:rPr>
            </w:pPr>
            <w:r>
              <w:rPr>
                <w:rFonts w:ascii="Arial" w:cs="Arial" w:eastAsia="Arial" w:hAnsi="Arial"/>
                <w:sz w:val="10"/>
                <w:szCs w:val="10"/>
                <w:b w:val="1"/>
                <w:bCs w:val="1"/>
                <w:color w:val="auto"/>
                <w:w w:val="96"/>
              </w:rPr>
              <w:t>Gross</w:t>
            </w:r>
          </w:p>
        </w:tc>
        <w:tc>
          <w:tcPr>
            <w:tcW w:w="240" w:type="dxa"/>
            <w:vAlign w:val="bottom"/>
          </w:tcPr>
          <w:p>
            <w:pPr>
              <w:spacing w:after="0"/>
              <w:rPr>
                <w:sz w:val="11"/>
                <w:szCs w:val="11"/>
                <w:color w:val="auto"/>
              </w:rPr>
            </w:pPr>
          </w:p>
        </w:tc>
        <w:tc>
          <w:tcPr>
            <w:tcW w:w="980" w:type="dxa"/>
            <w:vAlign w:val="bottom"/>
            <w:vMerge w:val="restart"/>
          </w:tcPr>
          <w:p>
            <w:pPr>
              <w:jc w:val="center"/>
              <w:ind w:right="332"/>
              <w:spacing w:after="0"/>
              <w:rPr>
                <w:sz w:val="20"/>
                <w:szCs w:val="20"/>
                <w:color w:val="auto"/>
              </w:rPr>
            </w:pPr>
            <w:r>
              <w:rPr>
                <w:rFonts w:ascii="Arial" w:cs="Arial" w:eastAsia="Arial" w:hAnsi="Arial"/>
                <w:sz w:val="10"/>
                <w:szCs w:val="10"/>
                <w:b w:val="1"/>
                <w:bCs w:val="1"/>
                <w:color w:val="auto"/>
                <w:w w:val="95"/>
              </w:rPr>
              <w:t>Accumulated</w:t>
            </w:r>
          </w:p>
        </w:tc>
        <w:tc>
          <w:tcPr>
            <w:tcW w:w="740" w:type="dxa"/>
            <w:vAlign w:val="bottom"/>
          </w:tcPr>
          <w:p>
            <w:pPr>
              <w:jc w:val="center"/>
              <w:ind w:left="172"/>
              <w:spacing w:after="0"/>
              <w:rPr>
                <w:sz w:val="20"/>
                <w:szCs w:val="20"/>
                <w:color w:val="auto"/>
              </w:rPr>
            </w:pPr>
            <w:r>
              <w:rPr>
                <w:rFonts w:ascii="Arial" w:cs="Arial" w:eastAsia="Arial" w:hAnsi="Arial"/>
                <w:sz w:val="10"/>
                <w:szCs w:val="10"/>
                <w:b w:val="1"/>
                <w:bCs w:val="1"/>
                <w:color w:val="auto"/>
                <w:w w:val="99"/>
              </w:rPr>
              <w:t>Net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left="232"/>
              <w:spacing w:after="0"/>
              <w:rPr>
                <w:sz w:val="20"/>
                <w:szCs w:val="20"/>
                <w:color w:val="auto"/>
              </w:rPr>
            </w:pPr>
            <w:r>
              <w:rPr>
                <w:rFonts w:ascii="Arial" w:cs="Arial" w:eastAsia="Arial" w:hAnsi="Arial"/>
                <w:sz w:val="10"/>
                <w:szCs w:val="10"/>
                <w:b w:val="1"/>
                <w:bCs w:val="1"/>
                <w:color w:val="auto"/>
                <w:w w:val="89"/>
              </w:rPr>
              <w:t>Gross</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center"/>
              <w:ind w:right="312"/>
              <w:spacing w:after="0"/>
              <w:rPr>
                <w:sz w:val="20"/>
                <w:szCs w:val="20"/>
                <w:color w:val="auto"/>
              </w:rPr>
            </w:pPr>
            <w:r>
              <w:rPr>
                <w:rFonts w:ascii="Arial" w:cs="Arial" w:eastAsia="Arial" w:hAnsi="Arial"/>
                <w:sz w:val="10"/>
                <w:szCs w:val="10"/>
                <w:b w:val="1"/>
                <w:bCs w:val="1"/>
                <w:color w:val="auto"/>
                <w:w w:val="95"/>
              </w:rPr>
              <w:t>Accumulated</w:t>
            </w:r>
          </w:p>
        </w:tc>
        <w:tc>
          <w:tcPr>
            <w:tcW w:w="260" w:type="dxa"/>
            <w:vAlign w:val="bottom"/>
          </w:tcPr>
          <w:p>
            <w:pPr>
              <w:spacing w:after="0"/>
              <w:rPr>
                <w:sz w:val="11"/>
                <w:szCs w:val="11"/>
                <w:color w:val="auto"/>
              </w:rPr>
            </w:pPr>
          </w:p>
        </w:tc>
        <w:tc>
          <w:tcPr>
            <w:tcW w:w="840" w:type="dxa"/>
            <w:vAlign w:val="bottom"/>
          </w:tcPr>
          <w:p>
            <w:pPr>
              <w:jc w:val="center"/>
              <w:ind w:right="292"/>
              <w:spacing w:after="0"/>
              <w:rPr>
                <w:sz w:val="20"/>
                <w:szCs w:val="20"/>
                <w:color w:val="auto"/>
              </w:rPr>
            </w:pPr>
            <w:r>
              <w:rPr>
                <w:rFonts w:ascii="Arial" w:cs="Arial" w:eastAsia="Arial" w:hAnsi="Arial"/>
                <w:sz w:val="10"/>
                <w:szCs w:val="10"/>
                <w:b w:val="1"/>
                <w:bCs w:val="1"/>
                <w:color w:val="auto"/>
                <w:w w:val="86"/>
              </w:rPr>
              <w:t>Net</w:t>
            </w:r>
          </w:p>
        </w:tc>
        <w:tc>
          <w:tcPr>
            <w:tcW w:w="0" w:type="dxa"/>
            <w:vAlign w:val="bottom"/>
          </w:tcPr>
          <w:p>
            <w:pPr>
              <w:spacing w:after="0"/>
              <w:rPr>
                <w:sz w:val="1"/>
                <w:szCs w:val="1"/>
                <w:color w:val="auto"/>
              </w:rPr>
            </w:pPr>
          </w:p>
        </w:tc>
      </w:tr>
      <w:tr>
        <w:trPr>
          <w:trHeight w:val="90"/>
        </w:trPr>
        <w:tc>
          <w:tcPr>
            <w:tcW w:w="4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jc w:val="center"/>
              <w:ind w:right="352"/>
              <w:spacing w:after="0" w:line="90" w:lineRule="exact"/>
              <w:rPr>
                <w:sz w:val="20"/>
                <w:szCs w:val="20"/>
                <w:color w:val="auto"/>
              </w:rPr>
            </w:pPr>
            <w:r>
              <w:rPr>
                <w:rFonts w:ascii="Arial" w:cs="Arial" w:eastAsia="Arial" w:hAnsi="Arial"/>
                <w:sz w:val="10"/>
                <w:szCs w:val="10"/>
                <w:b w:val="1"/>
                <w:bCs w:val="1"/>
                <w:color w:val="auto"/>
                <w:w w:val="97"/>
              </w:rPr>
              <w:t>Carrying</w:t>
            </w:r>
          </w:p>
        </w:tc>
        <w:tc>
          <w:tcPr>
            <w:tcW w:w="2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40" w:type="dxa"/>
            <w:vAlign w:val="bottom"/>
          </w:tcPr>
          <w:p>
            <w:pPr>
              <w:jc w:val="center"/>
              <w:ind w:left="172"/>
              <w:spacing w:after="0" w:line="90" w:lineRule="exact"/>
              <w:rPr>
                <w:sz w:val="20"/>
                <w:szCs w:val="20"/>
                <w:color w:val="auto"/>
              </w:rPr>
            </w:pPr>
            <w:r>
              <w:rPr>
                <w:rFonts w:ascii="Arial" w:cs="Arial" w:eastAsia="Arial" w:hAnsi="Arial"/>
                <w:sz w:val="10"/>
                <w:szCs w:val="10"/>
                <w:b w:val="1"/>
                <w:bCs w:val="1"/>
                <w:color w:val="auto"/>
                <w:w w:val="97"/>
              </w:rPr>
              <w:t>Carrying</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jc w:val="center"/>
              <w:ind w:left="232"/>
              <w:spacing w:after="0" w:line="90" w:lineRule="exact"/>
              <w:rPr>
                <w:sz w:val="20"/>
                <w:szCs w:val="20"/>
                <w:color w:val="auto"/>
              </w:rPr>
            </w:pPr>
            <w:r>
              <w:rPr>
                <w:rFonts w:ascii="Arial" w:cs="Arial" w:eastAsia="Arial" w:hAnsi="Arial"/>
                <w:sz w:val="10"/>
                <w:szCs w:val="10"/>
                <w:b w:val="1"/>
                <w:bCs w:val="1"/>
                <w:color w:val="auto"/>
                <w:w w:val="92"/>
              </w:rPr>
              <w:t>Carrying</w:t>
            </w: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jc w:val="center"/>
              <w:ind w:right="292"/>
              <w:spacing w:after="0" w:line="90" w:lineRule="exact"/>
              <w:rPr>
                <w:sz w:val="20"/>
                <w:szCs w:val="20"/>
                <w:color w:val="auto"/>
              </w:rPr>
            </w:pPr>
            <w:r>
              <w:rPr>
                <w:rFonts w:ascii="Arial" w:cs="Arial" w:eastAsia="Arial" w:hAnsi="Arial"/>
                <w:sz w:val="10"/>
                <w:szCs w:val="10"/>
                <w:b w:val="1"/>
                <w:bCs w:val="1"/>
                <w:color w:val="auto"/>
                <w:w w:val="92"/>
              </w:rPr>
              <w:t>Carrying</w:t>
            </w:r>
          </w:p>
        </w:tc>
        <w:tc>
          <w:tcPr>
            <w:tcW w:w="0" w:type="dxa"/>
            <w:vAlign w:val="bottom"/>
          </w:tcPr>
          <w:p>
            <w:pPr>
              <w:spacing w:after="0"/>
              <w:rPr>
                <w:sz w:val="1"/>
                <w:szCs w:val="1"/>
                <w:color w:val="auto"/>
              </w:rPr>
            </w:pPr>
          </w:p>
        </w:tc>
      </w:tr>
      <w:tr>
        <w:trPr>
          <w:trHeight w:val="117"/>
        </w:trPr>
        <w:tc>
          <w:tcPr>
            <w:tcW w:w="40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center"/>
              <w:ind w:right="352"/>
              <w:spacing w:after="0"/>
              <w:rPr>
                <w:sz w:val="20"/>
                <w:szCs w:val="20"/>
                <w:color w:val="auto"/>
              </w:rPr>
            </w:pPr>
            <w:r>
              <w:rPr>
                <w:rFonts w:ascii="Arial" w:cs="Arial" w:eastAsia="Arial" w:hAnsi="Arial"/>
                <w:sz w:val="10"/>
                <w:szCs w:val="10"/>
                <w:b w:val="1"/>
                <w:bCs w:val="1"/>
                <w:color w:val="auto"/>
                <w:w w:val="95"/>
              </w:rPr>
              <w:t>Amount</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center"/>
              <w:ind w:right="352"/>
              <w:spacing w:after="0"/>
              <w:rPr>
                <w:sz w:val="20"/>
                <w:szCs w:val="20"/>
                <w:color w:val="auto"/>
              </w:rPr>
            </w:pPr>
            <w:r>
              <w:rPr>
                <w:rFonts w:ascii="Arial" w:cs="Arial" w:eastAsia="Arial" w:hAnsi="Arial"/>
                <w:sz w:val="10"/>
                <w:szCs w:val="10"/>
                <w:b w:val="1"/>
                <w:bCs w:val="1"/>
                <w:color w:val="auto"/>
                <w:w w:val="94"/>
              </w:rPr>
              <w:t>Amortization</w:t>
            </w:r>
          </w:p>
        </w:tc>
        <w:tc>
          <w:tcPr>
            <w:tcW w:w="740" w:type="dxa"/>
            <w:vAlign w:val="bottom"/>
            <w:tcBorders>
              <w:bottom w:val="single" w:sz="8" w:color="DC202E"/>
            </w:tcBorders>
          </w:tcPr>
          <w:p>
            <w:pPr>
              <w:jc w:val="center"/>
              <w:ind w:left="172"/>
              <w:spacing w:after="0"/>
              <w:rPr>
                <w:sz w:val="20"/>
                <w:szCs w:val="20"/>
                <w:color w:val="auto"/>
              </w:rPr>
            </w:pPr>
            <w:r>
              <w:rPr>
                <w:rFonts w:ascii="Arial" w:cs="Arial" w:eastAsia="Arial" w:hAnsi="Arial"/>
                <w:sz w:val="10"/>
                <w:szCs w:val="10"/>
                <w:b w:val="1"/>
                <w:bCs w:val="1"/>
                <w:color w:val="auto"/>
                <w:w w:val="95"/>
              </w:rPr>
              <w:t>Amount</w:t>
            </w:r>
          </w:p>
        </w:tc>
        <w:tc>
          <w:tcPr>
            <w:tcW w:w="3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jc w:val="center"/>
              <w:ind w:left="232"/>
              <w:spacing w:after="0"/>
              <w:rPr>
                <w:sz w:val="20"/>
                <w:szCs w:val="20"/>
                <w:color w:val="auto"/>
              </w:rPr>
            </w:pPr>
            <w:r>
              <w:rPr>
                <w:rFonts w:ascii="Arial" w:cs="Arial" w:eastAsia="Arial" w:hAnsi="Arial"/>
                <w:sz w:val="10"/>
                <w:szCs w:val="10"/>
                <w:b w:val="1"/>
                <w:bCs w:val="1"/>
                <w:color w:val="auto"/>
              </w:rPr>
              <w:t>Amount</w:t>
            </w:r>
          </w:p>
        </w:tc>
        <w:tc>
          <w:tcPr>
            <w:tcW w:w="3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center"/>
              <w:ind w:right="312"/>
              <w:spacing w:after="0"/>
              <w:rPr>
                <w:sz w:val="20"/>
                <w:szCs w:val="20"/>
                <w:color w:val="auto"/>
              </w:rPr>
            </w:pPr>
            <w:r>
              <w:rPr>
                <w:rFonts w:ascii="Arial" w:cs="Arial" w:eastAsia="Arial" w:hAnsi="Arial"/>
                <w:sz w:val="10"/>
                <w:szCs w:val="10"/>
                <w:b w:val="1"/>
                <w:bCs w:val="1"/>
                <w:color w:val="auto"/>
                <w:w w:val="98"/>
              </w:rPr>
              <w:t>Amortization</w:t>
            </w:r>
          </w:p>
        </w:tc>
        <w:tc>
          <w:tcPr>
            <w:tcW w:w="2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center"/>
              <w:ind w:right="292"/>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Determinable life intangibles:</w:t>
            </w: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Patents and technology</w:t>
            </w: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2,345</w:t>
            </w: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(1,678)</w:t>
            </w:r>
          </w:p>
        </w:tc>
        <w:tc>
          <w:tcPr>
            <w:tcW w:w="740" w:type="dxa"/>
            <w:vAlign w:val="bottom"/>
            <w:tcBorders>
              <w:bottom w:val="single" w:sz="8" w:color="939598"/>
            </w:tcBorders>
          </w:tcPr>
          <w:p>
            <w:pPr>
              <w:jc w:val="right"/>
              <w:ind w:right="5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667</w:t>
            </w:r>
          </w:p>
        </w:tc>
        <w:tc>
          <w:tcPr>
            <w:tcW w:w="22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jc w:val="right"/>
              <w:ind w:right="57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87"/>
              </w:rPr>
              <w:t>2,159</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(1,595)</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564</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Customer relationships</w:t>
            </w:r>
          </w:p>
        </w:tc>
        <w:tc>
          <w:tcPr>
            <w:tcW w:w="3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4,045</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(2,235)</w:t>
            </w:r>
          </w:p>
        </w:tc>
        <w:tc>
          <w:tcPr>
            <w:tcW w:w="7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1,810</w:t>
            </w:r>
          </w:p>
        </w:tc>
        <w:tc>
          <w:tcPr>
            <w:tcW w:w="22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w w:val="87"/>
              </w:rPr>
              <w:t>3,889</w:t>
            </w:r>
          </w:p>
        </w:tc>
        <w:tc>
          <w:tcPr>
            <w:tcW w:w="2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(2,050)</w:t>
            </w:r>
          </w:p>
        </w:tc>
        <w:tc>
          <w:tcPr>
            <w:tcW w:w="2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1,839</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Trademarks</w:t>
            </w:r>
          </w:p>
        </w:tc>
        <w:tc>
          <w:tcPr>
            <w:tcW w:w="3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356</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(261)</w:t>
            </w:r>
          </w:p>
        </w:tc>
        <w:tc>
          <w:tcPr>
            <w:tcW w:w="7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95</w:t>
            </w:r>
          </w:p>
        </w:tc>
        <w:tc>
          <w:tcPr>
            <w:tcW w:w="220" w:type="dxa"/>
            <w:vAlign w:val="bottom"/>
            <w:tcBorders>
              <w:bottom w:val="single" w:sz="8" w:color="939598"/>
            </w:tcBorders>
          </w:tcPr>
          <w:p>
            <w:pPr>
              <w:spacing w:after="0"/>
              <w:rPr>
                <w:sz w:val="10"/>
                <w:szCs w:val="10"/>
                <w:color w:val="auto"/>
              </w:rPr>
            </w:pPr>
          </w:p>
        </w:tc>
        <w:tc>
          <w:tcPr>
            <w:tcW w:w="9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327</w:t>
            </w:r>
          </w:p>
        </w:tc>
        <w:tc>
          <w:tcPr>
            <w:tcW w:w="22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(247)</w:t>
            </w:r>
          </w:p>
        </w:tc>
        <w:tc>
          <w:tcPr>
            <w:tcW w:w="2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Other</w:t>
            </w: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298</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(271)</w:t>
            </w:r>
          </w:p>
        </w:tc>
        <w:tc>
          <w:tcPr>
            <w:tcW w:w="7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27</w:t>
            </w:r>
          </w:p>
        </w:tc>
        <w:tc>
          <w:tcPr>
            <w:tcW w:w="2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298</w:t>
            </w: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(267)</w:t>
            </w:r>
          </w:p>
        </w:tc>
        <w:tc>
          <w:tcPr>
            <w:tcW w:w="2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7,044</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(4,445)</w:t>
            </w:r>
          </w:p>
        </w:tc>
        <w:tc>
          <w:tcPr>
            <w:tcW w:w="7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2,599</w:t>
            </w:r>
          </w:p>
        </w:tc>
        <w:tc>
          <w:tcPr>
            <w:tcW w:w="2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87"/>
              </w:rPr>
              <w:t>6,673</w:t>
            </w: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(4,159)</w:t>
            </w:r>
          </w:p>
        </w:tc>
        <w:tc>
          <w:tcPr>
            <w:tcW w:w="2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2,514</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Indefinite life intangibles:</w:t>
            </w: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Trademarks</w:t>
            </w: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1,014</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1,014</w:t>
            </w:r>
          </w:p>
        </w:tc>
        <w:tc>
          <w:tcPr>
            <w:tcW w:w="2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w w:val="87"/>
              </w:rPr>
              <w:t>1,046</w:t>
            </w:r>
          </w:p>
        </w:tc>
        <w:tc>
          <w:tcPr>
            <w:tcW w:w="22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1,046</w:t>
            </w:r>
          </w:p>
        </w:tc>
        <w:tc>
          <w:tcPr>
            <w:tcW w:w="0" w:type="dxa"/>
            <w:vAlign w:val="bottom"/>
          </w:tcPr>
          <w:p>
            <w:pPr>
              <w:spacing w:after="0"/>
              <w:rPr>
                <w:sz w:val="1"/>
                <w:szCs w:val="1"/>
                <w:color w:val="auto"/>
              </w:rPr>
            </w:pPr>
          </w:p>
        </w:tc>
      </w:tr>
      <w:tr>
        <w:trPr>
          <w:trHeight w:val="115"/>
        </w:trPr>
        <w:tc>
          <w:tcPr>
            <w:tcW w:w="40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8,058</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(4,445)</w:t>
            </w:r>
          </w:p>
        </w:tc>
        <w:tc>
          <w:tcPr>
            <w:tcW w:w="74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3,613</w:t>
            </w:r>
          </w:p>
        </w:tc>
        <w:tc>
          <w:tcPr>
            <w:tcW w:w="2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87"/>
              </w:rPr>
              <w:t>7,719</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(4,159)</w:t>
            </w: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3,560</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Intangible assets amortization expense was $465 million, $358 million and $415 million for the years ended December 31, 2021, 2020 and 2019, respectively. Estimated intangible asset amortization expense for each of the next five years approximates $310 million in 2022, $273 million in 2023, $250 million in 2024, $241 million in 2025 and $203 million in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75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7" w:name="page78"/>
    <w:bookmarkEnd w:id="77"/>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9. LONG-TERM DEBT AND CREDIT AGREEMENTS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gridSpan w:val="2"/>
          </w:tcPr>
          <w:p>
            <w:pPr>
              <w:jc w:val="right"/>
              <w:ind w:right="32"/>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D7282F"/>
            </w:tcBorders>
          </w:tcPr>
          <w:p>
            <w:pPr>
              <w:spacing w:after="0"/>
              <w:rPr>
                <w:sz w:val="11"/>
                <w:szCs w:val="11"/>
                <w:color w:val="auto"/>
              </w:rPr>
            </w:pPr>
          </w:p>
        </w:tc>
      </w:tr>
      <w:tr>
        <w:trPr>
          <w:trHeight w:val="160"/>
        </w:trPr>
        <w:tc>
          <w:tcPr>
            <w:tcW w:w="300" w:type="dxa"/>
            <w:vAlign w:val="bottom"/>
            <w:tcBorders>
              <w:bottom w:val="single" w:sz="8" w:color="DC202E"/>
            </w:tcBorders>
          </w:tcPr>
          <w:p>
            <w:pPr>
              <w:spacing w:after="0"/>
              <w:rPr>
                <w:sz w:val="13"/>
                <w:szCs w:val="13"/>
                <w:color w:val="auto"/>
              </w:rPr>
            </w:pPr>
          </w:p>
        </w:tc>
        <w:tc>
          <w:tcPr>
            <w:tcW w:w="904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300" w:type="dxa"/>
            <w:vAlign w:val="bottom"/>
            <w:tcBorders>
              <w:bottom w:val="single" w:sz="8" w:color="DC202E"/>
            </w:tcBorders>
          </w:tcPr>
          <w:p>
            <w:pPr>
              <w:spacing w:after="0"/>
              <w:rPr>
                <w:sz w:val="13"/>
                <w:szCs w:val="13"/>
                <w:color w:val="auto"/>
              </w:rPr>
            </w:pPr>
          </w:p>
        </w:tc>
        <w:tc>
          <w:tcPr>
            <w:tcW w:w="58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2020</w:t>
            </w:r>
          </w:p>
        </w:tc>
      </w:tr>
      <w:tr>
        <w:trPr>
          <w:trHeight w:val="119"/>
        </w:trPr>
        <w:tc>
          <w:tcPr>
            <w:tcW w:w="9340" w:type="dxa"/>
            <w:vAlign w:val="bottom"/>
            <w:tcBorders>
              <w:bottom w:val="single" w:sz="8" w:color="B6B6B6"/>
            </w:tcBorders>
            <w:gridSpan w:val="2"/>
          </w:tcPr>
          <w:p>
            <w:pPr>
              <w:spacing w:after="0"/>
              <w:rPr>
                <w:sz w:val="20"/>
                <w:szCs w:val="20"/>
                <w:color w:val="auto"/>
              </w:rPr>
            </w:pPr>
            <w:r>
              <w:rPr>
                <w:rFonts w:ascii="Arial" w:cs="Arial" w:eastAsia="Arial" w:hAnsi="Arial"/>
                <w:sz w:val="10"/>
                <w:szCs w:val="10"/>
                <w:color w:val="auto"/>
              </w:rPr>
              <w:t>4.25% notes due 2021</w:t>
            </w:r>
          </w:p>
        </w:tc>
        <w:tc>
          <w:tcPr>
            <w:tcW w:w="340" w:type="dxa"/>
            <w:vAlign w:val="bottom"/>
            <w:tcBorders>
              <w:bottom w:val="single" w:sz="8" w:color="B6B6B6"/>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B6B6B6"/>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B6B6B6"/>
            </w:tcBorders>
          </w:tcPr>
          <w:p>
            <w:pPr>
              <w:jc w:val="right"/>
              <w:ind w:right="7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B6B6B6"/>
            </w:tcBorders>
          </w:tcPr>
          <w:p>
            <w:pPr>
              <w:jc w:val="right"/>
              <w:spacing w:after="0"/>
              <w:rPr>
                <w:sz w:val="20"/>
                <w:szCs w:val="20"/>
                <w:color w:val="auto"/>
              </w:rPr>
            </w:pPr>
            <w:r>
              <w:rPr>
                <w:rFonts w:ascii="Arial" w:cs="Arial" w:eastAsia="Arial" w:hAnsi="Arial"/>
                <w:sz w:val="10"/>
                <w:szCs w:val="10"/>
                <w:color w:val="auto"/>
              </w:rPr>
              <w:t>800</w:t>
            </w:r>
          </w:p>
        </w:tc>
      </w:tr>
      <w:tr>
        <w:trPr>
          <w:trHeight w:val="115"/>
        </w:trPr>
        <w:tc>
          <w:tcPr>
            <w:tcW w:w="9340" w:type="dxa"/>
            <w:vAlign w:val="bottom"/>
            <w:tcBorders>
              <w:bottom w:val="single" w:sz="8" w:color="B6B6B6"/>
            </w:tcBorders>
            <w:gridSpan w:val="2"/>
          </w:tcPr>
          <w:p>
            <w:pPr>
              <w:spacing w:after="0"/>
              <w:rPr>
                <w:sz w:val="20"/>
                <w:szCs w:val="20"/>
                <w:color w:val="auto"/>
              </w:rPr>
            </w:pPr>
            <w:r>
              <w:rPr>
                <w:rFonts w:ascii="Arial" w:cs="Arial" w:eastAsia="Arial" w:hAnsi="Arial"/>
                <w:sz w:val="10"/>
                <w:szCs w:val="10"/>
                <w:color w:val="auto"/>
              </w:rPr>
              <w:t>1.85% notes due 2021</w:t>
            </w:r>
          </w:p>
        </w:tc>
        <w:tc>
          <w:tcPr>
            <w:tcW w:w="340" w:type="dxa"/>
            <w:vAlign w:val="bottom"/>
            <w:tcBorders>
              <w:bottom w:val="single" w:sz="8" w:color="B6B6B6"/>
            </w:tcBorders>
          </w:tcPr>
          <w:p>
            <w:pPr>
              <w:spacing w:after="0"/>
              <w:rPr>
                <w:sz w:val="10"/>
                <w:szCs w:val="10"/>
                <w:color w:val="auto"/>
              </w:rPr>
            </w:pPr>
          </w:p>
        </w:tc>
        <w:tc>
          <w:tcPr>
            <w:tcW w:w="740" w:type="dxa"/>
            <w:vAlign w:val="bottom"/>
            <w:tcBorders>
              <w:bottom w:val="single" w:sz="8" w:color="B6B6B6"/>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B6B6B6"/>
            </w:tcBorders>
          </w:tcPr>
          <w:p>
            <w:pPr>
              <w:spacing w:after="0"/>
              <w:rPr>
                <w:sz w:val="10"/>
                <w:szCs w:val="10"/>
                <w:color w:val="auto"/>
              </w:rPr>
            </w:pPr>
          </w:p>
        </w:tc>
        <w:tc>
          <w:tcPr>
            <w:tcW w:w="580" w:type="dxa"/>
            <w:vAlign w:val="bottom"/>
            <w:tcBorders>
              <w:bottom w:val="single" w:sz="8" w:color="B6B6B6"/>
            </w:tcBorders>
          </w:tcPr>
          <w:p>
            <w:pPr>
              <w:jc w:val="right"/>
              <w:spacing w:after="0"/>
              <w:rPr>
                <w:sz w:val="20"/>
                <w:szCs w:val="20"/>
                <w:color w:val="auto"/>
              </w:rPr>
            </w:pPr>
            <w:r>
              <w:rPr>
                <w:rFonts w:ascii="Arial" w:cs="Arial" w:eastAsia="Arial" w:hAnsi="Arial"/>
                <w:sz w:val="10"/>
                <w:szCs w:val="10"/>
                <w:color w:val="auto"/>
              </w:rPr>
              <w:t>1,500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0.483% notes due 2022</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2,500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2.15% notes due 2022</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600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Floating rate notes due 2022</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1,100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1.30% Euro notes due 2023</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1,416</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1,534</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3.35% notes due 2023</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300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0.00% Euro notes due 2024</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566</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614</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2.30% notes due 2024</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750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750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1.35% notes due 2025</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1,250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1,250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2.50% notes due 2026</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1,500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1,500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1.10% notes due 2027</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1,000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2.25% Euro notes due 2028</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849</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920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2.70% notes due 2029</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750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750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1.95% notes due 2030</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1,000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1,000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1.75% notes due 2031</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1,500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0.75% Euro notes due 2032</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566</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614</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5.70% notes due 2036</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441</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441</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5.70% notes due 2037</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462</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462</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5.375% notes due 2041</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417</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417</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3.812% notes due 2047</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445</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445</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2.80% notes due 2050</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750</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750</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Industrial development bond obligations, floating rate maturing at various dates through 2037</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22</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6.625% debentures due 2028</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201</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201</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9.065% debentures due 2033</w:t>
            </w: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51</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Other (including capitalized leases and debt issuance costs), 8.2% weighted average interest rate maturing at various dates through 2026</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121</w:t>
            </w:r>
          </w:p>
        </w:tc>
        <w:tc>
          <w:tcPr>
            <w:tcW w:w="3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266</w:t>
            </w:r>
          </w:p>
        </w:tc>
      </w:tr>
      <w:tr>
        <w:trPr>
          <w:trHeight w:val="115"/>
        </w:trPr>
        <w:tc>
          <w:tcPr>
            <w:tcW w:w="300" w:type="dxa"/>
            <w:vAlign w:val="bottom"/>
            <w:tcBorders>
              <w:bottom w:val="single" w:sz="8" w:color="939598"/>
            </w:tcBorders>
          </w:tcPr>
          <w:p>
            <w:pPr>
              <w:spacing w:after="0"/>
              <w:rPr>
                <w:sz w:val="10"/>
                <w:szCs w:val="10"/>
                <w:color w:val="auto"/>
              </w:rPr>
            </w:pPr>
          </w:p>
        </w:tc>
        <w:tc>
          <w:tcPr>
            <w:tcW w:w="90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b w:val="1"/>
                <w:bCs w:val="1"/>
                <w:color w:val="auto"/>
              </w:rPr>
              <w:t>16,057</w:t>
            </w:r>
          </w:p>
        </w:tc>
        <w:tc>
          <w:tcPr>
            <w:tcW w:w="3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b w:val="1"/>
                <w:bCs w:val="1"/>
                <w:color w:val="auto"/>
              </w:rPr>
              <w:t>18,787</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Less-current portion</w:t>
            </w:r>
          </w:p>
        </w:tc>
        <w:tc>
          <w:tcPr>
            <w:tcW w:w="34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(1,803)</w:t>
            </w:r>
          </w:p>
        </w:tc>
        <w:tc>
          <w:tcPr>
            <w:tcW w:w="3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(2,445)</w:t>
            </w:r>
          </w:p>
        </w:tc>
      </w:tr>
      <w:tr>
        <w:trPr>
          <w:trHeight w:val="115"/>
        </w:trPr>
        <w:tc>
          <w:tcPr>
            <w:tcW w:w="300" w:type="dxa"/>
            <w:vAlign w:val="bottom"/>
            <w:tcBorders>
              <w:bottom w:val="single" w:sz="8" w:color="DC202E"/>
            </w:tcBorders>
          </w:tcPr>
          <w:p>
            <w:pPr>
              <w:spacing w:after="0"/>
              <w:rPr>
                <w:sz w:val="10"/>
                <w:szCs w:val="10"/>
                <w:color w:val="auto"/>
              </w:rPr>
            </w:pPr>
          </w:p>
        </w:tc>
        <w:tc>
          <w:tcPr>
            <w:tcW w:w="90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14,254</w:t>
            </w:r>
          </w:p>
        </w:tc>
        <w:tc>
          <w:tcPr>
            <w:tcW w:w="3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16,342</w:t>
            </w:r>
          </w:p>
        </w:tc>
      </w:tr>
      <w:tr>
        <w:trPr>
          <w:trHeight w:val="484"/>
        </w:trPr>
        <w:tc>
          <w:tcPr>
            <w:tcW w:w="300" w:type="dxa"/>
            <w:vAlign w:val="bottom"/>
          </w:tcPr>
          <w:p>
            <w:pPr>
              <w:spacing w:after="0"/>
              <w:rPr>
                <w:sz w:val="20"/>
                <w:szCs w:val="20"/>
                <w:color w:val="auto"/>
              </w:rPr>
            </w:pPr>
            <w:r>
              <w:rPr>
                <w:rFonts w:ascii="Arial" w:cs="Arial" w:eastAsia="Arial" w:hAnsi="Arial"/>
                <w:sz w:val="12"/>
                <w:szCs w:val="12"/>
                <w:b w:val="1"/>
                <w:bCs w:val="1"/>
                <w:color w:val="D7282F"/>
              </w:rPr>
              <w:t>76</w:t>
            </w:r>
          </w:p>
        </w:tc>
        <w:tc>
          <w:tcPr>
            <w:tcW w:w="9040" w:type="dxa"/>
            <w:vAlign w:val="bottom"/>
          </w:tcPr>
          <w:p>
            <w:pPr>
              <w:ind w:left="1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4"/>
        </w:trPr>
        <w:tc>
          <w:tcPr>
            <w:tcW w:w="300" w:type="dxa"/>
            <w:vAlign w:val="bottom"/>
            <w:tcBorders>
              <w:bottom w:val="single" w:sz="8" w:color="9A9A9A"/>
            </w:tcBorders>
          </w:tcPr>
          <w:p>
            <w:pPr>
              <w:spacing w:after="0"/>
              <w:rPr>
                <w:sz w:val="12"/>
                <w:szCs w:val="12"/>
                <w:color w:val="auto"/>
              </w:rPr>
            </w:pPr>
          </w:p>
        </w:tc>
        <w:tc>
          <w:tcPr>
            <w:tcW w:w="90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8" w:name="page79"/>
    <w:bookmarkEnd w:id="78"/>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6440" w:type="dxa"/>
            <w:vAlign w:val="bottom"/>
          </w:tcPr>
          <w:p>
            <w:pPr>
              <w:jc w:val="center"/>
              <w:ind w:right="2188"/>
              <w:spacing w:after="0"/>
              <w:rPr>
                <w:sz w:val="20"/>
                <w:szCs w:val="20"/>
                <w:color w:val="auto"/>
              </w:rPr>
            </w:pPr>
            <w:r>
              <w:rPr>
                <w:rFonts w:ascii="Arial" w:cs="Arial" w:eastAsia="Arial" w:hAnsi="Arial"/>
                <w:sz w:val="11"/>
                <w:szCs w:val="11"/>
                <w:b w:val="1"/>
                <w:bCs w:val="1"/>
                <w:color w:val="auto"/>
                <w:w w:val="97"/>
              </w:rPr>
              <w:t>HONEYWELL INTERNATIONAL INC.</w:t>
            </w:r>
          </w:p>
        </w:tc>
        <w:tc>
          <w:tcPr>
            <w:tcW w:w="1320" w:type="dxa"/>
            <w:vAlign w:val="bottom"/>
          </w:tcPr>
          <w:p>
            <w:pPr>
              <w:spacing w:after="0"/>
              <w:rPr>
                <w:sz w:val="10"/>
                <w:szCs w:val="10"/>
                <w:color w:val="auto"/>
              </w:rPr>
            </w:pPr>
          </w:p>
        </w:tc>
      </w:tr>
      <w:tr>
        <w:trPr>
          <w:trHeight w:val="126"/>
        </w:trPr>
        <w:tc>
          <w:tcPr>
            <w:tcW w:w="3540" w:type="dxa"/>
            <w:vAlign w:val="bottom"/>
          </w:tcPr>
          <w:p>
            <w:pPr>
              <w:spacing w:after="0"/>
              <w:rPr>
                <w:sz w:val="10"/>
                <w:szCs w:val="10"/>
                <w:color w:val="auto"/>
              </w:rPr>
            </w:pPr>
          </w:p>
        </w:tc>
        <w:tc>
          <w:tcPr>
            <w:tcW w:w="6440" w:type="dxa"/>
            <w:vAlign w:val="bottom"/>
          </w:tcPr>
          <w:p>
            <w:pPr>
              <w:jc w:val="center"/>
              <w:ind w:right="2168"/>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c>
          <w:tcPr>
            <w:tcW w:w="1320" w:type="dxa"/>
            <w:vAlign w:val="bottom"/>
          </w:tcPr>
          <w:p>
            <w:pPr>
              <w:spacing w:after="0"/>
              <w:rPr>
                <w:sz w:val="10"/>
                <w:szCs w:val="10"/>
                <w:color w:val="auto"/>
              </w:rPr>
            </w:pPr>
          </w:p>
        </w:tc>
      </w:tr>
      <w:tr>
        <w:trPr>
          <w:trHeight w:val="142"/>
        </w:trPr>
        <w:tc>
          <w:tcPr>
            <w:tcW w:w="3540" w:type="dxa"/>
            <w:vAlign w:val="bottom"/>
          </w:tcPr>
          <w:p>
            <w:pPr>
              <w:spacing w:after="0"/>
              <w:rPr>
                <w:sz w:val="12"/>
                <w:szCs w:val="12"/>
                <w:color w:val="auto"/>
              </w:rPr>
            </w:pPr>
          </w:p>
        </w:tc>
        <w:tc>
          <w:tcPr>
            <w:tcW w:w="6440" w:type="dxa"/>
            <w:vAlign w:val="bottom"/>
          </w:tcPr>
          <w:p>
            <w:pPr>
              <w:jc w:val="center"/>
              <w:ind w:right="2188"/>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c>
          <w:tcPr>
            <w:tcW w:w="1320" w:type="dxa"/>
            <w:vAlign w:val="bottom"/>
          </w:tcPr>
          <w:p>
            <w:pPr>
              <w:spacing w:after="0"/>
              <w:rPr>
                <w:sz w:val="12"/>
                <w:szCs w:val="12"/>
                <w:color w:val="auto"/>
              </w:rPr>
            </w:pPr>
          </w:p>
        </w:tc>
      </w:tr>
      <w:tr>
        <w:trPr>
          <w:trHeight w:val="414"/>
        </w:trPr>
        <w:tc>
          <w:tcPr>
            <w:tcW w:w="3540" w:type="dxa"/>
            <w:vAlign w:val="bottom"/>
          </w:tcPr>
          <w:p>
            <w:pPr>
              <w:spacing w:after="0"/>
              <w:rPr>
                <w:sz w:val="20"/>
                <w:szCs w:val="20"/>
                <w:color w:val="auto"/>
              </w:rPr>
            </w:pPr>
            <w:r>
              <w:rPr>
                <w:rFonts w:ascii="Arial" w:cs="Arial" w:eastAsia="Arial" w:hAnsi="Arial"/>
                <w:sz w:val="11"/>
                <w:szCs w:val="11"/>
                <w:color w:val="auto"/>
              </w:rPr>
              <w:t>The schedule of principal payments on long-term debt is as follows:</w:t>
            </w:r>
          </w:p>
        </w:tc>
        <w:tc>
          <w:tcPr>
            <w:tcW w:w="6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3540" w:type="dxa"/>
            <w:vAlign w:val="bottom"/>
            <w:tcBorders>
              <w:bottom w:val="single" w:sz="8" w:color="DC202E"/>
            </w:tcBorders>
          </w:tcPr>
          <w:p>
            <w:pPr>
              <w:spacing w:after="0"/>
              <w:rPr>
                <w:sz w:val="18"/>
                <w:szCs w:val="18"/>
                <w:color w:val="auto"/>
              </w:rPr>
            </w:pPr>
          </w:p>
        </w:tc>
        <w:tc>
          <w:tcPr>
            <w:tcW w:w="6440" w:type="dxa"/>
            <w:vAlign w:val="bottom"/>
            <w:tcBorders>
              <w:bottom w:val="single" w:sz="8" w:color="DC202E"/>
            </w:tcBorders>
          </w:tcPr>
          <w:p>
            <w:pPr>
              <w:spacing w:after="0"/>
              <w:rPr>
                <w:sz w:val="18"/>
                <w:szCs w:val="18"/>
                <w:color w:val="auto"/>
              </w:rPr>
            </w:pPr>
          </w:p>
        </w:tc>
        <w:tc>
          <w:tcPr>
            <w:tcW w:w="132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w w:val="99"/>
              </w:rPr>
              <w:t>December 31, 2021</w:t>
            </w:r>
          </w:p>
        </w:tc>
      </w:tr>
      <w:tr>
        <w:trPr>
          <w:trHeight w:val="115"/>
        </w:trPr>
        <w:tc>
          <w:tcPr>
            <w:tcW w:w="35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2022</w:t>
            </w:r>
          </w:p>
        </w:tc>
        <w:tc>
          <w:tcPr>
            <w:tcW w:w="6440" w:type="dxa"/>
            <w:vAlign w:val="bottom"/>
            <w:tcBorders>
              <w:bottom w:val="single" w:sz="8" w:color="939598"/>
            </w:tcBorders>
          </w:tcPr>
          <w:p>
            <w:pPr>
              <w:jc w:val="right"/>
              <w:ind w:right="8"/>
              <w:spacing w:after="0"/>
              <w:rPr>
                <w:sz w:val="20"/>
                <w:szCs w:val="20"/>
                <w:color w:val="auto"/>
              </w:rPr>
            </w:pPr>
            <w:r>
              <w:rPr>
                <w:rFonts w:ascii="Arial" w:cs="Arial" w:eastAsia="Arial" w:hAnsi="Arial"/>
                <w:sz w:val="10"/>
                <w:szCs w:val="10"/>
                <w:color w:val="auto"/>
              </w:rPr>
              <w:t>$</w:t>
            </w: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1,803</w:t>
            </w:r>
          </w:p>
        </w:tc>
      </w:tr>
      <w:tr>
        <w:trPr>
          <w:trHeight w:val="115"/>
        </w:trPr>
        <w:tc>
          <w:tcPr>
            <w:tcW w:w="35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2023</w:t>
            </w:r>
          </w:p>
        </w:tc>
        <w:tc>
          <w:tcPr>
            <w:tcW w:w="64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1,810</w:t>
            </w:r>
          </w:p>
        </w:tc>
      </w:tr>
      <w:tr>
        <w:trPr>
          <w:trHeight w:val="115"/>
        </w:trPr>
        <w:tc>
          <w:tcPr>
            <w:tcW w:w="35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2024</w:t>
            </w:r>
          </w:p>
        </w:tc>
        <w:tc>
          <w:tcPr>
            <w:tcW w:w="64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1,344</w:t>
            </w:r>
          </w:p>
        </w:tc>
      </w:tr>
      <w:tr>
        <w:trPr>
          <w:trHeight w:val="115"/>
        </w:trPr>
        <w:tc>
          <w:tcPr>
            <w:tcW w:w="35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2025</w:t>
            </w:r>
          </w:p>
        </w:tc>
        <w:tc>
          <w:tcPr>
            <w:tcW w:w="64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1,258</w:t>
            </w:r>
          </w:p>
        </w:tc>
      </w:tr>
      <w:tr>
        <w:trPr>
          <w:trHeight w:val="115"/>
        </w:trPr>
        <w:tc>
          <w:tcPr>
            <w:tcW w:w="35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2026</w:t>
            </w:r>
          </w:p>
        </w:tc>
        <w:tc>
          <w:tcPr>
            <w:tcW w:w="64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1,503</w:t>
            </w:r>
          </w:p>
        </w:tc>
      </w:tr>
      <w:tr>
        <w:trPr>
          <w:trHeight w:val="115"/>
        </w:trPr>
        <w:tc>
          <w:tcPr>
            <w:tcW w:w="35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Thereafter</w:t>
            </w:r>
          </w:p>
        </w:tc>
        <w:tc>
          <w:tcPr>
            <w:tcW w:w="6440" w:type="dxa"/>
            <w:vAlign w:val="bottom"/>
            <w:tcBorders>
              <w:bottom w:val="single" w:sz="8" w:color="DC202E"/>
            </w:tcBorders>
          </w:tcPr>
          <w:p>
            <w:pPr>
              <w:spacing w:after="0"/>
              <w:rPr>
                <w:sz w:val="10"/>
                <w:szCs w:val="10"/>
                <w:color w:val="auto"/>
              </w:rPr>
            </w:pPr>
          </w:p>
        </w:tc>
        <w:tc>
          <w:tcPr>
            <w:tcW w:w="1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8,339</w:t>
            </w:r>
          </w:p>
        </w:tc>
      </w:tr>
      <w:tr>
        <w:trPr>
          <w:trHeight w:val="115"/>
        </w:trPr>
        <w:tc>
          <w:tcPr>
            <w:tcW w:w="3540" w:type="dxa"/>
            <w:vAlign w:val="bottom"/>
            <w:tcBorders>
              <w:bottom w:val="single" w:sz="8" w:color="939598"/>
            </w:tcBorders>
          </w:tcPr>
          <w:p>
            <w:pPr>
              <w:spacing w:after="0"/>
              <w:rPr>
                <w:sz w:val="10"/>
                <w:szCs w:val="10"/>
                <w:color w:val="auto"/>
              </w:rPr>
            </w:pPr>
          </w:p>
        </w:tc>
        <w:tc>
          <w:tcPr>
            <w:tcW w:w="6440" w:type="dxa"/>
            <w:vAlign w:val="bottom"/>
            <w:tcBorders>
              <w:bottom w:val="single" w:sz="8" w:color="939598"/>
            </w:tcBorders>
          </w:tcPr>
          <w:p>
            <w:pPr>
              <w:spacing w:after="0"/>
              <w:rPr>
                <w:sz w:val="10"/>
                <w:szCs w:val="10"/>
                <w:color w:val="auto"/>
              </w:rPr>
            </w:pPr>
          </w:p>
        </w:tc>
        <w:tc>
          <w:tcPr>
            <w:tcW w:w="1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b w:val="1"/>
                <w:bCs w:val="1"/>
                <w:color w:val="auto"/>
              </w:rPr>
              <w:t>16,057</w:t>
            </w:r>
          </w:p>
        </w:tc>
      </w:tr>
      <w:tr>
        <w:trPr>
          <w:trHeight w:val="115"/>
        </w:trPr>
        <w:tc>
          <w:tcPr>
            <w:tcW w:w="35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Less-current portion</w:t>
            </w:r>
          </w:p>
        </w:tc>
        <w:tc>
          <w:tcPr>
            <w:tcW w:w="6440" w:type="dxa"/>
            <w:vAlign w:val="bottom"/>
            <w:tcBorders>
              <w:bottom w:val="single" w:sz="8" w:color="DC202E"/>
            </w:tcBorders>
          </w:tcPr>
          <w:p>
            <w:pPr>
              <w:spacing w:after="0"/>
              <w:rPr>
                <w:sz w:val="10"/>
                <w:szCs w:val="10"/>
                <w:color w:val="auto"/>
              </w:rPr>
            </w:pPr>
          </w:p>
        </w:tc>
        <w:tc>
          <w:tcPr>
            <w:tcW w:w="1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(1,803)</w:t>
            </w:r>
          </w:p>
        </w:tc>
      </w:tr>
      <w:tr>
        <w:trPr>
          <w:trHeight w:val="115"/>
        </w:trPr>
        <w:tc>
          <w:tcPr>
            <w:tcW w:w="3540" w:type="dxa"/>
            <w:vAlign w:val="bottom"/>
            <w:tcBorders>
              <w:bottom w:val="single" w:sz="8" w:color="DC202E"/>
            </w:tcBorders>
          </w:tcPr>
          <w:p>
            <w:pPr>
              <w:spacing w:after="0"/>
              <w:rPr>
                <w:sz w:val="10"/>
                <w:szCs w:val="10"/>
                <w:color w:val="auto"/>
              </w:rPr>
            </w:pPr>
          </w:p>
        </w:tc>
        <w:tc>
          <w:tcPr>
            <w:tcW w:w="6440" w:type="dxa"/>
            <w:vAlign w:val="bottom"/>
            <w:tcBorders>
              <w:bottom w:val="single" w:sz="8" w:color="DC202E"/>
            </w:tcBorders>
          </w:tcPr>
          <w:p>
            <w:pPr>
              <w:jc w:val="right"/>
              <w:ind w:right="8"/>
              <w:spacing w:after="0"/>
              <w:rPr>
                <w:sz w:val="20"/>
                <w:szCs w:val="20"/>
                <w:color w:val="auto"/>
              </w:rPr>
            </w:pPr>
            <w:r>
              <w:rPr>
                <w:rFonts w:ascii="Arial" w:cs="Arial" w:eastAsia="Arial" w:hAnsi="Arial"/>
                <w:sz w:val="10"/>
                <w:szCs w:val="10"/>
                <w:b w:val="1"/>
                <w:bCs w:val="1"/>
                <w:color w:val="auto"/>
              </w:rPr>
              <w:t>$</w:t>
            </w:r>
          </w:p>
        </w:tc>
        <w:tc>
          <w:tcPr>
            <w:tcW w:w="1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14,254</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On November 1, 2021, the Company repaid its 1.85% notes due 2021.</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1"/>
          <w:szCs w:val="11"/>
          <w:color w:val="auto"/>
        </w:rPr>
        <w:t>On August 16, 2021 the Company issued $1.0 billion 1.10% Senior Notes due 2027 and $1.5 billion 1.75% Senior Notes due 2031 (collectively, the Notes). The Company may redeem the Notes at any time, and from time to time, in whole or in part, at the Company's option at the applicable make-whole redemption price. The Notes are senior unsecured and unsubordinated obligations of the Company and rank equally with each other and with all of the Company's existing and future senior unsecured debt and senior to all of the Company's subordinated debt. The offering provided gross proceeds of $2.5 billion, offset by $18.0 million in discount and closing costs related to the offering. The Company used the proceeds of the offering to redeem at par $2 billion of the $2.5 billion in outstanding principal amount of the callable 0.483% Senior Notes due 2022 and to redeem in full and at par $500 million callable Floating rate Senior Notes due 2022 that the Company issued in August 2020.</w:t>
      </w:r>
    </w:p>
    <w:p>
      <w:pPr>
        <w:spacing w:after="0" w:line="70" w:lineRule="exact"/>
        <w:rPr>
          <w:sz w:val="20"/>
          <w:szCs w:val="20"/>
          <w:color w:val="auto"/>
        </w:rPr>
      </w:pPr>
    </w:p>
    <w:p>
      <w:pPr>
        <w:jc w:val="both"/>
        <w:spacing w:after="0"/>
        <w:rPr>
          <w:sz w:val="20"/>
          <w:szCs w:val="20"/>
          <w:color w:val="auto"/>
        </w:rPr>
      </w:pPr>
      <w:r>
        <w:rPr>
          <w:rFonts w:ascii="Arial" w:cs="Arial" w:eastAsia="Arial" w:hAnsi="Arial"/>
          <w:sz w:val="11"/>
          <w:szCs w:val="11"/>
          <w:color w:val="auto"/>
        </w:rPr>
        <w:t>On March 31, 2021, the Company entered into a $4.0 billion Amended and Restated Five Year Credit Agreement (the 5-Year Credit Agreement) and a $1.5 billion 364-Day Credit Agreement (the 364-Day Credit Agreement). The 5-Year Credit Agreement amended and restated the previously reported $4.0 billion amended and restated five-year credit agreement dated as of April 26, 2019. Commitments under the 5-Year Credit Agreement can be increased pursuant to the terms of the 5-Year Credit Agreement to an aggregate amount not to exceed $4.5 billion. The 364-Day Credit Agreement replaced the $1.5 billion 364-day credit agreement dated as of April 10, 2020, which was terminated in accordance with its terms effective March 31, 2021. Amounts borrowed under the 364-Day Credit Agreement are required to be repaid no later than March 30, 2022, unless (i) Honeywell elects to convert all then outstanding amounts into a term loan, upon which such amounts shall be repaid in full on March 30, 2023, or (ii) the 364-Day Credit Agreement is terminated earlier pursuant to its terms. The 5-Year Credit Agreement and the 364-Day Credit Agreement are maintained for general corporate purposes. On November 18, 2021, the Company amended the 364-Day Credit Agreement and the 5-Year Credit Agreement to transition from LIBOR-based benchmark rates to the appropriate replacement rates.</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On March 1, 2021, the Company repaid its 4.25% notes due 2021.</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2021, there were no outstanding borrowings under the 364-Day Credit Agreement or 5-Year Credit Agreement.</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On August 19, 2020, the Company issued $2.5 billion 0.483% Senior Notes due 2022 and $500 million Floating Rate Senior Notes due 2022 (collectively, the 2022 Callable Notes). The $500 million Floating Rate Senior Notes due 2022 were issued at a variable interest rate equal to the three-month LIBOR plus the applicable margin of 0.23%. The Company may redeem the 2022 fixed rate notes at any time, in whole or in part, at the Company's option. The Company may redeem the 2022 floating rate notes at any time, in whole or in part, on or after August 19, 2021. The 2022 Callable Notes resulted in gross proceeds of $3.0 billion, offset by $10 million in discount and closing costs related to the offering. The Company used the proceeds of the offering to repay $3.0 billion of borrowings under the Term Loan Agreement (defined below).</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On May 18, 2020, the Company issued $1.25 billion 1.35% Senior Notes due 2025, $1.0 billion 1.95% Senior Notes due 2030, and $750 million 2.80% Senior Notes due 2050 (collectively, the 2020 Notes) to replace and, accordingly, permanently reduce $3.0 billion of undrawn commitments under the Term Loan Agreement, referenced below. The Company may redeem the 2020 Notes at any time, in whole or in part, at the Company's option. The offering provided gross proceeds of $3.0 billion, offset by $27 million in discount and closing costs related to the offering.</w:t>
      </w:r>
    </w:p>
    <w:p>
      <w:pPr>
        <w:spacing w:after="0" w:line="67"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On March 10, 2020, the Company issued €500 million 0.00% Senior Notes due 2024 and €500 million 0.75% Senior Notes due 2032 (collectively, the 2020 Euro Notes). The offering provided gross proceeds of $1.1 billion, offset by $9 million in discount and closing costs related to the offering.</w:t>
      </w:r>
    </w:p>
    <w:p>
      <w:pPr>
        <w:spacing w:after="0" w:line="6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The 2022 Callable Notes, 2020 Notes, and 2020 Euro Notes are senior unsecured and unsubordinated obligations of the Company and rank equally with each other and with all of the Company's existing and future senior unsecured debt and senior to all of the Company's subordinated debt.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77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9" w:name="page80"/>
    <w:bookmarkEnd w:id="79"/>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On March 26, 2020, the Company entered into a Delayed Draw Term Loan Agreement (the Term Loan Agreement) with a syndicate of banks. The Term Loan Agreement provided for a two-year, delayed draw term loan facility in the aggregate principal amount of $6.0 billion. Effective May 22, 2020, the Company permanently reduced the undrawn commitments under the Term Loan Agreement by an aggregate amount of $3.0 billion. On June 24, 2020, the Company drew on the remaining $3.0 billion of commitments under the Term Loan Agreement at a variable interest rate equal to the one-month LIBOR plus the applicable margin of 1.25%. The draw provided gross proceeds of $3.0 billion, offset by $7 million in closing costs related to the borrowing. On August 20, 2020, the Company prepaid the outstanding principal amount of $3.0 billion, using the proceeds from the offering of the 2022 Callable Notes.</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On February 21, 2020, the Company paid its 0.65% Euro notes due 2020.</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D7282F"/>
        </w:rPr>
        <w:t>NOTE 10. LEASES</w:t>
      </w:r>
    </w:p>
    <w:p>
      <w:pPr>
        <w:spacing w:after="0" w:line="155" w:lineRule="exact"/>
        <w:rPr>
          <w:sz w:val="20"/>
          <w:szCs w:val="20"/>
          <w:color w:val="auto"/>
        </w:rPr>
      </w:pPr>
    </w:p>
    <w:p>
      <w:pPr>
        <w:jc w:val="both"/>
        <w:ind w:right="20"/>
        <w:spacing w:after="0" w:line="273" w:lineRule="auto"/>
        <w:rPr>
          <w:sz w:val="20"/>
          <w:szCs w:val="20"/>
          <w:color w:val="auto"/>
        </w:rPr>
      </w:pPr>
      <w:r>
        <w:rPr>
          <w:rFonts w:ascii="Arial" w:cs="Arial" w:eastAsia="Arial" w:hAnsi="Arial"/>
          <w:sz w:val="10"/>
          <w:szCs w:val="10"/>
          <w:color w:val="auto"/>
        </w:rPr>
        <w:t>A significant portion of the Company's operating and finance lease portfolio includes corporate offices, research and development facilities, manufacturing sites, information technology equipment, and automobiles. The majority of the Company's leases have remaining lease terms of 1 year to 20 years, some of which include options to extend the leases for 5 years or more. Operating lease ROU assets are included in Other assets. The current portion of operating lease liabilities are included in Accrued liabilities, and the non-current portion of operating lease liabilities are included in Other liabilities on the Consolidated Balance Sheet. Finance lease ROU assets are included in Property, plant and equipment—net. The current portion of finance lease liabilities are included in Current maturities of long-term debt, and the non-current portion of finance lease liabilities are included in Long-term debt on the Consolidated Balance Sheet.</w:t>
      </w:r>
    </w:p>
    <w:p>
      <w:pPr>
        <w:spacing w:after="0" w:line="53"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A portion of the Company's real estate leases is generally subject to annual changes in the Consumer Price Index (CPI). The changes to the CPI are treated as variable lease payments and recognized in the period in which the obligation for those payments was incurred. In addition, a subset of the Company's automobile leases are considered variable. The variable lease payments for such automobiles leases are based on actual mileage incurred at the stated contractual rate and recognized in the period in which the obligation for those payments was incurred.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040" w:type="dxa"/>
            <w:vAlign w:val="bottom"/>
          </w:tcPr>
          <w:p>
            <w:pPr>
              <w:spacing w:after="0"/>
              <w:rPr>
                <w:sz w:val="10"/>
                <w:szCs w:val="10"/>
                <w:color w:val="auto"/>
              </w:rPr>
            </w:pPr>
          </w:p>
        </w:tc>
        <w:tc>
          <w:tcPr>
            <w:tcW w:w="1920" w:type="dxa"/>
            <w:vAlign w:val="bottom"/>
            <w:tcBorders>
              <w:bottom w:val="single" w:sz="8" w:color="DC202E"/>
            </w:tcBorders>
            <w:gridSpan w:val="3"/>
          </w:tcPr>
          <w:p>
            <w:pPr>
              <w:jc w:val="right"/>
              <w:ind w:right="132"/>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DC202E"/>
            </w:tcBorders>
          </w:tcPr>
          <w:p>
            <w:pPr>
              <w:spacing w:after="0"/>
              <w:rPr>
                <w:sz w:val="10"/>
                <w:szCs w:val="10"/>
                <w:color w:val="auto"/>
              </w:rPr>
            </w:pPr>
          </w:p>
        </w:tc>
      </w:tr>
      <w:tr>
        <w:trPr>
          <w:trHeight w:val="115"/>
        </w:trPr>
        <w:tc>
          <w:tcPr>
            <w:tcW w:w="9040" w:type="dxa"/>
            <w:vAlign w:val="bottom"/>
            <w:tcBorders>
              <w:bottom w:val="single" w:sz="8" w:color="DC202E"/>
            </w:tcBorders>
          </w:tcPr>
          <w:p>
            <w:pPr>
              <w:spacing w:after="0"/>
              <w:rPr>
                <w:sz w:val="10"/>
                <w:szCs w:val="10"/>
                <w:color w:val="auto"/>
              </w:rPr>
            </w:pPr>
          </w:p>
        </w:tc>
        <w:tc>
          <w:tcPr>
            <w:tcW w:w="8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DC202E"/>
            </w:tcBorders>
          </w:tcPr>
          <w:p>
            <w:pPr>
              <w:spacing w:after="0"/>
              <w:rPr>
                <w:sz w:val="10"/>
                <w:szCs w:val="10"/>
                <w:color w:val="auto"/>
              </w:rPr>
            </w:pPr>
          </w:p>
        </w:tc>
      </w:tr>
      <w:tr>
        <w:trPr>
          <w:trHeight w:val="115"/>
        </w:trPr>
        <w:tc>
          <w:tcPr>
            <w:tcW w:w="90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Operating lease cost</w:t>
            </w:r>
          </w:p>
        </w:tc>
        <w:tc>
          <w:tcPr>
            <w:tcW w:w="800" w:type="dxa"/>
            <w:vAlign w:val="bottom"/>
            <w:tcBorders>
              <w:bottom w:val="single" w:sz="8" w:color="939598"/>
            </w:tcBorders>
          </w:tcPr>
          <w:p>
            <w:pPr>
              <w:jc w:val="right"/>
              <w:ind w:right="47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228</w:t>
            </w:r>
          </w:p>
        </w:tc>
        <w:tc>
          <w:tcPr>
            <w:tcW w:w="700" w:type="dxa"/>
            <w:vAlign w:val="bottom"/>
            <w:tcBorders>
              <w:bottom w:val="single" w:sz="8" w:color="939598"/>
            </w:tcBorders>
          </w:tcPr>
          <w:p>
            <w:pPr>
              <w:jc w:val="right"/>
              <w:ind w:right="4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214</w:t>
            </w:r>
          </w:p>
        </w:tc>
      </w:tr>
      <w:tr>
        <w:trPr>
          <w:trHeight w:val="115"/>
        </w:trPr>
        <w:tc>
          <w:tcPr>
            <w:tcW w:w="90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Variable lease cost</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w:t>
            </w: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w:t>
            </w:r>
          </w:p>
        </w:tc>
      </w:tr>
      <w:tr>
        <w:trPr>
          <w:trHeight w:val="115"/>
        </w:trPr>
        <w:tc>
          <w:tcPr>
            <w:tcW w:w="90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Short-term lease cost</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15</w:t>
            </w: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w:t>
            </w:r>
          </w:p>
        </w:tc>
      </w:tr>
      <w:tr>
        <w:trPr>
          <w:trHeight w:val="115"/>
        </w:trPr>
        <w:tc>
          <w:tcPr>
            <w:tcW w:w="904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Finance lease cost:</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r>
      <w:tr>
        <w:trPr>
          <w:trHeight w:val="115"/>
        </w:trPr>
        <w:tc>
          <w:tcPr>
            <w:tcW w:w="9040" w:type="dxa"/>
            <w:vAlign w:val="bottom"/>
            <w:tcBorders>
              <w:bottom w:val="single" w:sz="8" w:color="939598"/>
            </w:tcBorders>
          </w:tcPr>
          <w:p>
            <w:pPr>
              <w:ind w:left="300"/>
              <w:spacing w:after="0"/>
              <w:rPr>
                <w:sz w:val="20"/>
                <w:szCs w:val="20"/>
                <w:color w:val="auto"/>
              </w:rPr>
            </w:pPr>
            <w:r>
              <w:rPr>
                <w:rFonts w:ascii="Arial" w:cs="Arial" w:eastAsia="Arial" w:hAnsi="Arial"/>
                <w:sz w:val="10"/>
                <w:szCs w:val="10"/>
                <w:color w:val="auto"/>
              </w:rPr>
              <w:t>Amortization of right-of-use assets</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65</w:t>
            </w: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69</w:t>
            </w:r>
          </w:p>
        </w:tc>
      </w:tr>
      <w:tr>
        <w:trPr>
          <w:trHeight w:val="115"/>
        </w:trPr>
        <w:tc>
          <w:tcPr>
            <w:tcW w:w="9040" w:type="dxa"/>
            <w:vAlign w:val="bottom"/>
            <w:tcBorders>
              <w:bottom w:val="single" w:sz="8" w:color="DC202E"/>
            </w:tcBorders>
          </w:tcPr>
          <w:p>
            <w:pPr>
              <w:ind w:left="300"/>
              <w:spacing w:after="0"/>
              <w:rPr>
                <w:sz w:val="20"/>
                <w:szCs w:val="20"/>
                <w:color w:val="auto"/>
              </w:rPr>
            </w:pPr>
            <w:r>
              <w:rPr>
                <w:rFonts w:ascii="Arial" w:cs="Arial" w:eastAsia="Arial" w:hAnsi="Arial"/>
                <w:sz w:val="10"/>
                <w:szCs w:val="10"/>
                <w:color w:val="auto"/>
              </w:rPr>
              <w:t>Interest on lease liability</w:t>
            </w:r>
          </w:p>
        </w:tc>
        <w:tc>
          <w:tcPr>
            <w:tcW w:w="80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24</w:t>
            </w:r>
          </w:p>
        </w:tc>
        <w:tc>
          <w:tcPr>
            <w:tcW w:w="7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27</w:t>
            </w:r>
          </w:p>
        </w:tc>
      </w:tr>
      <w:tr>
        <w:trPr>
          <w:trHeight w:val="115"/>
        </w:trPr>
        <w:tc>
          <w:tcPr>
            <w:tcW w:w="904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Total finance lease cost</w:t>
            </w:r>
          </w:p>
        </w:tc>
        <w:tc>
          <w:tcPr>
            <w:tcW w:w="80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89</w:t>
            </w:r>
          </w:p>
        </w:tc>
        <w:tc>
          <w:tcPr>
            <w:tcW w:w="7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96</w:t>
            </w:r>
          </w:p>
        </w:tc>
      </w:tr>
      <w:tr>
        <w:trPr>
          <w:trHeight w:val="115"/>
        </w:trPr>
        <w:tc>
          <w:tcPr>
            <w:tcW w:w="90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lease cost</w:t>
            </w:r>
          </w:p>
        </w:tc>
        <w:tc>
          <w:tcPr>
            <w:tcW w:w="800" w:type="dxa"/>
            <w:vAlign w:val="bottom"/>
            <w:tcBorders>
              <w:bottom w:val="single" w:sz="8" w:color="DC202E"/>
            </w:tcBorders>
          </w:tcPr>
          <w:p>
            <w:pPr>
              <w:jc w:val="right"/>
              <w:ind w:right="47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346</w:t>
            </w:r>
          </w:p>
        </w:tc>
        <w:tc>
          <w:tcPr>
            <w:tcW w:w="70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345</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1"/>
          <w:szCs w:val="11"/>
          <w:color w:val="auto"/>
        </w:rPr>
        <w:t>Supplemental cash flow information related to leases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1920" w:type="dxa"/>
            <w:vAlign w:val="bottom"/>
            <w:tcBorders>
              <w:bottom w:val="single" w:sz="8" w:color="DC202E"/>
            </w:tcBorders>
            <w:gridSpan w:val="3"/>
          </w:tcPr>
          <w:p>
            <w:pPr>
              <w:jc w:val="right"/>
              <w:ind w:right="132"/>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DC202E"/>
            </w:tcBorders>
          </w:tcPr>
          <w:p>
            <w:pPr>
              <w:spacing w:after="0"/>
              <w:rPr>
                <w:sz w:val="10"/>
                <w:szCs w:val="10"/>
                <w:color w:val="auto"/>
              </w:rPr>
            </w:pPr>
          </w:p>
        </w:tc>
      </w:tr>
      <w:tr>
        <w:trPr>
          <w:trHeight w:val="115"/>
        </w:trPr>
        <w:tc>
          <w:tcPr>
            <w:tcW w:w="140" w:type="dxa"/>
            <w:vAlign w:val="bottom"/>
            <w:tcBorders>
              <w:bottom w:val="single" w:sz="8" w:color="DC202E"/>
            </w:tcBorders>
          </w:tcPr>
          <w:p>
            <w:pPr>
              <w:spacing w:after="0"/>
              <w:rPr>
                <w:sz w:val="10"/>
                <w:szCs w:val="10"/>
                <w:color w:val="auto"/>
              </w:rPr>
            </w:pPr>
          </w:p>
        </w:tc>
        <w:tc>
          <w:tcPr>
            <w:tcW w:w="8900" w:type="dxa"/>
            <w:vAlign w:val="bottom"/>
            <w:tcBorders>
              <w:bottom w:val="single" w:sz="8" w:color="DC202E"/>
            </w:tcBorders>
          </w:tcPr>
          <w:p>
            <w:pPr>
              <w:spacing w:after="0"/>
              <w:rPr>
                <w:sz w:val="10"/>
                <w:szCs w:val="10"/>
                <w:color w:val="auto"/>
              </w:rPr>
            </w:pPr>
          </w:p>
        </w:tc>
        <w:tc>
          <w:tcPr>
            <w:tcW w:w="8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DC202E"/>
            </w:tcBorders>
          </w:tcPr>
          <w:p>
            <w:pPr>
              <w:spacing w:after="0"/>
              <w:rPr>
                <w:sz w:val="10"/>
                <w:szCs w:val="10"/>
                <w:color w:val="auto"/>
              </w:rPr>
            </w:pPr>
          </w:p>
        </w:tc>
      </w:tr>
      <w:tr>
        <w:trPr>
          <w:trHeight w:val="115"/>
        </w:trPr>
        <w:tc>
          <w:tcPr>
            <w:tcW w:w="90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Cash paid for amounts included in the measurement of lease liabilities:</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r>
      <w:tr>
        <w:trPr>
          <w:trHeight w:val="115"/>
        </w:trPr>
        <w:tc>
          <w:tcPr>
            <w:tcW w:w="140" w:type="dxa"/>
            <w:vAlign w:val="bottom"/>
            <w:tcBorders>
              <w:bottom w:val="single" w:sz="8" w:color="939598"/>
            </w:tcBorders>
          </w:tcPr>
          <w:p>
            <w:pPr>
              <w:spacing w:after="0"/>
              <w:rPr>
                <w:sz w:val="10"/>
                <w:szCs w:val="10"/>
                <w:color w:val="auto"/>
              </w:rPr>
            </w:pPr>
          </w:p>
        </w:tc>
        <w:tc>
          <w:tcPr>
            <w:tcW w:w="89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Operating cash flows for operating leases</w:t>
            </w:r>
          </w:p>
        </w:tc>
        <w:tc>
          <w:tcPr>
            <w:tcW w:w="800" w:type="dxa"/>
            <w:vAlign w:val="bottom"/>
            <w:tcBorders>
              <w:bottom w:val="single" w:sz="8" w:color="939598"/>
            </w:tcBorders>
          </w:tcPr>
          <w:p>
            <w:pPr>
              <w:jc w:val="right"/>
              <w:ind w:right="47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215</w:t>
            </w:r>
          </w:p>
        </w:tc>
        <w:tc>
          <w:tcPr>
            <w:tcW w:w="700" w:type="dxa"/>
            <w:vAlign w:val="bottom"/>
            <w:tcBorders>
              <w:bottom w:val="single" w:sz="8" w:color="939598"/>
            </w:tcBorders>
          </w:tcPr>
          <w:p>
            <w:pPr>
              <w:jc w:val="right"/>
              <w:ind w:right="4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206</w:t>
            </w:r>
          </w:p>
        </w:tc>
      </w:tr>
      <w:tr>
        <w:trPr>
          <w:trHeight w:val="115"/>
        </w:trPr>
        <w:tc>
          <w:tcPr>
            <w:tcW w:w="140" w:type="dxa"/>
            <w:vAlign w:val="bottom"/>
            <w:tcBorders>
              <w:bottom w:val="single" w:sz="8" w:color="939598"/>
            </w:tcBorders>
          </w:tcPr>
          <w:p>
            <w:pPr>
              <w:spacing w:after="0"/>
              <w:rPr>
                <w:sz w:val="10"/>
                <w:szCs w:val="10"/>
                <w:color w:val="auto"/>
              </w:rPr>
            </w:pPr>
          </w:p>
        </w:tc>
        <w:tc>
          <w:tcPr>
            <w:tcW w:w="89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Operating cash flows for finance leases</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24</w:t>
            </w: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32</w:t>
            </w:r>
          </w:p>
        </w:tc>
      </w:tr>
      <w:tr>
        <w:trPr>
          <w:trHeight w:val="115"/>
        </w:trPr>
        <w:tc>
          <w:tcPr>
            <w:tcW w:w="140" w:type="dxa"/>
            <w:vAlign w:val="bottom"/>
            <w:tcBorders>
              <w:bottom w:val="single" w:sz="8" w:color="939598"/>
            </w:tcBorders>
          </w:tcPr>
          <w:p>
            <w:pPr>
              <w:spacing w:after="0"/>
              <w:rPr>
                <w:sz w:val="10"/>
                <w:szCs w:val="10"/>
                <w:color w:val="auto"/>
              </w:rPr>
            </w:pPr>
          </w:p>
        </w:tc>
        <w:tc>
          <w:tcPr>
            <w:tcW w:w="89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Financing cash flows for finance leases</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67</w:t>
            </w: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65</w:t>
            </w:r>
          </w:p>
        </w:tc>
      </w:tr>
      <w:tr>
        <w:trPr>
          <w:trHeight w:val="115"/>
        </w:trPr>
        <w:tc>
          <w:tcPr>
            <w:tcW w:w="90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Right-of-use assets obtained in exchange for lease obligations:</w:t>
            </w:r>
          </w:p>
        </w:tc>
        <w:tc>
          <w:tcPr>
            <w:tcW w:w="80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r>
      <w:tr>
        <w:trPr>
          <w:trHeight w:val="115"/>
        </w:trPr>
        <w:tc>
          <w:tcPr>
            <w:tcW w:w="140" w:type="dxa"/>
            <w:vAlign w:val="bottom"/>
            <w:tcBorders>
              <w:bottom w:val="single" w:sz="8" w:color="939598"/>
            </w:tcBorders>
          </w:tcPr>
          <w:p>
            <w:pPr>
              <w:spacing w:after="0"/>
              <w:rPr>
                <w:sz w:val="10"/>
                <w:szCs w:val="10"/>
                <w:color w:val="auto"/>
              </w:rPr>
            </w:pPr>
          </w:p>
        </w:tc>
        <w:tc>
          <w:tcPr>
            <w:tcW w:w="89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Operating leases</w:t>
            </w:r>
          </w:p>
        </w:tc>
        <w:tc>
          <w:tcPr>
            <w:tcW w:w="800" w:type="dxa"/>
            <w:vAlign w:val="bottom"/>
            <w:tcBorders>
              <w:bottom w:val="single" w:sz="8" w:color="939598"/>
            </w:tcBorders>
          </w:tcPr>
          <w:p>
            <w:pPr>
              <w:jc w:val="right"/>
              <w:ind w:right="47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350</w:t>
            </w:r>
          </w:p>
        </w:tc>
        <w:tc>
          <w:tcPr>
            <w:tcW w:w="700" w:type="dxa"/>
            <w:vAlign w:val="bottom"/>
            <w:tcBorders>
              <w:bottom w:val="single" w:sz="8" w:color="939598"/>
            </w:tcBorders>
          </w:tcPr>
          <w:p>
            <w:pPr>
              <w:jc w:val="right"/>
              <w:ind w:right="45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245</w:t>
            </w:r>
          </w:p>
        </w:tc>
      </w:tr>
      <w:tr>
        <w:trPr>
          <w:trHeight w:val="115"/>
        </w:trPr>
        <w:tc>
          <w:tcPr>
            <w:tcW w:w="140" w:type="dxa"/>
            <w:vAlign w:val="bottom"/>
            <w:tcBorders>
              <w:bottom w:val="single" w:sz="8" w:color="DC202E"/>
            </w:tcBorders>
          </w:tcPr>
          <w:p>
            <w:pPr>
              <w:spacing w:after="0"/>
              <w:rPr>
                <w:sz w:val="10"/>
                <w:szCs w:val="10"/>
                <w:color w:val="auto"/>
              </w:rPr>
            </w:pPr>
          </w:p>
        </w:tc>
        <w:tc>
          <w:tcPr>
            <w:tcW w:w="89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Finance leases</w:t>
            </w:r>
          </w:p>
        </w:tc>
        <w:tc>
          <w:tcPr>
            <w:tcW w:w="80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32</w:t>
            </w:r>
          </w:p>
        </w:tc>
        <w:tc>
          <w:tcPr>
            <w:tcW w:w="70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27</w:t>
            </w:r>
          </w:p>
        </w:tc>
      </w:tr>
      <w:tr>
        <w:trPr>
          <w:trHeight w:val="255"/>
        </w:trPr>
        <w:tc>
          <w:tcPr>
            <w:tcW w:w="9040" w:type="dxa"/>
            <w:vAlign w:val="bottom"/>
            <w:gridSpan w:val="2"/>
          </w:tcPr>
          <w:p>
            <w:pPr>
              <w:spacing w:after="0"/>
              <w:rPr>
                <w:sz w:val="20"/>
                <w:szCs w:val="20"/>
                <w:color w:val="auto"/>
              </w:rPr>
            </w:pPr>
            <w:r>
              <w:rPr>
                <w:rFonts w:ascii="Arial" w:cs="Arial" w:eastAsia="Arial" w:hAnsi="Arial"/>
                <w:sz w:val="11"/>
                <w:szCs w:val="11"/>
                <w:color w:val="auto"/>
              </w:rPr>
              <w:t>Supplemental balance sheet information related to leases was as follows:</w:t>
            </w: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427"/>
        </w:trPr>
        <w:tc>
          <w:tcPr>
            <w:tcW w:w="140" w:type="dxa"/>
            <w:vAlign w:val="bottom"/>
          </w:tcPr>
          <w:p>
            <w:pPr>
              <w:spacing w:after="0"/>
              <w:rPr>
                <w:sz w:val="20"/>
                <w:szCs w:val="20"/>
                <w:color w:val="auto"/>
              </w:rPr>
            </w:pPr>
            <w:r>
              <w:rPr>
                <w:rFonts w:ascii="Arial" w:cs="Arial" w:eastAsia="Arial" w:hAnsi="Arial"/>
                <w:sz w:val="12"/>
                <w:szCs w:val="12"/>
                <w:b w:val="1"/>
                <w:bCs w:val="1"/>
                <w:color w:val="D7282F"/>
                <w:w w:val="89"/>
              </w:rPr>
              <w:t>78</w:t>
            </w:r>
          </w:p>
        </w:tc>
        <w:tc>
          <w:tcPr>
            <w:tcW w:w="8900" w:type="dxa"/>
            <w:vAlign w:val="bottom"/>
          </w:tcPr>
          <w:p>
            <w:pPr>
              <w:ind w:left="320"/>
              <w:spacing w:after="0"/>
              <w:rPr>
                <w:sz w:val="20"/>
                <w:szCs w:val="20"/>
                <w:color w:val="auto"/>
              </w:rPr>
            </w:pPr>
            <w:r>
              <w:rPr>
                <w:rFonts w:ascii="Arial" w:cs="Arial" w:eastAsia="Arial" w:hAnsi="Arial"/>
                <w:sz w:val="10"/>
                <w:szCs w:val="10"/>
                <w:color w:val="auto"/>
              </w:rPr>
              <w:t>Honeywell International Inc.</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44"/>
        </w:trPr>
        <w:tc>
          <w:tcPr>
            <w:tcW w:w="140" w:type="dxa"/>
            <w:vAlign w:val="bottom"/>
            <w:tcBorders>
              <w:bottom w:val="single" w:sz="8" w:color="9A9A9A"/>
            </w:tcBorders>
          </w:tcPr>
          <w:p>
            <w:pPr>
              <w:spacing w:after="0"/>
              <w:rPr>
                <w:sz w:val="12"/>
                <w:szCs w:val="12"/>
                <w:color w:val="auto"/>
              </w:rPr>
            </w:pPr>
          </w:p>
        </w:tc>
        <w:tc>
          <w:tcPr>
            <w:tcW w:w="89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0" w:name="page81"/>
    <w:bookmarkEnd w:id="80"/>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180" w:type="dxa"/>
            <w:vAlign w:val="bottom"/>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Borders>
              <w:bottom w:val="single" w:sz="8" w:color="DC202E"/>
            </w:tcBorders>
          </w:tcPr>
          <w:p>
            <w:pPr>
              <w:spacing w:after="0"/>
              <w:rPr>
                <w:sz w:val="10"/>
                <w:szCs w:val="10"/>
                <w:color w:val="auto"/>
              </w:rPr>
            </w:pPr>
          </w:p>
        </w:tc>
      </w:tr>
      <w:tr>
        <w:trPr>
          <w:trHeight w:val="115"/>
        </w:trPr>
        <w:tc>
          <w:tcPr>
            <w:tcW w:w="91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15"/>
        </w:trPr>
        <w:tc>
          <w:tcPr>
            <w:tcW w:w="91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Operating leases:</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r>
      <w:tr>
        <w:trPr>
          <w:trHeight w:val="115"/>
        </w:trPr>
        <w:tc>
          <w:tcPr>
            <w:tcW w:w="9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Other assets</w:t>
            </w:r>
          </w:p>
        </w:tc>
        <w:tc>
          <w:tcPr>
            <w:tcW w:w="6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947</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773</w:t>
            </w:r>
          </w:p>
        </w:tc>
      </w:tr>
      <w:tr>
        <w:trPr>
          <w:trHeight w:val="115"/>
        </w:trPr>
        <w:tc>
          <w:tcPr>
            <w:tcW w:w="91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Accrued liabilities</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185</w:t>
            </w: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187</w:t>
            </w:r>
          </w:p>
        </w:tc>
      </w:tr>
      <w:tr>
        <w:trPr>
          <w:trHeight w:val="115"/>
        </w:trPr>
        <w:tc>
          <w:tcPr>
            <w:tcW w:w="91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Other liabilities</w:t>
            </w:r>
          </w:p>
        </w:tc>
        <w:tc>
          <w:tcPr>
            <w:tcW w:w="66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color w:val="auto"/>
              </w:rPr>
              <w:t>847</w:t>
            </w:r>
          </w:p>
        </w:tc>
        <w:tc>
          <w:tcPr>
            <w:tcW w:w="2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641</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operating lease liabilities</w:t>
            </w: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w w:val="95"/>
              </w:rPr>
              <w:t>1,032</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828</w:t>
            </w:r>
          </w:p>
        </w:tc>
      </w:tr>
      <w:tr>
        <w:trPr>
          <w:trHeight w:val="115"/>
        </w:trPr>
        <w:tc>
          <w:tcPr>
            <w:tcW w:w="91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Finance leases:</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r>
      <w:tr>
        <w:trPr>
          <w:trHeight w:val="115"/>
        </w:trPr>
        <w:tc>
          <w:tcPr>
            <w:tcW w:w="91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Property, plant and equipment</w:t>
            </w:r>
          </w:p>
        </w:tc>
        <w:tc>
          <w:tcPr>
            <w:tcW w:w="6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325</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357</w:t>
            </w:r>
          </w:p>
        </w:tc>
      </w:tr>
      <w:tr>
        <w:trPr>
          <w:trHeight w:val="115"/>
        </w:trPr>
        <w:tc>
          <w:tcPr>
            <w:tcW w:w="91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Accumulated depreciation</w:t>
            </w:r>
          </w:p>
        </w:tc>
        <w:tc>
          <w:tcPr>
            <w:tcW w:w="66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(177)</w:t>
            </w:r>
          </w:p>
        </w:tc>
        <w:tc>
          <w:tcPr>
            <w:tcW w:w="2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(180)</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Property, plant and equipment—net</w:t>
            </w: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rPr>
              <w:t>148</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177</w:t>
            </w:r>
          </w:p>
        </w:tc>
      </w:tr>
      <w:tr>
        <w:trPr>
          <w:trHeight w:val="115"/>
        </w:trPr>
        <w:tc>
          <w:tcPr>
            <w:tcW w:w="91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Current maturities of long-term debt</w:t>
            </w:r>
          </w:p>
        </w:tc>
        <w:tc>
          <w:tcPr>
            <w:tcW w:w="6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57</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60</w:t>
            </w:r>
          </w:p>
        </w:tc>
      </w:tr>
      <w:tr>
        <w:trPr>
          <w:trHeight w:val="115"/>
        </w:trPr>
        <w:tc>
          <w:tcPr>
            <w:tcW w:w="91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Long-term debt</w:t>
            </w:r>
          </w:p>
        </w:tc>
        <w:tc>
          <w:tcPr>
            <w:tcW w:w="66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color w:val="auto"/>
              </w:rPr>
              <w:t>99</w:t>
            </w:r>
          </w:p>
        </w:tc>
        <w:tc>
          <w:tcPr>
            <w:tcW w:w="2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124</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finance lease liabilities</w:t>
            </w: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rPr>
              <w:t>156</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184</w:t>
            </w:r>
          </w:p>
        </w:tc>
      </w:tr>
      <w:tr>
        <w:trPr>
          <w:trHeight w:val="115"/>
        </w:trPr>
        <w:tc>
          <w:tcPr>
            <w:tcW w:w="9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Weighted-average remaining lease term:</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r>
      <w:tr>
        <w:trPr>
          <w:trHeight w:val="115"/>
        </w:trPr>
        <w:tc>
          <w:tcPr>
            <w:tcW w:w="91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Operating leases</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9 years</w:t>
            </w: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 years</w:t>
            </w:r>
          </w:p>
        </w:tc>
      </w:tr>
      <w:tr>
        <w:trPr>
          <w:trHeight w:val="115"/>
        </w:trPr>
        <w:tc>
          <w:tcPr>
            <w:tcW w:w="91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Finance leases</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 years</w:t>
            </w: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 years</w:t>
            </w:r>
          </w:p>
        </w:tc>
      </w:tr>
      <w:tr>
        <w:trPr>
          <w:trHeight w:val="115"/>
        </w:trPr>
        <w:tc>
          <w:tcPr>
            <w:tcW w:w="9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Weighted-average discount rate:</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spacing w:after="0"/>
              <w:rPr>
                <w:sz w:val="10"/>
                <w:szCs w:val="10"/>
                <w:color w:val="auto"/>
              </w:rPr>
            </w:pPr>
          </w:p>
        </w:tc>
      </w:tr>
      <w:tr>
        <w:trPr>
          <w:trHeight w:val="115"/>
        </w:trPr>
        <w:tc>
          <w:tcPr>
            <w:tcW w:w="91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Operating leases</w:t>
            </w:r>
          </w:p>
        </w:tc>
        <w:tc>
          <w:tcPr>
            <w:tcW w:w="6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2.3 %</w:t>
            </w:r>
          </w:p>
        </w:tc>
        <w:tc>
          <w:tcPr>
            <w:tcW w:w="26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2.9 %</w:t>
            </w:r>
          </w:p>
        </w:tc>
      </w:tr>
      <w:tr>
        <w:trPr>
          <w:trHeight w:val="115"/>
        </w:trPr>
        <w:tc>
          <w:tcPr>
            <w:tcW w:w="918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Finance leases</w:t>
            </w:r>
          </w:p>
        </w:tc>
        <w:tc>
          <w:tcPr>
            <w:tcW w:w="66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11.0 %</w:t>
            </w:r>
          </w:p>
        </w:tc>
        <w:tc>
          <w:tcPr>
            <w:tcW w:w="26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16.3 %</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2021, maturities of lease liabilities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5120" w:type="dxa"/>
            <w:vAlign w:val="bottom"/>
            <w:gridSpan w:val="2"/>
          </w:tcPr>
          <w:p>
            <w:pPr>
              <w:jc w:val="right"/>
              <w:ind w:right="272"/>
              <w:spacing w:after="0"/>
              <w:rPr>
                <w:sz w:val="20"/>
                <w:szCs w:val="20"/>
                <w:color w:val="auto"/>
              </w:rPr>
            </w:pPr>
            <w:r>
              <w:rPr>
                <w:rFonts w:ascii="Arial" w:cs="Arial" w:eastAsia="Arial" w:hAnsi="Arial"/>
                <w:sz w:val="10"/>
                <w:szCs w:val="10"/>
                <w:b w:val="1"/>
                <w:bCs w:val="1"/>
                <w:color w:val="auto"/>
              </w:rPr>
              <w:t>Operating</w:t>
            </w:r>
          </w:p>
        </w:tc>
        <w:tc>
          <w:tcPr>
            <w:tcW w:w="920" w:type="dxa"/>
            <w:vAlign w:val="bottom"/>
            <w:gridSpan w:val="2"/>
            <w:vMerge w:val="restart"/>
          </w:tcPr>
          <w:p>
            <w:pPr>
              <w:jc w:val="right"/>
              <w:ind w:right="91"/>
              <w:spacing w:after="0"/>
              <w:rPr>
                <w:sz w:val="20"/>
                <w:szCs w:val="20"/>
                <w:color w:val="auto"/>
              </w:rPr>
            </w:pPr>
            <w:r>
              <w:rPr>
                <w:rFonts w:ascii="Arial" w:cs="Arial" w:eastAsia="Arial" w:hAnsi="Arial"/>
                <w:sz w:val="10"/>
                <w:szCs w:val="10"/>
                <w:b w:val="1"/>
                <w:bCs w:val="1"/>
                <w:color w:val="auto"/>
              </w:rPr>
              <w:t>Finance Leases</w:t>
            </w:r>
          </w:p>
        </w:tc>
        <w:tc>
          <w:tcPr>
            <w:tcW w:w="0" w:type="dxa"/>
            <w:vAlign w:val="bottom"/>
          </w:tcPr>
          <w:p>
            <w:pPr>
              <w:spacing w:after="0"/>
              <w:rPr>
                <w:sz w:val="1"/>
                <w:szCs w:val="1"/>
                <w:color w:val="auto"/>
              </w:rPr>
            </w:pPr>
          </w:p>
        </w:tc>
      </w:tr>
      <w:tr>
        <w:trPr>
          <w:trHeight w:val="117"/>
        </w:trPr>
        <w:tc>
          <w:tcPr>
            <w:tcW w:w="5260" w:type="dxa"/>
            <w:vAlign w:val="bottom"/>
            <w:tcBorders>
              <w:bottom w:val="single" w:sz="8" w:color="DC202E"/>
            </w:tcBorders>
          </w:tcPr>
          <w:p>
            <w:pPr>
              <w:spacing w:after="0"/>
              <w:rPr>
                <w:sz w:val="10"/>
                <w:szCs w:val="10"/>
                <w:color w:val="auto"/>
              </w:rPr>
            </w:pPr>
          </w:p>
        </w:tc>
        <w:tc>
          <w:tcPr>
            <w:tcW w:w="4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Leases</w:t>
            </w:r>
          </w:p>
        </w:tc>
        <w:tc>
          <w:tcPr>
            <w:tcW w:w="360" w:type="dxa"/>
            <w:vAlign w:val="bottom"/>
            <w:tcBorders>
              <w:bottom w:val="single" w:sz="8" w:color="DC202E"/>
            </w:tcBorders>
          </w:tcPr>
          <w:p>
            <w:pPr>
              <w:spacing w:after="0"/>
              <w:rPr>
                <w:sz w:val="10"/>
                <w:szCs w:val="10"/>
                <w:color w:val="auto"/>
              </w:rPr>
            </w:pPr>
          </w:p>
        </w:tc>
        <w:tc>
          <w:tcPr>
            <w:tcW w:w="920" w:type="dxa"/>
            <w:vAlign w:val="bottom"/>
            <w:tcBorders>
              <w:bottom w:val="single" w:sz="8" w:color="DC202E"/>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2022</w:t>
            </w:r>
          </w:p>
        </w:tc>
        <w:tc>
          <w:tcPr>
            <w:tcW w:w="476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215</w:t>
            </w:r>
          </w:p>
        </w:tc>
        <w:tc>
          <w:tcPr>
            <w:tcW w:w="62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2023</w:t>
            </w:r>
          </w:p>
        </w:tc>
        <w:tc>
          <w:tcPr>
            <w:tcW w:w="476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188</w:t>
            </w:r>
          </w:p>
        </w:tc>
        <w:tc>
          <w:tcPr>
            <w:tcW w:w="6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2024</w:t>
            </w:r>
          </w:p>
        </w:tc>
        <w:tc>
          <w:tcPr>
            <w:tcW w:w="476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153</w:t>
            </w:r>
          </w:p>
        </w:tc>
        <w:tc>
          <w:tcPr>
            <w:tcW w:w="6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2025</w:t>
            </w:r>
          </w:p>
        </w:tc>
        <w:tc>
          <w:tcPr>
            <w:tcW w:w="476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113</w:t>
            </w:r>
          </w:p>
        </w:tc>
        <w:tc>
          <w:tcPr>
            <w:tcW w:w="6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2026</w:t>
            </w:r>
          </w:p>
        </w:tc>
        <w:tc>
          <w:tcPr>
            <w:tcW w:w="476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91</w:t>
            </w:r>
          </w:p>
        </w:tc>
        <w:tc>
          <w:tcPr>
            <w:tcW w:w="6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Thereafter</w:t>
            </w:r>
          </w:p>
        </w:tc>
        <w:tc>
          <w:tcPr>
            <w:tcW w:w="476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404</w:t>
            </w:r>
          </w:p>
        </w:tc>
        <w:tc>
          <w:tcPr>
            <w:tcW w:w="6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lease payments</w:t>
            </w:r>
          </w:p>
        </w:tc>
        <w:tc>
          <w:tcPr>
            <w:tcW w:w="476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95"/>
              </w:rPr>
              <w:t>1,164</w:t>
            </w:r>
          </w:p>
        </w:tc>
        <w:tc>
          <w:tcPr>
            <w:tcW w:w="6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197</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DC202E"/>
            </w:tcBorders>
          </w:tcPr>
          <w:p>
            <w:pPr>
              <w:ind w:left="140"/>
              <w:spacing w:after="0"/>
              <w:rPr>
                <w:sz w:val="20"/>
                <w:szCs w:val="20"/>
                <w:color w:val="auto"/>
              </w:rPr>
            </w:pPr>
            <w:r>
              <w:rPr>
                <w:rFonts w:ascii="Arial" w:cs="Arial" w:eastAsia="Arial" w:hAnsi="Arial"/>
                <w:sz w:val="10"/>
                <w:szCs w:val="10"/>
                <w:color w:val="auto"/>
              </w:rPr>
              <w:t>Less-interest</w:t>
            </w:r>
          </w:p>
        </w:tc>
        <w:tc>
          <w:tcPr>
            <w:tcW w:w="476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(132)</w:t>
            </w:r>
          </w:p>
        </w:tc>
        <w:tc>
          <w:tcPr>
            <w:tcW w:w="6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115"/>
        </w:trPr>
        <w:tc>
          <w:tcPr>
            <w:tcW w:w="52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w:t>
            </w:r>
          </w:p>
        </w:tc>
        <w:tc>
          <w:tcPr>
            <w:tcW w:w="476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w w:val="95"/>
              </w:rPr>
              <w:t>1,032</w:t>
            </w:r>
          </w:p>
        </w:tc>
        <w:tc>
          <w:tcPr>
            <w:tcW w:w="62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156</w:t>
            </w:r>
          </w:p>
        </w:tc>
        <w:tc>
          <w:tcPr>
            <w:tcW w:w="0" w:type="dxa"/>
            <w:vAlign w:val="bottom"/>
          </w:tcPr>
          <w:p>
            <w:pPr>
              <w:spacing w:after="0"/>
              <w:rPr>
                <w:sz w:val="1"/>
                <w:szCs w:val="1"/>
                <w:color w:val="auto"/>
              </w:rPr>
            </w:pPr>
          </w:p>
        </w:tc>
      </w:tr>
      <w:tr>
        <w:trPr>
          <w:trHeight w:val="907"/>
        </w:trPr>
        <w:tc>
          <w:tcPr>
            <w:tcW w:w="5260" w:type="dxa"/>
            <w:vAlign w:val="bottom"/>
          </w:tcPr>
          <w:p>
            <w:pPr>
              <w:spacing w:after="0"/>
              <w:rPr>
                <w:sz w:val="24"/>
                <w:szCs w:val="24"/>
                <w:color w:val="auto"/>
              </w:rPr>
            </w:pPr>
          </w:p>
        </w:tc>
        <w:tc>
          <w:tcPr>
            <w:tcW w:w="5740" w:type="dxa"/>
            <w:vAlign w:val="bottom"/>
            <w:gridSpan w:val="3"/>
          </w:tcPr>
          <w:p>
            <w:pPr>
              <w:jc w:val="right"/>
              <w:ind w:right="52"/>
              <w:spacing w:after="0"/>
              <w:rPr>
                <w:sz w:val="20"/>
                <w:szCs w:val="20"/>
                <w:color w:val="auto"/>
              </w:rPr>
            </w:pPr>
            <w:r>
              <w:rPr>
                <w:rFonts w:ascii="Arial" w:cs="Arial" w:eastAsia="Arial" w:hAnsi="Arial"/>
                <w:sz w:val="10"/>
                <w:szCs w:val="10"/>
                <w:color w:val="auto"/>
              </w:rPr>
              <w:t>Honeywell International Inc.</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D7282F"/>
              </w:rPr>
              <w:t>79</w:t>
            </w:r>
          </w:p>
        </w:tc>
        <w:tc>
          <w:tcPr>
            <w:tcW w:w="0" w:type="dxa"/>
            <w:vAlign w:val="bottom"/>
          </w:tcPr>
          <w:p>
            <w:pPr>
              <w:spacing w:after="0"/>
              <w:rPr>
                <w:sz w:val="1"/>
                <w:szCs w:val="1"/>
                <w:color w:val="auto"/>
              </w:rPr>
            </w:pPr>
          </w:p>
        </w:tc>
      </w:tr>
      <w:tr>
        <w:trPr>
          <w:trHeight w:val="144"/>
        </w:trPr>
        <w:tc>
          <w:tcPr>
            <w:tcW w:w="5260" w:type="dxa"/>
            <w:vAlign w:val="bottom"/>
            <w:tcBorders>
              <w:bottom w:val="single" w:sz="8" w:color="9A9A9A"/>
            </w:tcBorders>
          </w:tcPr>
          <w:p>
            <w:pPr>
              <w:spacing w:after="0"/>
              <w:rPr>
                <w:sz w:val="12"/>
                <w:szCs w:val="12"/>
                <w:color w:val="auto"/>
              </w:rPr>
            </w:pPr>
          </w:p>
        </w:tc>
        <w:tc>
          <w:tcPr>
            <w:tcW w:w="47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1" w:name="page82"/>
    <w:bookmarkEnd w:id="81"/>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11. DERIVATIVE INSTRUMENTS AND HEDGING TRANSACTIONS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DERIVATIVES AND HEDGING ACTIVITIES</w:t>
      </w:r>
    </w:p>
    <w:p>
      <w:pPr>
        <w:spacing w:after="0" w:line="9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 uses derivative financial instruments to manage its risks related to interest rates and foreign currency exchange rate fluctuations. Derivative financial instruments are not used for trading or other speculative purposes. To qualify as a hedge, derivative financial instruments must be evaluated for hedge effectiveness at the inception of the contract and designated as a hedge. Changes in fair value of the derivative contract must be highly correlated with changes in fair value of the underlying hedged item at inception and over the life of the hedge contract.</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FOREIGN CURRENCY RISK MANAGEMENT</w:t>
      </w:r>
    </w:p>
    <w:p>
      <w:pPr>
        <w:spacing w:after="0" w:line="95"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 operates a global business in a wide variety of foreign currencies. The Company's exposure to market risk for changes in foreign currency exchange rates arises from international financing activities between subsidiaries, foreign currency denominated monetary assets and liabilities, and transactions arising from international trade. The Company's objective is to preserve the U.S. Dollar value of foreign currency denominated cash flows and earnings. The Company monitors its collective foreign currency exposure and enters into foreign currency exchange forward and option contracts (foreign currency exchange contracts) with third parties, when necessary, to minimize the impact of changes in foreign currency exchange rates.</w:t>
      </w:r>
    </w:p>
    <w:p>
      <w:pPr>
        <w:spacing w:after="0" w:line="68" w:lineRule="exact"/>
        <w:rPr>
          <w:sz w:val="20"/>
          <w:szCs w:val="20"/>
          <w:color w:val="auto"/>
        </w:rPr>
      </w:pPr>
    </w:p>
    <w:p>
      <w:pPr>
        <w:jc w:val="both"/>
        <w:ind w:left="8"/>
        <w:spacing w:after="0" w:line="293" w:lineRule="auto"/>
        <w:rPr>
          <w:sz w:val="20"/>
          <w:szCs w:val="20"/>
          <w:color w:val="auto"/>
        </w:rPr>
      </w:pPr>
      <w:r>
        <w:rPr>
          <w:rFonts w:ascii="Arial" w:cs="Arial" w:eastAsia="Arial" w:hAnsi="Arial"/>
          <w:sz w:val="10"/>
          <w:szCs w:val="10"/>
          <w:color w:val="auto"/>
        </w:rPr>
        <w:t>The Company has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The Company uses foreign currency exchange contracts to hedge its foreign currency exposure. These contracts are marked-to-market</w:t>
      </w:r>
    </w:p>
    <w:p>
      <w:pPr>
        <w:spacing w:after="0" w:line="7" w:lineRule="exact"/>
        <w:rPr>
          <w:sz w:val="20"/>
          <w:szCs w:val="20"/>
          <w:color w:val="auto"/>
        </w:rPr>
      </w:pPr>
    </w:p>
    <w:p>
      <w:pPr>
        <w:jc w:val="both"/>
        <w:ind w:left="8"/>
        <w:spacing w:after="0" w:line="244" w:lineRule="auto"/>
        <w:rPr>
          <w:sz w:val="20"/>
          <w:szCs w:val="20"/>
          <w:color w:val="auto"/>
        </w:rPr>
      </w:pPr>
      <w:r>
        <w:rPr>
          <w:rFonts w:ascii="Arial" w:cs="Arial" w:eastAsia="Arial" w:hAnsi="Arial"/>
          <w:sz w:val="11"/>
          <w:szCs w:val="11"/>
          <w:color w:val="auto"/>
        </w:rPr>
        <w:t>with the resulting gains and losses recognized in earnings offsetting the gains and losses on the non-functional currency denominated monetary assets and liabilities being hedged. The Company uses foreign currency contracts to hedge forecasted sales and purchases, which are denominated in non-functional currencies.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2021, and 2020, the Company held contracts with notional amounts of $12,671 million and $16,123 million to exchange foreign currencies, principally the U.S. Dollar, Euro, Canadian Dollar, British Pound, Mexican Peso, Chinese Renminbi, and Indian Rupee.</w:t>
      </w:r>
    </w:p>
    <w:p>
      <w:pPr>
        <w:spacing w:after="0" w:line="68"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Company also designates certain foreign currency debt and derivative contracts as hedges against portions of its net investment in foreign operations. Gains or losses of the foreign currency debt and derivative contracts designated as net investment hedges are recorded in the same manner as foreign currency translation adjustments.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INTEREST RATE RISK MANAGEMENT</w:t>
      </w:r>
    </w:p>
    <w:p>
      <w:pPr>
        <w:spacing w:after="0" w:line="9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Financial instruments, including derivatives, expose the Company to market risk related to changes in interest rates. The Company uses a combination of financial instruments, including long-term, medium-term, and short-term financing, variable-rate commercial paper, and interest rate swaps to convert the interest rate mix of the Company's total debt portfolio and related overall cost of borrowing.</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CREDIT RISK MANAGEMENT</w:t>
      </w:r>
    </w:p>
    <w:p>
      <w:pPr>
        <w:spacing w:after="0" w:line="9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 continues to monitor the creditworthiness of its counterparties to mitigate the risk of nonperformance. Financial instruments, including derivatives, expose the Company to counterparty credit risk. In addition, 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w:t>
      </w:r>
    </w:p>
    <w:p>
      <w:pPr>
        <w:spacing w:after="0" w:line="280" w:lineRule="exact"/>
        <w:rPr>
          <w:sz w:val="20"/>
          <w:szCs w:val="20"/>
          <w:color w:val="auto"/>
        </w:rPr>
      </w:pPr>
    </w:p>
    <w:p>
      <w:pPr>
        <w:ind w:left="468" w:hanging="468"/>
        <w:spacing w:after="0"/>
        <w:tabs>
          <w:tab w:leader="none" w:pos="468" w:val="left"/>
        </w:tabs>
        <w:numPr>
          <w:ilvl w:val="0"/>
          <w:numId w:val="8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82" w:name="page83"/>
    <w:bookmarkEnd w:id="82"/>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AND HEDGING INSTRUMENTS</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notional amounts and fair values of the Company’s outstanding derivatives by risk category and instrument type within the Consolidated Balance Sheet: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gridSpan w:val="2"/>
          </w:tcPr>
          <w:p>
            <w:pPr>
              <w:jc w:val="right"/>
              <w:ind w:right="212"/>
              <w:spacing w:after="0"/>
              <w:rPr>
                <w:sz w:val="20"/>
                <w:szCs w:val="20"/>
                <w:color w:val="auto"/>
              </w:rPr>
            </w:pPr>
            <w:r>
              <w:rPr>
                <w:rFonts w:ascii="Arial" w:cs="Arial" w:eastAsia="Arial" w:hAnsi="Arial"/>
                <w:sz w:val="10"/>
                <w:szCs w:val="10"/>
                <w:b w:val="1"/>
                <w:bCs w:val="1"/>
                <w:color w:val="auto"/>
              </w:rPr>
              <w:t>Notional</w:t>
            </w:r>
          </w:p>
        </w:tc>
        <w:tc>
          <w:tcPr>
            <w:tcW w:w="520" w:type="dxa"/>
            <w:vAlign w:val="bottom"/>
            <w:tcBorders>
              <w:bottom w:val="single" w:sz="8" w:color="DC202E"/>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1080" w:type="dxa"/>
            <w:vAlign w:val="bottom"/>
            <w:tcBorders>
              <w:bottom w:val="single" w:sz="8" w:color="DC202E"/>
            </w:tcBorders>
            <w:gridSpan w:val="2"/>
          </w:tcPr>
          <w:p>
            <w:pPr>
              <w:jc w:val="right"/>
              <w:ind w:right="132"/>
              <w:spacing w:after="0"/>
              <w:rPr>
                <w:sz w:val="20"/>
                <w:szCs w:val="20"/>
                <w:color w:val="auto"/>
              </w:rPr>
            </w:pPr>
            <w:r>
              <w:rPr>
                <w:rFonts w:ascii="Arial" w:cs="Arial" w:eastAsia="Arial" w:hAnsi="Arial"/>
                <w:sz w:val="10"/>
                <w:szCs w:val="10"/>
                <w:b w:val="1"/>
                <w:bCs w:val="1"/>
                <w:color w:val="auto"/>
              </w:rPr>
              <w:t>Fair Value Asset</w:t>
            </w:r>
          </w:p>
        </w:tc>
        <w:tc>
          <w:tcPr>
            <w:tcW w:w="400" w:type="dxa"/>
            <w:vAlign w:val="bottom"/>
            <w:tcBorders>
              <w:bottom w:val="single" w:sz="8" w:color="DC202E"/>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180" w:type="dxa"/>
            <w:vAlign w:val="bottom"/>
            <w:tcBorders>
              <w:bottom w:val="single" w:sz="8" w:color="DC202E"/>
            </w:tcBorders>
            <w:gridSpan w:val="2"/>
          </w:tcPr>
          <w:p>
            <w:pPr>
              <w:jc w:val="right"/>
              <w:ind w:right="92"/>
              <w:spacing w:after="0"/>
              <w:rPr>
                <w:sz w:val="20"/>
                <w:szCs w:val="20"/>
                <w:color w:val="auto"/>
              </w:rPr>
            </w:pPr>
            <w:r>
              <w:rPr>
                <w:rFonts w:ascii="Arial" w:cs="Arial" w:eastAsia="Arial" w:hAnsi="Arial"/>
                <w:sz w:val="10"/>
                <w:szCs w:val="10"/>
                <w:b w:val="1"/>
                <w:bCs w:val="1"/>
                <w:color w:val="auto"/>
              </w:rPr>
              <w:t>Fair Value (Liability)</w:t>
            </w:r>
          </w:p>
        </w:tc>
        <w:tc>
          <w:tcPr>
            <w:tcW w:w="380" w:type="dxa"/>
            <w:vAlign w:val="bottom"/>
            <w:tcBorders>
              <w:bottom w:val="single" w:sz="8" w:color="DC202E"/>
            </w:tcBorders>
          </w:tcPr>
          <w:p>
            <w:pPr>
              <w:spacing w:after="0"/>
              <w:rPr>
                <w:sz w:val="10"/>
                <w:szCs w:val="10"/>
                <w:color w:val="auto"/>
              </w:rPr>
            </w:pPr>
          </w:p>
        </w:tc>
      </w:tr>
      <w:tr>
        <w:trPr>
          <w:trHeight w:val="232"/>
        </w:trPr>
        <w:tc>
          <w:tcPr>
            <w:tcW w:w="5040" w:type="dxa"/>
            <w:vAlign w:val="bottom"/>
            <w:tcBorders>
              <w:bottom w:val="single" w:sz="8" w:color="DC202E"/>
            </w:tcBorders>
          </w:tcPr>
          <w:p>
            <w:pPr>
              <w:spacing w:after="0"/>
              <w:rPr>
                <w:sz w:val="20"/>
                <w:szCs w:val="20"/>
                <w:color w:val="auto"/>
              </w:rPr>
            </w:pPr>
          </w:p>
        </w:tc>
        <w:tc>
          <w:tcPr>
            <w:tcW w:w="96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9"/>
              </w:rPr>
              <w:t>December 31, 2021</w:t>
            </w:r>
          </w:p>
        </w:tc>
        <w:tc>
          <w:tcPr>
            <w:tcW w:w="1200" w:type="dxa"/>
            <w:vAlign w:val="bottom"/>
            <w:tcBorders>
              <w:bottom w:val="single" w:sz="8" w:color="DC202E"/>
            </w:tcBorders>
            <w:gridSpan w:val="3"/>
          </w:tcPr>
          <w:p>
            <w:pPr>
              <w:ind w:left="60"/>
              <w:spacing w:after="0"/>
              <w:rPr>
                <w:sz w:val="20"/>
                <w:szCs w:val="20"/>
                <w:color w:val="auto"/>
              </w:rPr>
            </w:pPr>
            <w:r>
              <w:rPr>
                <w:rFonts w:ascii="Arial" w:cs="Arial" w:eastAsia="Arial" w:hAnsi="Arial"/>
                <w:sz w:val="10"/>
                <w:szCs w:val="10"/>
                <w:b w:val="1"/>
                <w:bCs w:val="1"/>
                <w:color w:val="auto"/>
              </w:rPr>
              <w:t>December 31, 2020</w:t>
            </w:r>
          </w:p>
        </w:tc>
        <w:tc>
          <w:tcPr>
            <w:tcW w:w="96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9"/>
              </w:rPr>
              <w:t>December 31, 2021</w:t>
            </w:r>
          </w:p>
        </w:tc>
        <w:tc>
          <w:tcPr>
            <w:tcW w:w="1180" w:type="dxa"/>
            <w:vAlign w:val="bottom"/>
            <w:tcBorders>
              <w:bottom w:val="single" w:sz="8" w:color="DC202E"/>
            </w:tcBorders>
            <w:gridSpan w:val="3"/>
          </w:tcPr>
          <w:p>
            <w:pPr>
              <w:ind w:left="60"/>
              <w:spacing w:after="0"/>
              <w:rPr>
                <w:sz w:val="20"/>
                <w:szCs w:val="20"/>
                <w:color w:val="auto"/>
              </w:rPr>
            </w:pPr>
            <w:r>
              <w:rPr>
                <w:rFonts w:ascii="Arial" w:cs="Arial" w:eastAsia="Arial" w:hAnsi="Arial"/>
                <w:sz w:val="10"/>
                <w:szCs w:val="10"/>
                <w:b w:val="1"/>
                <w:bCs w:val="1"/>
                <w:color w:val="auto"/>
              </w:rPr>
              <w:t>December 31, 2020</w:t>
            </w:r>
          </w:p>
        </w:tc>
        <w:tc>
          <w:tcPr>
            <w:tcW w:w="1000" w:type="dxa"/>
            <w:vAlign w:val="bottom"/>
            <w:tcBorders>
              <w:bottom w:val="single" w:sz="8" w:color="DC202E"/>
            </w:tcBorders>
            <w:gridSpan w:val="2"/>
          </w:tcPr>
          <w:p>
            <w:pPr>
              <w:jc w:val="right"/>
              <w:ind w:right="32"/>
              <w:spacing w:after="0"/>
              <w:rPr>
                <w:sz w:val="20"/>
                <w:szCs w:val="20"/>
                <w:color w:val="auto"/>
              </w:rPr>
            </w:pPr>
            <w:r>
              <w:rPr>
                <w:rFonts w:ascii="Arial" w:cs="Arial" w:eastAsia="Arial" w:hAnsi="Arial"/>
                <w:sz w:val="10"/>
                <w:szCs w:val="10"/>
                <w:b w:val="1"/>
                <w:bCs w:val="1"/>
                <w:color w:val="auto"/>
                <w:w w:val="99"/>
              </w:rPr>
              <w:t>December 31, 2021</w:t>
            </w:r>
          </w:p>
        </w:tc>
        <w:tc>
          <w:tcPr>
            <w:tcW w:w="960" w:type="dxa"/>
            <w:vAlign w:val="bottom"/>
            <w:tcBorders>
              <w:bottom w:val="single" w:sz="8" w:color="DC202E"/>
            </w:tcBorders>
            <w:gridSpan w:val="2"/>
          </w:tcPr>
          <w:p>
            <w:pPr>
              <w:jc w:val="right"/>
              <w:ind w:right="12"/>
              <w:spacing w:after="0"/>
              <w:rPr>
                <w:sz w:val="20"/>
                <w:szCs w:val="20"/>
                <w:color w:val="auto"/>
              </w:rPr>
            </w:pPr>
            <w:r>
              <w:rPr>
                <w:rFonts w:ascii="Arial" w:cs="Arial" w:eastAsia="Arial" w:hAnsi="Arial"/>
                <w:sz w:val="10"/>
                <w:szCs w:val="10"/>
                <w:b w:val="1"/>
                <w:bCs w:val="1"/>
                <w:color w:val="auto"/>
                <w:w w:val="97"/>
              </w:rPr>
              <w:t>December 31, 2020</w:t>
            </w:r>
          </w:p>
        </w:tc>
      </w:tr>
      <w:tr>
        <w:trPr>
          <w:trHeight w:val="115"/>
        </w:trPr>
        <w:tc>
          <w:tcPr>
            <w:tcW w:w="504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Derivatives in Fair Value Hedging Relationships:</w:t>
            </w: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r>
      <w:tr>
        <w:trPr>
          <w:trHeight w:val="115"/>
        </w:trPr>
        <w:tc>
          <w:tcPr>
            <w:tcW w:w="50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Interest rate swap agreements</w:t>
            </w: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3,150</w:t>
            </w:r>
          </w:p>
        </w:tc>
        <w:tc>
          <w:tcPr>
            <w:tcW w:w="4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3,950</w:t>
            </w:r>
          </w:p>
        </w:tc>
        <w:tc>
          <w:tcPr>
            <w:tcW w:w="2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60</w:t>
            </w:r>
          </w:p>
        </w:tc>
        <w:tc>
          <w:tcPr>
            <w:tcW w:w="56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194</w:t>
            </w: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504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Derivatives in Cash Flow Hedging Relationships:</w:t>
            </w: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r>
      <w:tr>
        <w:trPr>
          <w:trHeight w:val="115"/>
        </w:trPr>
        <w:tc>
          <w:tcPr>
            <w:tcW w:w="50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647</w:t>
            </w: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488</w:t>
            </w:r>
          </w:p>
        </w:tc>
        <w:tc>
          <w:tcPr>
            <w:tcW w:w="2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w:t>
            </w:r>
          </w:p>
        </w:tc>
        <w:tc>
          <w:tcPr>
            <w:tcW w:w="5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65</w:t>
            </w: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(58)</w:t>
            </w:r>
          </w:p>
        </w:tc>
      </w:tr>
      <w:tr>
        <w:trPr>
          <w:trHeight w:val="115"/>
        </w:trPr>
        <w:tc>
          <w:tcPr>
            <w:tcW w:w="504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Derivatives in Net Investment Hedging Relationships:</w:t>
            </w: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r>
      <w:tr>
        <w:trPr>
          <w:trHeight w:val="115"/>
        </w:trPr>
        <w:tc>
          <w:tcPr>
            <w:tcW w:w="50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746</w:t>
            </w: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806</w:t>
            </w:r>
          </w:p>
        </w:tc>
        <w:tc>
          <w:tcPr>
            <w:tcW w:w="2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92</w:t>
            </w:r>
          </w:p>
        </w:tc>
        <w:tc>
          <w:tcPr>
            <w:tcW w:w="5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45</w:t>
            </w: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w:t>
            </w:r>
          </w:p>
        </w:tc>
      </w:tr>
      <w:tr>
        <w:trPr>
          <w:trHeight w:val="115"/>
        </w:trPr>
        <w:tc>
          <w:tcPr>
            <w:tcW w:w="504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Cross currency swap agreements</w:t>
            </w:r>
          </w:p>
        </w:tc>
        <w:tc>
          <w:tcPr>
            <w:tcW w:w="4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1,200</w:t>
            </w:r>
          </w:p>
        </w:tc>
        <w:tc>
          <w:tcPr>
            <w:tcW w:w="4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1,200</w:t>
            </w:r>
          </w:p>
        </w:tc>
        <w:tc>
          <w:tcPr>
            <w:tcW w:w="2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39</w:t>
            </w:r>
          </w:p>
        </w:tc>
        <w:tc>
          <w:tcPr>
            <w:tcW w:w="5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(50)</w:t>
            </w:r>
          </w:p>
        </w:tc>
      </w:tr>
      <w:tr>
        <w:trPr>
          <w:trHeight w:val="115"/>
        </w:trPr>
        <w:tc>
          <w:tcPr>
            <w:tcW w:w="50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Derivatives Designated as Hedging Instruments</w:t>
            </w:r>
          </w:p>
        </w:tc>
        <w:tc>
          <w:tcPr>
            <w:tcW w:w="4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5,743</w:t>
            </w:r>
          </w:p>
        </w:tc>
        <w:tc>
          <w:tcPr>
            <w:tcW w:w="4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6,444</w:t>
            </w:r>
          </w:p>
        </w:tc>
        <w:tc>
          <w:tcPr>
            <w:tcW w:w="2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195</w:t>
            </w:r>
          </w:p>
        </w:tc>
        <w:tc>
          <w:tcPr>
            <w:tcW w:w="56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304</w:t>
            </w:r>
          </w:p>
        </w:tc>
        <w:tc>
          <w:tcPr>
            <w:tcW w:w="2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(109)</w:t>
            </w:r>
          </w:p>
        </w:tc>
      </w:tr>
      <w:tr>
        <w:trPr>
          <w:trHeight w:val="115"/>
        </w:trPr>
        <w:tc>
          <w:tcPr>
            <w:tcW w:w="504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Derivatives Not Designated as Hedging Instruments:</w:t>
            </w: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r>
      <w:tr>
        <w:trPr>
          <w:trHeight w:val="115"/>
        </w:trPr>
        <w:tc>
          <w:tcPr>
            <w:tcW w:w="504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4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11,278</w:t>
            </w:r>
          </w:p>
        </w:tc>
        <w:tc>
          <w:tcPr>
            <w:tcW w:w="4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14,829</w:t>
            </w:r>
          </w:p>
        </w:tc>
        <w:tc>
          <w:tcPr>
            <w:tcW w:w="2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278</w:t>
            </w:r>
          </w:p>
        </w:tc>
        <w:tc>
          <w:tcPr>
            <w:tcW w:w="56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92</w:t>
            </w:r>
          </w:p>
        </w:tc>
        <w:tc>
          <w:tcPr>
            <w:tcW w:w="2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(282)</w:t>
            </w: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(91)</w:t>
            </w:r>
          </w:p>
        </w:tc>
      </w:tr>
      <w:tr>
        <w:trPr>
          <w:trHeight w:val="115"/>
        </w:trPr>
        <w:tc>
          <w:tcPr>
            <w:tcW w:w="50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Derivatives at Fair Value</w:t>
            </w:r>
          </w:p>
        </w:tc>
        <w:tc>
          <w:tcPr>
            <w:tcW w:w="4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17,021</w:t>
            </w:r>
          </w:p>
        </w:tc>
        <w:tc>
          <w:tcPr>
            <w:tcW w:w="46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21,273</w:t>
            </w:r>
          </w:p>
        </w:tc>
        <w:tc>
          <w:tcPr>
            <w:tcW w:w="2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473</w:t>
            </w:r>
          </w:p>
        </w:tc>
        <w:tc>
          <w:tcPr>
            <w:tcW w:w="56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396</w:t>
            </w:r>
          </w:p>
        </w:tc>
        <w:tc>
          <w:tcPr>
            <w:tcW w:w="2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(282)</w:t>
            </w:r>
          </w:p>
        </w:tc>
        <w:tc>
          <w:tcPr>
            <w:tcW w:w="58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(200)</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All derivative assets are presented in Other current assets or Other assets. All derivative liabilities are presented in Accrued liabilities or Other liabilities.</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$4,074 million and $4,414 million as of December 31, 2021 and 2020, respectively.</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$135 million of expense, $169 million of income and $70 million of expense for the years ended December 31, 2021, 2020 and 2019, respectively. Gains and losses are fully offset by losses and gains on the underlying debt being hedged.</w:t>
      </w:r>
    </w:p>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amounts recorded on the Consolidated Balance Sheet related to cumulative basis adjustments for fair value hedges: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gridSpan w:val="2"/>
          </w:tcPr>
          <w:p>
            <w:pPr>
              <w:jc w:val="center"/>
              <w:ind w:right="32"/>
              <w:spacing w:after="0"/>
              <w:rPr>
                <w:sz w:val="20"/>
                <w:szCs w:val="20"/>
                <w:color w:val="auto"/>
              </w:rPr>
            </w:pPr>
            <w:r>
              <w:rPr>
                <w:rFonts w:ascii="Arial" w:cs="Arial" w:eastAsia="Arial" w:hAnsi="Arial"/>
                <w:sz w:val="10"/>
                <w:szCs w:val="10"/>
                <w:b w:val="1"/>
                <w:bCs w:val="1"/>
                <w:color w:val="auto"/>
                <w:w w:val="97"/>
              </w:rPr>
              <w:t>Cumulative Amount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5"/>
              </w:rPr>
              <w:t>Carrying Amount</w:t>
            </w: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gridSpan w:val="3"/>
          </w:tcPr>
          <w:p>
            <w:pPr>
              <w:jc w:val="center"/>
              <w:ind w:left="192"/>
              <w:spacing w:after="0" w:line="90" w:lineRule="exact"/>
              <w:rPr>
                <w:sz w:val="20"/>
                <w:szCs w:val="20"/>
                <w:color w:val="auto"/>
              </w:rPr>
            </w:pPr>
            <w:r>
              <w:rPr>
                <w:rFonts w:ascii="Arial" w:cs="Arial" w:eastAsia="Arial" w:hAnsi="Arial"/>
                <w:sz w:val="10"/>
                <w:szCs w:val="10"/>
                <w:b w:val="1"/>
                <w:bCs w:val="1"/>
                <w:color w:val="auto"/>
                <w:w w:val="94"/>
              </w:rPr>
              <w:t>Fair Value Hedging Adjustment</w:t>
            </w: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tcPr>
          <w:p>
            <w:pPr>
              <w:jc w:val="center"/>
              <w:ind w:right="32"/>
              <w:spacing w:after="0" w:line="90" w:lineRule="exact"/>
              <w:rPr>
                <w:sz w:val="20"/>
                <w:szCs w:val="20"/>
                <w:color w:val="auto"/>
              </w:rPr>
            </w:pPr>
            <w:r>
              <w:rPr>
                <w:rFonts w:ascii="Arial" w:cs="Arial" w:eastAsia="Arial" w:hAnsi="Arial"/>
                <w:sz w:val="10"/>
                <w:szCs w:val="10"/>
                <w:b w:val="1"/>
                <w:bCs w:val="1"/>
                <w:color w:val="auto"/>
                <w:w w:val="94"/>
              </w:rPr>
              <w:t>Included in the Carrying</w:t>
            </w: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7180" w:type="dxa"/>
            <w:vAlign w:val="bottom"/>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1120" w:type="dxa"/>
            <w:vAlign w:val="bottom"/>
            <w:tcBorders>
              <w:bottom w:val="single" w:sz="8" w:color="DC202E"/>
            </w:tcBorders>
            <w:gridSpan w:val="2"/>
          </w:tcPr>
          <w:p>
            <w:pPr>
              <w:jc w:val="center"/>
              <w:spacing w:after="0"/>
              <w:rPr>
                <w:sz w:val="20"/>
                <w:szCs w:val="20"/>
                <w:color w:val="auto"/>
              </w:rPr>
            </w:pPr>
            <w:r>
              <w:rPr>
                <w:rFonts w:ascii="Arial" w:cs="Arial" w:eastAsia="Arial" w:hAnsi="Arial"/>
                <w:sz w:val="10"/>
                <w:szCs w:val="10"/>
                <w:b w:val="1"/>
                <w:bCs w:val="1"/>
                <w:color w:val="auto"/>
                <w:w w:val="95"/>
              </w:rPr>
              <w:t>of the Hedged Item</w:t>
            </w:r>
          </w:p>
        </w:tc>
        <w:tc>
          <w:tcPr>
            <w:tcW w:w="400" w:type="dxa"/>
            <w:vAlign w:val="bottom"/>
            <w:tcBorders>
              <w:bottom w:val="single" w:sz="8" w:color="DC202E"/>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400" w:type="dxa"/>
            <w:vAlign w:val="bottom"/>
            <w:tcBorders>
              <w:bottom w:val="single" w:sz="8" w:color="DC202E"/>
            </w:tcBorders>
            <w:gridSpan w:val="2"/>
          </w:tcPr>
          <w:p>
            <w:pPr>
              <w:jc w:val="center"/>
              <w:ind w:right="32"/>
              <w:spacing w:after="0"/>
              <w:rPr>
                <w:sz w:val="20"/>
                <w:szCs w:val="20"/>
                <w:color w:val="auto"/>
              </w:rPr>
            </w:pPr>
            <w:r>
              <w:rPr>
                <w:rFonts w:ascii="Arial" w:cs="Arial" w:eastAsia="Arial" w:hAnsi="Arial"/>
                <w:sz w:val="10"/>
                <w:szCs w:val="10"/>
                <w:b w:val="1"/>
                <w:bCs w:val="1"/>
                <w:color w:val="auto"/>
                <w:w w:val="94"/>
              </w:rPr>
              <w:t>Amount of the Hedged Item</w:t>
            </w:r>
          </w:p>
        </w:tc>
        <w:tc>
          <w:tcPr>
            <w:tcW w:w="24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7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Line in the Consolidated Balance Sheet of Hedged Item</w:t>
            </w:r>
          </w:p>
        </w:tc>
        <w:tc>
          <w:tcPr>
            <w:tcW w:w="980" w:type="dxa"/>
            <w:vAlign w:val="bottom"/>
            <w:tcBorders>
              <w:bottom w:val="single" w:sz="8" w:color="DC202E"/>
            </w:tcBorders>
            <w:gridSpan w:val="2"/>
          </w:tcPr>
          <w:p>
            <w:pPr>
              <w:jc w:val="right"/>
              <w:ind w:right="12"/>
              <w:spacing w:after="0"/>
              <w:rPr>
                <w:sz w:val="20"/>
                <w:szCs w:val="20"/>
                <w:color w:val="auto"/>
              </w:rPr>
            </w:pPr>
            <w:r>
              <w:rPr>
                <w:rFonts w:ascii="Arial" w:cs="Arial" w:eastAsia="Arial" w:hAnsi="Arial"/>
                <w:sz w:val="10"/>
                <w:szCs w:val="10"/>
                <w:b w:val="1"/>
                <w:bCs w:val="1"/>
                <w:color w:val="auto"/>
                <w:w w:val="99"/>
              </w:rPr>
              <w:t>December 31, 2021</w:t>
            </w:r>
          </w:p>
        </w:tc>
        <w:tc>
          <w:tcPr>
            <w:tcW w:w="1180" w:type="dxa"/>
            <w:vAlign w:val="bottom"/>
            <w:tcBorders>
              <w:bottom w:val="single" w:sz="8" w:color="DC202E"/>
            </w:tcBorders>
            <w:gridSpan w:val="3"/>
          </w:tcPr>
          <w:p>
            <w:pPr>
              <w:ind w:left="40"/>
              <w:spacing w:after="0"/>
              <w:rPr>
                <w:sz w:val="20"/>
                <w:szCs w:val="20"/>
                <w:color w:val="auto"/>
              </w:rPr>
            </w:pPr>
            <w:r>
              <w:rPr>
                <w:rFonts w:ascii="Arial" w:cs="Arial" w:eastAsia="Arial" w:hAnsi="Arial"/>
                <w:sz w:val="10"/>
                <w:szCs w:val="10"/>
                <w:b w:val="1"/>
                <w:bCs w:val="1"/>
                <w:color w:val="auto"/>
              </w:rPr>
              <w:t>December 31, 2020</w:t>
            </w:r>
          </w:p>
        </w:tc>
        <w:tc>
          <w:tcPr>
            <w:tcW w:w="980" w:type="dxa"/>
            <w:vAlign w:val="bottom"/>
            <w:tcBorders>
              <w:bottom w:val="single" w:sz="8" w:color="DC202E"/>
            </w:tcBorders>
            <w:gridSpan w:val="2"/>
          </w:tcPr>
          <w:p>
            <w:pPr>
              <w:jc w:val="right"/>
              <w:ind w:right="12"/>
              <w:spacing w:after="0"/>
              <w:rPr>
                <w:sz w:val="20"/>
                <w:szCs w:val="20"/>
                <w:color w:val="auto"/>
              </w:rPr>
            </w:pPr>
            <w:r>
              <w:rPr>
                <w:rFonts w:ascii="Arial" w:cs="Arial" w:eastAsia="Arial" w:hAnsi="Arial"/>
                <w:sz w:val="10"/>
                <w:szCs w:val="10"/>
                <w:b w:val="1"/>
                <w:bCs w:val="1"/>
                <w:color w:val="auto"/>
                <w:w w:val="99"/>
              </w:rPr>
              <w:t>December 31, 2021</w:t>
            </w:r>
          </w:p>
        </w:tc>
        <w:tc>
          <w:tcPr>
            <w:tcW w:w="980" w:type="dxa"/>
            <w:vAlign w:val="bottom"/>
            <w:tcBorders>
              <w:bottom w:val="single" w:sz="8" w:color="DC202E"/>
            </w:tcBorders>
            <w:gridSpan w:val="2"/>
          </w:tcPr>
          <w:p>
            <w:pPr>
              <w:jc w:val="right"/>
              <w:ind w:right="6"/>
              <w:spacing w:after="0"/>
              <w:rPr>
                <w:sz w:val="20"/>
                <w:szCs w:val="20"/>
                <w:color w:val="auto"/>
              </w:rPr>
            </w:pPr>
            <w:r>
              <w:rPr>
                <w:rFonts w:ascii="Arial" w:cs="Arial" w:eastAsia="Arial" w:hAnsi="Arial"/>
                <w:sz w:val="10"/>
                <w:szCs w:val="10"/>
                <w:b w:val="1"/>
                <w:bCs w:val="1"/>
                <w:color w:val="auto"/>
                <w:w w:val="99"/>
              </w:rPr>
              <w:t>December 31, 2020</w:t>
            </w:r>
          </w:p>
        </w:tc>
        <w:tc>
          <w:tcPr>
            <w:tcW w:w="0" w:type="dxa"/>
            <w:vAlign w:val="bottom"/>
          </w:tcPr>
          <w:p>
            <w:pPr>
              <w:spacing w:after="0"/>
              <w:rPr>
                <w:sz w:val="1"/>
                <w:szCs w:val="1"/>
                <w:color w:val="auto"/>
              </w:rPr>
            </w:pPr>
          </w:p>
        </w:tc>
      </w:tr>
      <w:tr>
        <w:trPr>
          <w:trHeight w:val="115"/>
        </w:trPr>
        <w:tc>
          <w:tcPr>
            <w:tcW w:w="71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Long-term debt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3,210</w:t>
            </w:r>
          </w:p>
        </w:tc>
        <w:tc>
          <w:tcPr>
            <w:tcW w:w="56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4,144</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60</w:t>
            </w:r>
          </w:p>
        </w:tc>
        <w:tc>
          <w:tcPr>
            <w:tcW w:w="74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194</w:t>
            </w:r>
          </w:p>
        </w:tc>
        <w:tc>
          <w:tcPr>
            <w:tcW w:w="0" w:type="dxa"/>
            <w:vAlign w:val="bottom"/>
          </w:tcPr>
          <w:p>
            <w:pPr>
              <w:spacing w:after="0"/>
              <w:rPr>
                <w:sz w:val="1"/>
                <w:szCs w:val="1"/>
                <w:color w:val="auto"/>
              </w:rPr>
            </w:pPr>
          </w:p>
        </w:tc>
      </w:tr>
      <w:tr>
        <w:trPr>
          <w:trHeight w:val="718"/>
        </w:trPr>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center"/>
              <w:ind w:right="52"/>
              <w:spacing w:after="0"/>
              <w:rPr>
                <w:sz w:val="20"/>
                <w:szCs w:val="20"/>
                <w:color w:val="auto"/>
              </w:rPr>
            </w:pPr>
            <w:r>
              <w:rPr>
                <w:rFonts w:ascii="Arial" w:cs="Arial" w:eastAsia="Arial" w:hAnsi="Arial"/>
                <w:sz w:val="10"/>
                <w:szCs w:val="10"/>
                <w:color w:val="auto"/>
                <w:w w:val="96"/>
              </w:rPr>
              <w:t>Honeywell International Inc.</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D7282F"/>
              </w:rPr>
              <w:t>81</w:t>
            </w:r>
          </w:p>
        </w:tc>
        <w:tc>
          <w:tcPr>
            <w:tcW w:w="0" w:type="dxa"/>
            <w:vAlign w:val="bottom"/>
          </w:tcPr>
          <w:p>
            <w:pPr>
              <w:spacing w:after="0"/>
              <w:rPr>
                <w:sz w:val="1"/>
                <w:szCs w:val="1"/>
                <w:color w:val="auto"/>
              </w:rPr>
            </w:pPr>
          </w:p>
        </w:tc>
      </w:tr>
      <w:tr>
        <w:trPr>
          <w:trHeight w:val="144"/>
        </w:trPr>
        <w:tc>
          <w:tcPr>
            <w:tcW w:w="71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3" w:name="page84"/>
    <w:bookmarkEnd w:id="83"/>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tables summarize the location and impact to the Consolidated Statement of Operations related to derivative instruments: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780" w:type="dxa"/>
            <w:vAlign w:val="bottom"/>
            <w:tcBorders>
              <w:bottom w:val="single" w:sz="8" w:color="DC202E"/>
            </w:tcBorders>
            <w:gridSpan w:val="2"/>
          </w:tcPr>
          <w:p>
            <w:pPr>
              <w:jc w:val="right"/>
              <w:ind w:right="72"/>
              <w:spacing w:after="0"/>
              <w:rPr>
                <w:sz w:val="20"/>
                <w:szCs w:val="20"/>
                <w:color w:val="auto"/>
              </w:rPr>
            </w:pPr>
            <w:r>
              <w:rPr>
                <w:rFonts w:ascii="Arial" w:cs="Arial" w:eastAsia="Arial" w:hAnsi="Arial"/>
                <w:sz w:val="10"/>
                <w:szCs w:val="10"/>
                <w:b w:val="1"/>
                <w:bCs w:val="1"/>
                <w:color w:val="auto"/>
              </w:rPr>
              <w:t>Year Ended December 31, 2021</w:t>
            </w:r>
          </w:p>
        </w:tc>
        <w:tc>
          <w:tcPr>
            <w:tcW w:w="5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272"/>
              <w:spacing w:after="0"/>
              <w:rPr>
                <w:sz w:val="20"/>
                <w:szCs w:val="20"/>
                <w:color w:val="auto"/>
              </w:rPr>
            </w:pPr>
            <w:r>
              <w:rPr>
                <w:rFonts w:ascii="Arial" w:cs="Arial" w:eastAsia="Arial" w:hAnsi="Arial"/>
                <w:sz w:val="10"/>
                <w:szCs w:val="10"/>
                <w:b w:val="1"/>
                <w:bCs w:val="1"/>
                <w:color w:val="auto"/>
                <w:w w:val="92"/>
              </w:rPr>
              <w:t>Cost of</w:t>
            </w:r>
          </w:p>
        </w:tc>
        <w:tc>
          <w:tcPr>
            <w:tcW w:w="240" w:type="dxa"/>
            <w:vAlign w:val="bottom"/>
          </w:tcPr>
          <w:p>
            <w:pPr>
              <w:spacing w:after="0"/>
              <w:rPr>
                <w:sz w:val="14"/>
                <w:szCs w:val="14"/>
                <w:color w:val="auto"/>
              </w:rPr>
            </w:pPr>
          </w:p>
        </w:tc>
        <w:tc>
          <w:tcPr>
            <w:tcW w:w="960" w:type="dxa"/>
            <w:vAlign w:val="bottom"/>
            <w:vMerge w:val="restart"/>
          </w:tcPr>
          <w:p>
            <w:pPr>
              <w:jc w:val="center"/>
              <w:ind w:right="252"/>
              <w:spacing w:after="0"/>
              <w:rPr>
                <w:sz w:val="20"/>
                <w:szCs w:val="20"/>
                <w:color w:val="auto"/>
              </w:rPr>
            </w:pPr>
            <w:r>
              <w:rPr>
                <w:rFonts w:ascii="Arial" w:cs="Arial" w:eastAsia="Arial" w:hAnsi="Arial"/>
                <w:sz w:val="10"/>
                <w:szCs w:val="10"/>
                <w:b w:val="1"/>
                <w:bCs w:val="1"/>
                <w:color w:val="auto"/>
                <w:w w:val="98"/>
              </w:rPr>
              <w:t>Cost of</w:t>
            </w:r>
          </w:p>
        </w:tc>
        <w:tc>
          <w:tcPr>
            <w:tcW w:w="1320" w:type="dxa"/>
            <w:vAlign w:val="bottom"/>
            <w:gridSpan w:val="2"/>
            <w:vMerge w:val="restart"/>
          </w:tcPr>
          <w:p>
            <w:pPr>
              <w:jc w:val="center"/>
              <w:ind w:right="52"/>
              <w:spacing w:after="0"/>
              <w:rPr>
                <w:sz w:val="20"/>
                <w:szCs w:val="20"/>
                <w:color w:val="auto"/>
              </w:rPr>
            </w:pPr>
            <w:r>
              <w:rPr>
                <w:rFonts w:ascii="Arial" w:cs="Arial" w:eastAsia="Arial" w:hAnsi="Arial"/>
                <w:sz w:val="10"/>
                <w:szCs w:val="10"/>
                <w:b w:val="1"/>
                <w:bCs w:val="1"/>
                <w:color w:val="auto"/>
                <w:w w:val="95"/>
              </w:rPr>
              <w:t>Selling, general and</w:t>
            </w:r>
          </w:p>
        </w:tc>
        <w:tc>
          <w:tcPr>
            <w:tcW w:w="240" w:type="dxa"/>
            <w:vAlign w:val="bottom"/>
          </w:tcPr>
          <w:p>
            <w:pPr>
              <w:spacing w:after="0"/>
              <w:rPr>
                <w:sz w:val="14"/>
                <w:szCs w:val="14"/>
                <w:color w:val="auto"/>
              </w:rPr>
            </w:pPr>
          </w:p>
        </w:tc>
        <w:tc>
          <w:tcPr>
            <w:tcW w:w="980" w:type="dxa"/>
            <w:vAlign w:val="bottom"/>
          </w:tcPr>
          <w:p>
            <w:pPr>
              <w:jc w:val="center"/>
              <w:ind w:right="392"/>
              <w:spacing w:after="0"/>
              <w:rPr>
                <w:sz w:val="20"/>
                <w:szCs w:val="20"/>
                <w:color w:val="auto"/>
              </w:rPr>
            </w:pPr>
            <w:r>
              <w:rPr>
                <w:rFonts w:ascii="Arial" w:cs="Arial" w:eastAsia="Arial" w:hAnsi="Arial"/>
                <w:sz w:val="10"/>
                <w:szCs w:val="10"/>
                <w:b w:val="1"/>
                <w:bCs w:val="1"/>
                <w:color w:val="auto"/>
                <w:w w:val="97"/>
              </w:rPr>
              <w:t>Other</w:t>
            </w:r>
          </w:p>
        </w:tc>
        <w:tc>
          <w:tcPr>
            <w:tcW w:w="1160" w:type="dxa"/>
            <w:vAlign w:val="bottom"/>
            <w:gridSpan w:val="2"/>
            <w:vMerge w:val="restart"/>
          </w:tcPr>
          <w:p>
            <w:pPr>
              <w:jc w:val="right"/>
              <w:ind w:right="172"/>
              <w:spacing w:after="0"/>
              <w:rPr>
                <w:sz w:val="20"/>
                <w:szCs w:val="20"/>
                <w:color w:val="auto"/>
              </w:rPr>
            </w:pPr>
            <w:r>
              <w:rPr>
                <w:rFonts w:ascii="Arial" w:cs="Arial" w:eastAsia="Arial" w:hAnsi="Arial"/>
                <w:sz w:val="10"/>
                <w:szCs w:val="10"/>
                <w:b w:val="1"/>
                <w:bCs w:val="1"/>
                <w:color w:val="auto"/>
              </w:rPr>
              <w:t>Interest and Other</w:t>
            </w:r>
          </w:p>
        </w:tc>
        <w:tc>
          <w:tcPr>
            <w:tcW w:w="0" w:type="dxa"/>
            <w:vAlign w:val="bottom"/>
          </w:tcPr>
          <w:p>
            <w:pPr>
              <w:spacing w:after="0"/>
              <w:rPr>
                <w:sz w:val="1"/>
                <w:szCs w:val="1"/>
                <w:color w:val="auto"/>
              </w:rPr>
            </w:pPr>
          </w:p>
        </w:tc>
      </w:tr>
      <w:tr>
        <w:trPr>
          <w:trHeight w:val="90"/>
        </w:trPr>
        <w:tc>
          <w:tcPr>
            <w:tcW w:w="3880" w:type="dxa"/>
            <w:vAlign w:val="bottom"/>
          </w:tcPr>
          <w:p>
            <w:pPr>
              <w:spacing w:after="0"/>
              <w:rPr>
                <w:sz w:val="7"/>
                <w:szCs w:val="7"/>
                <w:color w:val="auto"/>
              </w:rPr>
            </w:pPr>
          </w:p>
        </w:tc>
        <w:tc>
          <w:tcPr>
            <w:tcW w:w="880" w:type="dxa"/>
            <w:vAlign w:val="bottom"/>
            <w:vMerge w:val="restart"/>
          </w:tcPr>
          <w:p>
            <w:pPr>
              <w:ind w:left="400"/>
              <w:spacing w:after="0"/>
              <w:rPr>
                <w:sz w:val="20"/>
                <w:szCs w:val="20"/>
                <w:color w:val="auto"/>
              </w:rPr>
            </w:pPr>
            <w:r>
              <w:rPr>
                <w:rFonts w:ascii="Arial" w:cs="Arial" w:eastAsia="Arial" w:hAnsi="Arial"/>
                <w:sz w:val="10"/>
                <w:szCs w:val="10"/>
                <w:b w:val="1"/>
                <w:bCs w:val="1"/>
                <w:color w:val="auto"/>
              </w:rPr>
              <w:t>Net Sales</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jc w:val="center"/>
              <w:ind w:right="372"/>
              <w:spacing w:after="0" w:line="90" w:lineRule="exact"/>
              <w:rPr>
                <w:sz w:val="20"/>
                <w:szCs w:val="20"/>
                <w:color w:val="auto"/>
              </w:rPr>
            </w:pPr>
            <w:r>
              <w:rPr>
                <w:rFonts w:ascii="Arial" w:cs="Arial" w:eastAsia="Arial" w:hAnsi="Arial"/>
                <w:sz w:val="10"/>
                <w:szCs w:val="10"/>
                <w:b w:val="1"/>
                <w:bCs w:val="1"/>
                <w:color w:val="auto"/>
                <w:w w:val="95"/>
              </w:rPr>
              <w:t>(Income)</w:t>
            </w: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88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vMerge w:val="continue"/>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center"/>
              <w:ind w:right="272"/>
              <w:spacing w:after="0"/>
              <w:rPr>
                <w:sz w:val="20"/>
                <w:szCs w:val="20"/>
                <w:color w:val="auto"/>
              </w:rPr>
            </w:pPr>
            <w:r>
              <w:rPr>
                <w:rFonts w:ascii="Arial" w:cs="Arial" w:eastAsia="Arial" w:hAnsi="Arial"/>
                <w:sz w:val="10"/>
                <w:szCs w:val="10"/>
                <w:b w:val="1"/>
                <w:bCs w:val="1"/>
                <w:color w:val="auto"/>
                <w:w w:val="94"/>
              </w:rPr>
              <w:t>Products Sold</w:t>
            </w:r>
          </w:p>
        </w:tc>
        <w:tc>
          <w:tcPr>
            <w:tcW w:w="24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center"/>
              <w:ind w:right="252"/>
              <w:spacing w:after="0"/>
              <w:rPr>
                <w:sz w:val="20"/>
                <w:szCs w:val="20"/>
                <w:color w:val="auto"/>
              </w:rPr>
            </w:pPr>
            <w:r>
              <w:rPr>
                <w:rFonts w:ascii="Arial" w:cs="Arial" w:eastAsia="Arial" w:hAnsi="Arial"/>
                <w:sz w:val="10"/>
                <w:szCs w:val="10"/>
                <w:b w:val="1"/>
                <w:bCs w:val="1"/>
                <w:color w:val="auto"/>
                <w:w w:val="94"/>
              </w:rPr>
              <w:t>Services Sold</w:t>
            </w:r>
          </w:p>
        </w:tc>
        <w:tc>
          <w:tcPr>
            <w:tcW w:w="1320" w:type="dxa"/>
            <w:vAlign w:val="bottom"/>
            <w:tcBorders>
              <w:bottom w:val="single" w:sz="8" w:color="DC202E"/>
            </w:tcBorders>
            <w:gridSpan w:val="2"/>
          </w:tcPr>
          <w:p>
            <w:pPr>
              <w:jc w:val="center"/>
              <w:ind w:right="72"/>
              <w:spacing w:after="0"/>
              <w:rPr>
                <w:sz w:val="20"/>
                <w:szCs w:val="20"/>
                <w:color w:val="auto"/>
              </w:rPr>
            </w:pPr>
            <w:r>
              <w:rPr>
                <w:rFonts w:ascii="Arial" w:cs="Arial" w:eastAsia="Arial" w:hAnsi="Arial"/>
                <w:sz w:val="10"/>
                <w:szCs w:val="10"/>
                <w:b w:val="1"/>
                <w:bCs w:val="1"/>
                <w:color w:val="auto"/>
                <w:w w:val="96"/>
              </w:rPr>
              <w:t>administrative expenses</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center"/>
              <w:ind w:right="372"/>
              <w:spacing w:after="0"/>
              <w:rPr>
                <w:sz w:val="20"/>
                <w:szCs w:val="20"/>
                <w:color w:val="auto"/>
              </w:rPr>
            </w:pPr>
            <w:r>
              <w:rPr>
                <w:rFonts w:ascii="Arial" w:cs="Arial" w:eastAsia="Arial" w:hAnsi="Arial"/>
                <w:sz w:val="10"/>
                <w:szCs w:val="10"/>
                <w:b w:val="1"/>
                <w:bCs w:val="1"/>
                <w:color w:val="auto"/>
                <w:w w:val="97"/>
              </w:rPr>
              <w:t>Expense</w:t>
            </w:r>
          </w:p>
        </w:tc>
        <w:tc>
          <w:tcPr>
            <w:tcW w:w="1160" w:type="dxa"/>
            <w:vAlign w:val="bottom"/>
            <w:tcBorders>
              <w:bottom w:val="single" w:sz="8" w:color="DC202E"/>
            </w:tcBorders>
            <w:gridSpan w:val="2"/>
          </w:tcPr>
          <w:p>
            <w:pPr>
              <w:jc w:val="right"/>
              <w:ind w:right="172"/>
              <w:spacing w:after="0"/>
              <w:rPr>
                <w:sz w:val="20"/>
                <w:szCs w:val="20"/>
                <w:color w:val="auto"/>
              </w:rPr>
            </w:pPr>
            <w:r>
              <w:rPr>
                <w:rFonts w:ascii="Arial" w:cs="Arial" w:eastAsia="Arial" w:hAnsi="Arial"/>
                <w:sz w:val="10"/>
                <w:szCs w:val="10"/>
                <w:b w:val="1"/>
                <w:bCs w:val="1"/>
                <w:color w:val="auto"/>
              </w:rPr>
              <w:t>Financial Charges</w:t>
            </w:r>
          </w:p>
        </w:tc>
        <w:tc>
          <w:tcPr>
            <w:tcW w:w="0" w:type="dxa"/>
            <w:vAlign w:val="bottom"/>
          </w:tcPr>
          <w:p>
            <w:pPr>
              <w:spacing w:after="0"/>
              <w:rPr>
                <w:sz w:val="1"/>
                <w:szCs w:val="1"/>
                <w:color w:val="auto"/>
              </w:rPr>
            </w:pPr>
          </w:p>
        </w:tc>
      </w:tr>
      <w:tr>
        <w:trPr>
          <w:trHeight w:val="115"/>
        </w:trPr>
        <w:tc>
          <w:tcPr>
            <w:tcW w:w="4760" w:type="dxa"/>
            <w:vAlign w:val="bottom"/>
            <w:gridSpan w:val="2"/>
          </w:tcPr>
          <w:p>
            <w:pPr>
              <w:ind w:left="4120"/>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92"/>
              <w:spacing w:after="0"/>
              <w:rPr>
                <w:sz w:val="20"/>
                <w:szCs w:val="20"/>
                <w:color w:val="auto"/>
              </w:rPr>
            </w:pPr>
            <w:r>
              <w:rPr>
                <w:rFonts w:ascii="Arial" w:cs="Arial" w:eastAsia="Arial" w:hAnsi="Arial"/>
                <w:sz w:val="10"/>
                <w:szCs w:val="10"/>
                <w:color w:val="auto"/>
                <w:w w:val="97"/>
              </w:rPr>
              <w:t>34,392</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32"/>
              <w:spacing w:after="0"/>
              <w:rPr>
                <w:sz w:val="20"/>
                <w:szCs w:val="20"/>
                <w:color w:val="auto"/>
              </w:rPr>
            </w:pPr>
            <w:r>
              <w:rPr>
                <w:rFonts w:ascii="Arial" w:cs="Arial" w:eastAsia="Arial" w:hAnsi="Arial"/>
                <w:sz w:val="10"/>
                <w:szCs w:val="10"/>
                <w:color w:val="auto"/>
              </w:rPr>
              <w:t>18,344</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2"/>
              <w:spacing w:after="0"/>
              <w:rPr>
                <w:sz w:val="20"/>
                <w:szCs w:val="20"/>
                <w:color w:val="auto"/>
              </w:rPr>
            </w:pPr>
            <w:r>
              <w:rPr>
                <w:rFonts w:ascii="Arial" w:cs="Arial" w:eastAsia="Arial" w:hAnsi="Arial"/>
                <w:sz w:val="10"/>
                <w:szCs w:val="10"/>
                <w:color w:val="auto"/>
              </w:rPr>
              <w:t>5,050</w:t>
            </w:r>
          </w:p>
        </w:tc>
        <w:tc>
          <w:tcPr>
            <w:tcW w:w="820" w:type="dxa"/>
            <w:vAlign w:val="bottom"/>
          </w:tcPr>
          <w:p>
            <w:pPr>
              <w:jc w:val="right"/>
              <w:ind w:right="512"/>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92"/>
              <w:spacing w:after="0"/>
              <w:rPr>
                <w:sz w:val="20"/>
                <w:szCs w:val="20"/>
                <w:color w:val="auto"/>
              </w:rPr>
            </w:pPr>
            <w:r>
              <w:rPr>
                <w:rFonts w:ascii="Arial" w:cs="Arial" w:eastAsia="Arial" w:hAnsi="Arial"/>
                <w:sz w:val="10"/>
                <w:szCs w:val="10"/>
                <w:color w:val="auto"/>
              </w:rPr>
              <w:t>4,798</w:t>
            </w:r>
          </w:p>
        </w:tc>
        <w:tc>
          <w:tcPr>
            <w:tcW w:w="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(1,378)</w:t>
            </w:r>
          </w:p>
        </w:tc>
        <w:tc>
          <w:tcPr>
            <w:tcW w:w="56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2"/>
              <w:spacing w:after="0"/>
              <w:rPr>
                <w:sz w:val="20"/>
                <w:szCs w:val="20"/>
                <w:color w:val="auto"/>
              </w:rPr>
            </w:pPr>
            <w:r>
              <w:rPr>
                <w:rFonts w:ascii="Arial" w:cs="Arial" w:eastAsia="Arial" w:hAnsi="Arial"/>
                <w:sz w:val="10"/>
                <w:szCs w:val="10"/>
                <w:color w:val="auto"/>
              </w:rPr>
              <w:t>343</w:t>
            </w:r>
          </w:p>
        </w:tc>
        <w:tc>
          <w:tcPr>
            <w:tcW w:w="0" w:type="dxa"/>
            <w:vAlign w:val="bottom"/>
          </w:tcPr>
          <w:p>
            <w:pPr>
              <w:spacing w:after="0"/>
              <w:rPr>
                <w:sz w:val="1"/>
                <w:szCs w:val="1"/>
                <w:color w:val="auto"/>
              </w:rPr>
            </w:pPr>
          </w:p>
        </w:tc>
      </w:tr>
      <w:tr>
        <w:trPr>
          <w:trHeight w:val="126"/>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B6B6B6"/>
            </w:tcBorders>
            <w:gridSpan w:val="2"/>
          </w:tcPr>
          <w:p>
            <w:pPr>
              <w:ind w:left="220"/>
              <w:spacing w:after="0"/>
              <w:rPr>
                <w:sz w:val="20"/>
                <w:szCs w:val="20"/>
                <w:color w:val="auto"/>
              </w:rPr>
            </w:pPr>
            <w:r>
              <w:rPr>
                <w:rFonts w:ascii="Arial" w:cs="Arial" w:eastAsia="Arial" w:hAnsi="Arial"/>
                <w:sz w:val="10"/>
                <w:szCs w:val="10"/>
                <w:color w:val="auto"/>
              </w:rPr>
              <w:t>Amount reclassified from accumulated other comprehensive income into income</w:t>
            </w:r>
          </w:p>
        </w:tc>
        <w:tc>
          <w:tcPr>
            <w:tcW w:w="460" w:type="dxa"/>
            <w:vAlign w:val="bottom"/>
            <w:tcBorders>
              <w:bottom w:val="single" w:sz="8" w:color="B6B6B6"/>
            </w:tcBorders>
          </w:tcPr>
          <w:p>
            <w:pPr>
              <w:jc w:val="right"/>
              <w:ind w:right="92"/>
              <w:spacing w:after="0"/>
              <w:rPr>
                <w:sz w:val="20"/>
                <w:szCs w:val="20"/>
                <w:color w:val="auto"/>
              </w:rPr>
            </w:pPr>
            <w:r>
              <w:rPr>
                <w:rFonts w:ascii="Arial" w:cs="Arial" w:eastAsia="Arial" w:hAnsi="Arial"/>
                <w:sz w:val="10"/>
                <w:szCs w:val="10"/>
                <w:color w:val="auto"/>
              </w:rPr>
              <w:t>5</w:t>
            </w:r>
          </w:p>
        </w:tc>
        <w:tc>
          <w:tcPr>
            <w:tcW w:w="180" w:type="dxa"/>
            <w:vAlign w:val="bottom"/>
            <w:tcBorders>
              <w:bottom w:val="single" w:sz="8" w:color="B6B6B6"/>
            </w:tcBorders>
          </w:tcPr>
          <w:p>
            <w:pPr>
              <w:spacing w:after="0"/>
              <w:rPr>
                <w:sz w:val="10"/>
                <w:szCs w:val="10"/>
                <w:color w:val="auto"/>
              </w:rPr>
            </w:pPr>
          </w:p>
        </w:tc>
        <w:tc>
          <w:tcPr>
            <w:tcW w:w="1000" w:type="dxa"/>
            <w:vAlign w:val="bottom"/>
            <w:tcBorders>
              <w:bottom w:val="single" w:sz="8" w:color="B6B6B6"/>
            </w:tcBorders>
          </w:tcPr>
          <w:p>
            <w:pPr>
              <w:jc w:val="right"/>
              <w:ind w:right="32"/>
              <w:spacing w:after="0"/>
              <w:rPr>
                <w:sz w:val="20"/>
                <w:szCs w:val="20"/>
                <w:color w:val="auto"/>
              </w:rPr>
            </w:pPr>
            <w:r>
              <w:rPr>
                <w:rFonts w:ascii="Arial" w:cs="Arial" w:eastAsia="Arial" w:hAnsi="Arial"/>
                <w:sz w:val="10"/>
                <w:szCs w:val="10"/>
                <w:color w:val="auto"/>
              </w:rPr>
              <w:t>8</w:t>
            </w:r>
          </w:p>
        </w:tc>
        <w:tc>
          <w:tcPr>
            <w:tcW w:w="240" w:type="dxa"/>
            <w:vAlign w:val="bottom"/>
            <w:tcBorders>
              <w:bottom w:val="single" w:sz="8" w:color="B6B6B6"/>
            </w:tcBorders>
          </w:tcPr>
          <w:p>
            <w:pPr>
              <w:spacing w:after="0"/>
              <w:rPr>
                <w:sz w:val="10"/>
                <w:szCs w:val="10"/>
                <w:color w:val="auto"/>
              </w:rPr>
            </w:pPr>
          </w:p>
        </w:tc>
        <w:tc>
          <w:tcPr>
            <w:tcW w:w="960" w:type="dxa"/>
            <w:vAlign w:val="bottom"/>
            <w:tcBorders>
              <w:bottom w:val="single" w:sz="8" w:color="B6B6B6"/>
            </w:tcBorders>
          </w:tcPr>
          <w:p>
            <w:pPr>
              <w:jc w:val="right"/>
              <w:ind w:right="12"/>
              <w:spacing w:after="0"/>
              <w:rPr>
                <w:sz w:val="20"/>
                <w:szCs w:val="20"/>
                <w:color w:val="auto"/>
              </w:rPr>
            </w:pPr>
            <w:r>
              <w:rPr>
                <w:rFonts w:ascii="Arial" w:cs="Arial" w:eastAsia="Arial" w:hAnsi="Arial"/>
                <w:sz w:val="10"/>
                <w:szCs w:val="10"/>
                <w:color w:val="auto"/>
              </w:rPr>
              <w:t>2</w:t>
            </w:r>
          </w:p>
        </w:tc>
        <w:tc>
          <w:tcPr>
            <w:tcW w:w="820" w:type="dxa"/>
            <w:vAlign w:val="bottom"/>
            <w:tcBorders>
              <w:bottom w:val="single" w:sz="8" w:color="B6B6B6"/>
            </w:tcBorders>
          </w:tcPr>
          <w:p>
            <w:pPr>
              <w:spacing w:after="0"/>
              <w:rPr>
                <w:sz w:val="10"/>
                <w:szCs w:val="10"/>
                <w:color w:val="auto"/>
              </w:rPr>
            </w:pPr>
          </w:p>
        </w:tc>
        <w:tc>
          <w:tcPr>
            <w:tcW w:w="500" w:type="dxa"/>
            <w:vAlign w:val="bottom"/>
            <w:tcBorders>
              <w:bottom w:val="single" w:sz="8" w:color="B6B6B6"/>
            </w:tcBorders>
          </w:tcPr>
          <w:p>
            <w:pPr>
              <w:jc w:val="right"/>
              <w:ind w:right="92"/>
              <w:spacing w:after="0"/>
              <w:rPr>
                <w:sz w:val="20"/>
                <w:szCs w:val="20"/>
                <w:color w:val="auto"/>
              </w:rPr>
            </w:pPr>
            <w:r>
              <w:rPr>
                <w:rFonts w:ascii="Arial" w:cs="Arial" w:eastAsia="Arial" w:hAnsi="Arial"/>
                <w:sz w:val="10"/>
                <w:szCs w:val="10"/>
                <w:color w:val="auto"/>
              </w:rPr>
              <w:t>9</w:t>
            </w:r>
          </w:p>
        </w:tc>
        <w:tc>
          <w:tcPr>
            <w:tcW w:w="240" w:type="dxa"/>
            <w:vAlign w:val="bottom"/>
            <w:tcBorders>
              <w:bottom w:val="single" w:sz="8" w:color="B6B6B6"/>
            </w:tcBorders>
          </w:tcPr>
          <w:p>
            <w:pPr>
              <w:spacing w:after="0"/>
              <w:rPr>
                <w:sz w:val="10"/>
                <w:szCs w:val="10"/>
                <w:color w:val="auto"/>
              </w:rPr>
            </w:pPr>
          </w:p>
        </w:tc>
        <w:tc>
          <w:tcPr>
            <w:tcW w:w="980" w:type="dxa"/>
            <w:vAlign w:val="bottom"/>
            <w:tcBorders>
              <w:bottom w:val="single" w:sz="8" w:color="B6B6B6"/>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B6B6B6"/>
            </w:tcBorders>
          </w:tcPr>
          <w:p>
            <w:pPr>
              <w:spacing w:after="0"/>
              <w:rPr>
                <w:sz w:val="10"/>
                <w:szCs w:val="10"/>
                <w:color w:val="auto"/>
              </w:rPr>
            </w:pPr>
          </w:p>
        </w:tc>
        <w:tc>
          <w:tcPr>
            <w:tcW w:w="600" w:type="dxa"/>
            <w:vAlign w:val="bottom"/>
            <w:tcBorders>
              <w:bottom w:val="single" w:sz="8" w:color="B6B6B6"/>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Hedged items</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Derivatives designated as hedges</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760" w:type="dxa"/>
            <w:vAlign w:val="bottom"/>
            <w:gridSpan w:val="2"/>
          </w:tcPr>
          <w:p>
            <w:pPr>
              <w:ind w:left="220"/>
              <w:spacing w:after="0" w:line="92"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46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7"/>
                <w:szCs w:val="7"/>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14"/>
        </w:trPr>
        <w:tc>
          <w:tcPr>
            <w:tcW w:w="4760" w:type="dxa"/>
            <w:vAlign w:val="bottom"/>
            <w:tcBorders>
              <w:bottom w:val="single" w:sz="8" w:color="939598"/>
            </w:tcBorders>
            <w:gridSpan w:val="2"/>
          </w:tcPr>
          <w:p>
            <w:pPr>
              <w:ind w:left="220"/>
              <w:spacing w:after="0" w:line="114" w:lineRule="exact"/>
              <w:rPr>
                <w:sz w:val="20"/>
                <w:szCs w:val="20"/>
                <w:color w:val="auto"/>
              </w:rPr>
            </w:pPr>
            <w:r>
              <w:rPr>
                <w:rFonts w:ascii="Arial" w:cs="Arial" w:eastAsia="Arial" w:hAnsi="Arial"/>
                <w:sz w:val="10"/>
                <w:szCs w:val="10"/>
                <w:color w:val="auto"/>
              </w:rPr>
              <w:t>amortization approach</w:t>
            </w:r>
          </w:p>
        </w:tc>
        <w:tc>
          <w:tcPr>
            <w:tcW w:w="460" w:type="dxa"/>
            <w:vAlign w:val="bottom"/>
            <w:tcBorders>
              <w:bottom w:val="single" w:sz="8" w:color="939598"/>
            </w:tcBorders>
            <w:vMerge w:val="continue"/>
          </w:tcPr>
          <w:p>
            <w:pPr>
              <w:spacing w:after="0"/>
              <w:rPr>
                <w:sz w:val="9"/>
                <w:szCs w:val="9"/>
                <w:color w:val="auto"/>
              </w:rPr>
            </w:pPr>
          </w:p>
        </w:tc>
        <w:tc>
          <w:tcPr>
            <w:tcW w:w="180" w:type="dxa"/>
            <w:vAlign w:val="bottom"/>
            <w:tcBorders>
              <w:bottom w:val="single" w:sz="8" w:color="939598"/>
            </w:tcBorders>
          </w:tcPr>
          <w:p>
            <w:pPr>
              <w:spacing w:after="0"/>
              <w:rPr>
                <w:sz w:val="9"/>
                <w:szCs w:val="9"/>
                <w:color w:val="auto"/>
              </w:rPr>
            </w:pPr>
          </w:p>
        </w:tc>
        <w:tc>
          <w:tcPr>
            <w:tcW w:w="10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60" w:type="dxa"/>
            <w:vAlign w:val="bottom"/>
            <w:tcBorders>
              <w:bottom w:val="single" w:sz="8" w:color="939598"/>
            </w:tcBorders>
            <w:vMerge w:val="continue"/>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80" w:type="dxa"/>
            <w:vAlign w:val="bottom"/>
            <w:tcBorders>
              <w:bottom w:val="single" w:sz="8" w:color="939598"/>
            </w:tcBorders>
            <w:vMerge w:val="continue"/>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c>
          <w:tcPr>
            <w:tcW w:w="600" w:type="dxa"/>
            <w:vAlign w:val="bottom"/>
            <w:tcBorders>
              <w:bottom w:val="single" w:sz="8" w:color="93959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DC202E"/>
            </w:tcBorders>
            <w:gridSpan w:val="2"/>
          </w:tcPr>
          <w:p>
            <w:pPr>
              <w:ind w:left="22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195</w:t>
            </w:r>
          </w:p>
        </w:tc>
        <w:tc>
          <w:tcPr>
            <w:tcW w:w="56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3"/>
        </w:trPr>
        <w:tc>
          <w:tcPr>
            <w:tcW w:w="3880" w:type="dxa"/>
            <w:vAlign w:val="bottom"/>
          </w:tcPr>
          <w:p>
            <w:pPr>
              <w:spacing w:after="0"/>
              <w:rPr>
                <w:sz w:val="24"/>
                <w:szCs w:val="24"/>
                <w:color w:val="auto"/>
              </w:rPr>
            </w:pPr>
          </w:p>
        </w:tc>
        <w:tc>
          <w:tcPr>
            <w:tcW w:w="880" w:type="dxa"/>
            <w:vAlign w:val="bottom"/>
            <w:tcBorders>
              <w:bottom w:val="single" w:sz="8" w:color="DC202E"/>
            </w:tcBorders>
          </w:tcPr>
          <w:p>
            <w:pPr>
              <w:spacing w:after="0"/>
              <w:rPr>
                <w:sz w:val="24"/>
                <w:szCs w:val="24"/>
                <w:color w:val="auto"/>
              </w:rPr>
            </w:pPr>
          </w:p>
        </w:tc>
        <w:tc>
          <w:tcPr>
            <w:tcW w:w="460" w:type="dxa"/>
            <w:vAlign w:val="bottom"/>
            <w:tcBorders>
              <w:bottom w:val="single" w:sz="8" w:color="DC202E"/>
            </w:tcBorders>
          </w:tcPr>
          <w:p>
            <w:pPr>
              <w:spacing w:after="0"/>
              <w:rPr>
                <w:sz w:val="24"/>
                <w:szCs w:val="24"/>
                <w:color w:val="auto"/>
              </w:rPr>
            </w:pPr>
          </w:p>
        </w:tc>
        <w:tc>
          <w:tcPr>
            <w:tcW w:w="180" w:type="dxa"/>
            <w:vAlign w:val="bottom"/>
            <w:tcBorders>
              <w:bottom w:val="single" w:sz="8" w:color="DC202E"/>
            </w:tcBorders>
          </w:tcPr>
          <w:p>
            <w:pPr>
              <w:spacing w:after="0"/>
              <w:rPr>
                <w:sz w:val="24"/>
                <w:szCs w:val="24"/>
                <w:color w:val="auto"/>
              </w:rPr>
            </w:pPr>
          </w:p>
        </w:tc>
        <w:tc>
          <w:tcPr>
            <w:tcW w:w="1000" w:type="dxa"/>
            <w:vAlign w:val="bottom"/>
            <w:tcBorders>
              <w:bottom w:val="single" w:sz="8" w:color="DC202E"/>
            </w:tcBorders>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1780" w:type="dxa"/>
            <w:vAlign w:val="bottom"/>
            <w:tcBorders>
              <w:bottom w:val="single" w:sz="8" w:color="DC202E"/>
            </w:tcBorders>
            <w:gridSpan w:val="2"/>
          </w:tcPr>
          <w:p>
            <w:pPr>
              <w:jc w:val="right"/>
              <w:ind w:right="72"/>
              <w:spacing w:after="0"/>
              <w:rPr>
                <w:sz w:val="20"/>
                <w:szCs w:val="20"/>
                <w:color w:val="auto"/>
              </w:rPr>
            </w:pPr>
            <w:r>
              <w:rPr>
                <w:rFonts w:ascii="Arial" w:cs="Arial" w:eastAsia="Arial" w:hAnsi="Arial"/>
                <w:sz w:val="10"/>
                <w:szCs w:val="10"/>
                <w:b w:val="1"/>
                <w:bCs w:val="1"/>
                <w:color w:val="auto"/>
              </w:rPr>
              <w:t>Year Ended December 31, 2020</w:t>
            </w:r>
          </w:p>
        </w:tc>
        <w:tc>
          <w:tcPr>
            <w:tcW w:w="500" w:type="dxa"/>
            <w:vAlign w:val="bottom"/>
            <w:tcBorders>
              <w:bottom w:val="single" w:sz="8" w:color="DC202E"/>
            </w:tcBorders>
          </w:tcPr>
          <w:p>
            <w:pPr>
              <w:spacing w:after="0"/>
              <w:rPr>
                <w:sz w:val="24"/>
                <w:szCs w:val="24"/>
                <w:color w:val="auto"/>
              </w:rPr>
            </w:pPr>
          </w:p>
        </w:tc>
        <w:tc>
          <w:tcPr>
            <w:tcW w:w="240" w:type="dxa"/>
            <w:vAlign w:val="bottom"/>
            <w:tcBorders>
              <w:bottom w:val="single" w:sz="8" w:color="DC202E"/>
            </w:tcBorders>
          </w:tcPr>
          <w:p>
            <w:pPr>
              <w:spacing w:after="0"/>
              <w:rPr>
                <w:sz w:val="24"/>
                <w:szCs w:val="24"/>
                <w:color w:val="auto"/>
              </w:rPr>
            </w:pPr>
          </w:p>
        </w:tc>
        <w:tc>
          <w:tcPr>
            <w:tcW w:w="980" w:type="dxa"/>
            <w:vAlign w:val="bottom"/>
            <w:tcBorders>
              <w:bottom w:val="single" w:sz="8" w:color="DC202E"/>
            </w:tcBorders>
          </w:tcPr>
          <w:p>
            <w:pPr>
              <w:spacing w:after="0"/>
              <w:rPr>
                <w:sz w:val="24"/>
                <w:szCs w:val="24"/>
                <w:color w:val="auto"/>
              </w:rPr>
            </w:pPr>
          </w:p>
        </w:tc>
        <w:tc>
          <w:tcPr>
            <w:tcW w:w="560" w:type="dxa"/>
            <w:vAlign w:val="bottom"/>
            <w:tcBorders>
              <w:bottom w:val="single" w:sz="8" w:color="DC202E"/>
            </w:tcBorders>
          </w:tcPr>
          <w:p>
            <w:pPr>
              <w:spacing w:after="0"/>
              <w:rPr>
                <w:sz w:val="24"/>
                <w:szCs w:val="24"/>
                <w:color w:val="auto"/>
              </w:rPr>
            </w:pPr>
          </w:p>
        </w:tc>
        <w:tc>
          <w:tcPr>
            <w:tcW w:w="60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center"/>
              <w:ind w:right="272"/>
              <w:spacing w:after="0"/>
              <w:rPr>
                <w:sz w:val="20"/>
                <w:szCs w:val="20"/>
                <w:color w:val="auto"/>
              </w:rPr>
            </w:pPr>
            <w:r>
              <w:rPr>
                <w:rFonts w:ascii="Arial" w:cs="Arial" w:eastAsia="Arial" w:hAnsi="Arial"/>
                <w:sz w:val="10"/>
                <w:szCs w:val="10"/>
                <w:b w:val="1"/>
                <w:bCs w:val="1"/>
                <w:color w:val="auto"/>
                <w:w w:val="92"/>
              </w:rPr>
              <w:t>Cost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vMerge w:val="restart"/>
          </w:tcPr>
          <w:p>
            <w:pPr>
              <w:jc w:val="center"/>
              <w:ind w:right="52"/>
              <w:spacing w:after="0"/>
              <w:rPr>
                <w:sz w:val="20"/>
                <w:szCs w:val="20"/>
                <w:color w:val="auto"/>
              </w:rPr>
            </w:pPr>
            <w:r>
              <w:rPr>
                <w:rFonts w:ascii="Arial" w:cs="Arial" w:eastAsia="Arial" w:hAnsi="Arial"/>
                <w:sz w:val="10"/>
                <w:szCs w:val="10"/>
                <w:b w:val="1"/>
                <w:bCs w:val="1"/>
                <w:color w:val="auto"/>
                <w:w w:val="95"/>
              </w:rPr>
              <w:t>Selling, general and</w:t>
            </w:r>
          </w:p>
        </w:tc>
        <w:tc>
          <w:tcPr>
            <w:tcW w:w="240" w:type="dxa"/>
            <w:vAlign w:val="bottom"/>
          </w:tcPr>
          <w:p>
            <w:pPr>
              <w:spacing w:after="0"/>
              <w:rPr>
                <w:sz w:val="14"/>
                <w:szCs w:val="14"/>
                <w:color w:val="auto"/>
              </w:rPr>
            </w:pPr>
          </w:p>
        </w:tc>
        <w:tc>
          <w:tcPr>
            <w:tcW w:w="980" w:type="dxa"/>
            <w:vAlign w:val="bottom"/>
          </w:tcPr>
          <w:p>
            <w:pPr>
              <w:jc w:val="center"/>
              <w:ind w:right="392"/>
              <w:spacing w:after="0"/>
              <w:rPr>
                <w:sz w:val="20"/>
                <w:szCs w:val="20"/>
                <w:color w:val="auto"/>
              </w:rPr>
            </w:pPr>
            <w:r>
              <w:rPr>
                <w:rFonts w:ascii="Arial" w:cs="Arial" w:eastAsia="Arial" w:hAnsi="Arial"/>
                <w:sz w:val="10"/>
                <w:szCs w:val="10"/>
                <w:b w:val="1"/>
                <w:bCs w:val="1"/>
                <w:color w:val="auto"/>
                <w:w w:val="97"/>
              </w:rPr>
              <w:t>Other</w:t>
            </w:r>
          </w:p>
        </w:tc>
        <w:tc>
          <w:tcPr>
            <w:tcW w:w="1160" w:type="dxa"/>
            <w:vAlign w:val="bottom"/>
            <w:gridSpan w:val="2"/>
            <w:vMerge w:val="restart"/>
          </w:tcPr>
          <w:p>
            <w:pPr>
              <w:jc w:val="right"/>
              <w:ind w:right="172"/>
              <w:spacing w:after="0"/>
              <w:rPr>
                <w:sz w:val="20"/>
                <w:szCs w:val="20"/>
                <w:color w:val="auto"/>
              </w:rPr>
            </w:pPr>
            <w:r>
              <w:rPr>
                <w:rFonts w:ascii="Arial" w:cs="Arial" w:eastAsia="Arial" w:hAnsi="Arial"/>
                <w:sz w:val="10"/>
                <w:szCs w:val="10"/>
                <w:b w:val="1"/>
                <w:bCs w:val="1"/>
                <w:color w:val="auto"/>
              </w:rPr>
              <w:t>Interest and Other</w:t>
            </w:r>
          </w:p>
        </w:tc>
        <w:tc>
          <w:tcPr>
            <w:tcW w:w="0" w:type="dxa"/>
            <w:vAlign w:val="bottom"/>
          </w:tcPr>
          <w:p>
            <w:pPr>
              <w:spacing w:after="0"/>
              <w:rPr>
                <w:sz w:val="1"/>
                <w:szCs w:val="1"/>
                <w:color w:val="auto"/>
              </w:rPr>
            </w:pPr>
          </w:p>
        </w:tc>
      </w:tr>
      <w:tr>
        <w:trPr>
          <w:trHeight w:val="90"/>
        </w:trPr>
        <w:tc>
          <w:tcPr>
            <w:tcW w:w="3880" w:type="dxa"/>
            <w:vAlign w:val="bottom"/>
          </w:tcPr>
          <w:p>
            <w:pPr>
              <w:spacing w:after="0"/>
              <w:rPr>
                <w:sz w:val="7"/>
                <w:szCs w:val="7"/>
                <w:color w:val="auto"/>
              </w:rPr>
            </w:pPr>
          </w:p>
        </w:tc>
        <w:tc>
          <w:tcPr>
            <w:tcW w:w="880" w:type="dxa"/>
            <w:vAlign w:val="bottom"/>
            <w:vMerge w:val="restart"/>
          </w:tcPr>
          <w:p>
            <w:pPr>
              <w:ind w:left="400"/>
              <w:spacing w:after="0"/>
              <w:rPr>
                <w:sz w:val="20"/>
                <w:szCs w:val="20"/>
                <w:color w:val="auto"/>
              </w:rPr>
            </w:pPr>
            <w:r>
              <w:rPr>
                <w:rFonts w:ascii="Arial" w:cs="Arial" w:eastAsia="Arial" w:hAnsi="Arial"/>
                <w:sz w:val="10"/>
                <w:szCs w:val="10"/>
                <w:b w:val="1"/>
                <w:bCs w:val="1"/>
                <w:color w:val="auto"/>
              </w:rPr>
              <w:t>Net Sales</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0" w:type="dxa"/>
            <w:vAlign w:val="bottom"/>
            <w:gridSpan w:val="2"/>
            <w:vMerge w:val="restart"/>
          </w:tcPr>
          <w:p>
            <w:pPr>
              <w:jc w:val="center"/>
              <w:ind w:right="12"/>
              <w:spacing w:after="0"/>
              <w:rPr>
                <w:sz w:val="20"/>
                <w:szCs w:val="20"/>
                <w:color w:val="auto"/>
              </w:rPr>
            </w:pPr>
            <w:r>
              <w:rPr>
                <w:rFonts w:ascii="Arial" w:cs="Arial" w:eastAsia="Arial" w:hAnsi="Arial"/>
                <w:sz w:val="10"/>
                <w:szCs w:val="10"/>
                <w:b w:val="1"/>
                <w:bCs w:val="1"/>
                <w:color w:val="auto"/>
                <w:w w:val="95"/>
              </w:rPr>
              <w:t>Cost of Services Sold</w:t>
            </w:r>
          </w:p>
        </w:tc>
        <w:tc>
          <w:tcPr>
            <w:tcW w:w="13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jc w:val="center"/>
              <w:ind w:right="372"/>
              <w:spacing w:after="0" w:line="90" w:lineRule="exact"/>
              <w:rPr>
                <w:sz w:val="20"/>
                <w:szCs w:val="20"/>
                <w:color w:val="auto"/>
              </w:rPr>
            </w:pPr>
            <w:r>
              <w:rPr>
                <w:rFonts w:ascii="Arial" w:cs="Arial" w:eastAsia="Arial" w:hAnsi="Arial"/>
                <w:sz w:val="10"/>
                <w:szCs w:val="10"/>
                <w:b w:val="1"/>
                <w:bCs w:val="1"/>
                <w:color w:val="auto"/>
                <w:w w:val="95"/>
              </w:rPr>
              <w:t>(Income)</w:t>
            </w: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88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vMerge w:val="continue"/>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center"/>
              <w:ind w:right="272"/>
              <w:spacing w:after="0"/>
              <w:rPr>
                <w:sz w:val="20"/>
                <w:szCs w:val="20"/>
                <w:color w:val="auto"/>
              </w:rPr>
            </w:pPr>
            <w:r>
              <w:rPr>
                <w:rFonts w:ascii="Arial" w:cs="Arial" w:eastAsia="Arial" w:hAnsi="Arial"/>
                <w:sz w:val="10"/>
                <w:szCs w:val="10"/>
                <w:b w:val="1"/>
                <w:bCs w:val="1"/>
                <w:color w:val="auto"/>
                <w:w w:val="94"/>
              </w:rPr>
              <w:t>Products Sold</w:t>
            </w:r>
          </w:p>
        </w:tc>
        <w:tc>
          <w:tcPr>
            <w:tcW w:w="1200" w:type="dxa"/>
            <w:vAlign w:val="bottom"/>
            <w:tcBorders>
              <w:bottom w:val="single" w:sz="8" w:color="DC202E"/>
            </w:tcBorders>
            <w:gridSpan w:val="2"/>
            <w:vMerge w:val="continue"/>
          </w:tcPr>
          <w:p>
            <w:pPr>
              <w:spacing w:after="0"/>
              <w:rPr>
                <w:sz w:val="10"/>
                <w:szCs w:val="10"/>
                <w:color w:val="auto"/>
              </w:rPr>
            </w:pPr>
          </w:p>
        </w:tc>
        <w:tc>
          <w:tcPr>
            <w:tcW w:w="1320" w:type="dxa"/>
            <w:vAlign w:val="bottom"/>
            <w:tcBorders>
              <w:bottom w:val="single" w:sz="8" w:color="DC202E"/>
            </w:tcBorders>
            <w:gridSpan w:val="2"/>
          </w:tcPr>
          <w:p>
            <w:pPr>
              <w:jc w:val="center"/>
              <w:ind w:right="72"/>
              <w:spacing w:after="0"/>
              <w:rPr>
                <w:sz w:val="20"/>
                <w:szCs w:val="20"/>
                <w:color w:val="auto"/>
              </w:rPr>
            </w:pPr>
            <w:r>
              <w:rPr>
                <w:rFonts w:ascii="Arial" w:cs="Arial" w:eastAsia="Arial" w:hAnsi="Arial"/>
                <w:sz w:val="10"/>
                <w:szCs w:val="10"/>
                <w:b w:val="1"/>
                <w:bCs w:val="1"/>
                <w:color w:val="auto"/>
                <w:w w:val="96"/>
              </w:rPr>
              <w:t>administrative expenses</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center"/>
              <w:ind w:right="372"/>
              <w:spacing w:after="0"/>
              <w:rPr>
                <w:sz w:val="20"/>
                <w:szCs w:val="20"/>
                <w:color w:val="auto"/>
              </w:rPr>
            </w:pPr>
            <w:r>
              <w:rPr>
                <w:rFonts w:ascii="Arial" w:cs="Arial" w:eastAsia="Arial" w:hAnsi="Arial"/>
                <w:sz w:val="10"/>
                <w:szCs w:val="10"/>
                <w:b w:val="1"/>
                <w:bCs w:val="1"/>
                <w:color w:val="auto"/>
                <w:w w:val="97"/>
              </w:rPr>
              <w:t>Expense</w:t>
            </w:r>
          </w:p>
        </w:tc>
        <w:tc>
          <w:tcPr>
            <w:tcW w:w="1160" w:type="dxa"/>
            <w:vAlign w:val="bottom"/>
            <w:tcBorders>
              <w:bottom w:val="single" w:sz="8" w:color="DC202E"/>
            </w:tcBorders>
            <w:gridSpan w:val="2"/>
          </w:tcPr>
          <w:p>
            <w:pPr>
              <w:jc w:val="right"/>
              <w:ind w:right="172"/>
              <w:spacing w:after="0"/>
              <w:rPr>
                <w:sz w:val="20"/>
                <w:szCs w:val="20"/>
                <w:color w:val="auto"/>
              </w:rPr>
            </w:pPr>
            <w:r>
              <w:rPr>
                <w:rFonts w:ascii="Arial" w:cs="Arial" w:eastAsia="Arial" w:hAnsi="Arial"/>
                <w:sz w:val="10"/>
                <w:szCs w:val="10"/>
                <w:b w:val="1"/>
                <w:bCs w:val="1"/>
                <w:color w:val="auto"/>
              </w:rPr>
              <w:t>Financial Charges</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412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7"/>
              </w:rPr>
              <w:t>32,637</w:t>
            </w:r>
          </w:p>
        </w:tc>
        <w:tc>
          <w:tcPr>
            <w:tcW w:w="1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17,638</w:t>
            </w: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4,531</w:t>
            </w:r>
          </w:p>
        </w:tc>
        <w:tc>
          <w:tcPr>
            <w:tcW w:w="820" w:type="dxa"/>
            <w:vAlign w:val="bottom"/>
            <w:tcBorders>
              <w:bottom w:val="single" w:sz="8" w:color="939598"/>
            </w:tcBorders>
          </w:tcPr>
          <w:p>
            <w:pPr>
              <w:jc w:val="right"/>
              <w:ind w:right="5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4,772</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(675)</w:t>
            </w:r>
          </w:p>
        </w:tc>
        <w:tc>
          <w:tcPr>
            <w:tcW w:w="5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359</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Amount reclassified from accumulated other comprehensive income into income</w:t>
            </w: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11</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28</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1"/>
        </w:trPr>
        <w:tc>
          <w:tcPr>
            <w:tcW w:w="4760" w:type="dxa"/>
            <w:vAlign w:val="bottom"/>
            <w:gridSpan w:val="2"/>
          </w:tcPr>
          <w:p>
            <w:pPr>
              <w:ind w:left="220"/>
              <w:spacing w:after="0" w:line="92"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46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0"/>
                <w:szCs w:val="10"/>
                <w:color w:val="auto"/>
              </w:rPr>
              <w:t>10</w:t>
            </w:r>
          </w:p>
        </w:tc>
        <w:tc>
          <w:tcPr>
            <w:tcW w:w="240" w:type="dxa"/>
            <w:vAlign w:val="bottom"/>
          </w:tcPr>
          <w:p>
            <w:pPr>
              <w:spacing w:after="0"/>
              <w:rPr>
                <w:sz w:val="7"/>
                <w:szCs w:val="7"/>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0"/>
                <w:szCs w:val="10"/>
                <w:color w:val="auto"/>
              </w:rPr>
              <w:t>3</w:t>
            </w:r>
          </w:p>
        </w:tc>
        <w:tc>
          <w:tcPr>
            <w:tcW w:w="820" w:type="dxa"/>
            <w:vAlign w:val="bottom"/>
          </w:tcPr>
          <w:p>
            <w:pPr>
              <w:spacing w:after="0"/>
              <w:rPr>
                <w:sz w:val="7"/>
                <w:szCs w:val="7"/>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0"/>
                <w:szCs w:val="10"/>
                <w:color w:val="auto"/>
              </w:rPr>
              <w:t>29</w:t>
            </w:r>
          </w:p>
        </w:tc>
        <w:tc>
          <w:tcPr>
            <w:tcW w:w="560" w:type="dxa"/>
            <w:vAlign w:val="bottom"/>
          </w:tcPr>
          <w:p>
            <w:pPr>
              <w:spacing w:after="0"/>
              <w:rPr>
                <w:sz w:val="7"/>
                <w:szCs w:val="7"/>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4760" w:type="dxa"/>
            <w:vAlign w:val="bottom"/>
            <w:tcBorders>
              <w:bottom w:val="single" w:sz="8" w:color="939598"/>
            </w:tcBorders>
            <w:gridSpan w:val="2"/>
          </w:tcPr>
          <w:p>
            <w:pPr>
              <w:ind w:left="220"/>
              <w:spacing w:after="0" w:line="114" w:lineRule="exact"/>
              <w:rPr>
                <w:sz w:val="20"/>
                <w:szCs w:val="20"/>
                <w:color w:val="auto"/>
              </w:rPr>
            </w:pPr>
            <w:r>
              <w:rPr>
                <w:rFonts w:ascii="Arial" w:cs="Arial" w:eastAsia="Arial" w:hAnsi="Arial"/>
                <w:sz w:val="10"/>
                <w:szCs w:val="10"/>
                <w:color w:val="auto"/>
              </w:rPr>
              <w:t>amortization approach</w:t>
            </w:r>
          </w:p>
        </w:tc>
        <w:tc>
          <w:tcPr>
            <w:tcW w:w="460" w:type="dxa"/>
            <w:vAlign w:val="bottom"/>
            <w:tcBorders>
              <w:bottom w:val="single" w:sz="8" w:color="939598"/>
            </w:tcBorders>
            <w:vMerge w:val="continue"/>
          </w:tcPr>
          <w:p>
            <w:pPr>
              <w:spacing w:after="0"/>
              <w:rPr>
                <w:sz w:val="9"/>
                <w:szCs w:val="9"/>
                <w:color w:val="auto"/>
              </w:rPr>
            </w:pPr>
          </w:p>
        </w:tc>
        <w:tc>
          <w:tcPr>
            <w:tcW w:w="180" w:type="dxa"/>
            <w:vAlign w:val="bottom"/>
            <w:tcBorders>
              <w:bottom w:val="single" w:sz="8" w:color="939598"/>
            </w:tcBorders>
          </w:tcPr>
          <w:p>
            <w:pPr>
              <w:spacing w:after="0"/>
              <w:rPr>
                <w:sz w:val="9"/>
                <w:szCs w:val="9"/>
                <w:color w:val="auto"/>
              </w:rPr>
            </w:pPr>
          </w:p>
        </w:tc>
        <w:tc>
          <w:tcPr>
            <w:tcW w:w="10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60" w:type="dxa"/>
            <w:vAlign w:val="bottom"/>
            <w:tcBorders>
              <w:bottom w:val="single" w:sz="8" w:color="939598"/>
            </w:tcBorders>
            <w:vMerge w:val="continue"/>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80" w:type="dxa"/>
            <w:vAlign w:val="bottom"/>
            <w:tcBorders>
              <w:bottom w:val="single" w:sz="8" w:color="939598"/>
            </w:tcBorders>
            <w:vMerge w:val="continue"/>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c>
          <w:tcPr>
            <w:tcW w:w="600" w:type="dxa"/>
            <w:vAlign w:val="bottom"/>
            <w:tcBorders>
              <w:bottom w:val="single" w:sz="8" w:color="93959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Hedged items</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(169)</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Derivatives designated as hedges</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169</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760" w:type="dxa"/>
            <w:vAlign w:val="bottom"/>
            <w:gridSpan w:val="2"/>
          </w:tcPr>
          <w:p>
            <w:pPr>
              <w:ind w:left="220"/>
              <w:spacing w:after="0" w:line="92"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46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7"/>
                <w:szCs w:val="7"/>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14"/>
        </w:trPr>
        <w:tc>
          <w:tcPr>
            <w:tcW w:w="4760" w:type="dxa"/>
            <w:vAlign w:val="bottom"/>
            <w:tcBorders>
              <w:bottom w:val="single" w:sz="8" w:color="939598"/>
            </w:tcBorders>
            <w:gridSpan w:val="2"/>
          </w:tcPr>
          <w:p>
            <w:pPr>
              <w:ind w:left="220"/>
              <w:spacing w:after="0" w:line="114" w:lineRule="exact"/>
              <w:rPr>
                <w:sz w:val="20"/>
                <w:szCs w:val="20"/>
                <w:color w:val="auto"/>
              </w:rPr>
            </w:pPr>
            <w:r>
              <w:rPr>
                <w:rFonts w:ascii="Arial" w:cs="Arial" w:eastAsia="Arial" w:hAnsi="Arial"/>
                <w:sz w:val="10"/>
                <w:szCs w:val="10"/>
                <w:color w:val="auto"/>
              </w:rPr>
              <w:t>amortization approach</w:t>
            </w:r>
          </w:p>
        </w:tc>
        <w:tc>
          <w:tcPr>
            <w:tcW w:w="460" w:type="dxa"/>
            <w:vAlign w:val="bottom"/>
            <w:tcBorders>
              <w:bottom w:val="single" w:sz="8" w:color="939598"/>
            </w:tcBorders>
            <w:vMerge w:val="continue"/>
          </w:tcPr>
          <w:p>
            <w:pPr>
              <w:spacing w:after="0"/>
              <w:rPr>
                <w:sz w:val="9"/>
                <w:szCs w:val="9"/>
                <w:color w:val="auto"/>
              </w:rPr>
            </w:pPr>
          </w:p>
        </w:tc>
        <w:tc>
          <w:tcPr>
            <w:tcW w:w="180" w:type="dxa"/>
            <w:vAlign w:val="bottom"/>
            <w:tcBorders>
              <w:bottom w:val="single" w:sz="8" w:color="939598"/>
            </w:tcBorders>
          </w:tcPr>
          <w:p>
            <w:pPr>
              <w:spacing w:after="0"/>
              <w:rPr>
                <w:sz w:val="9"/>
                <w:szCs w:val="9"/>
                <w:color w:val="auto"/>
              </w:rPr>
            </w:pPr>
          </w:p>
        </w:tc>
        <w:tc>
          <w:tcPr>
            <w:tcW w:w="10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60" w:type="dxa"/>
            <w:vAlign w:val="bottom"/>
            <w:tcBorders>
              <w:bottom w:val="single" w:sz="8" w:color="939598"/>
            </w:tcBorders>
            <w:vMerge w:val="continue"/>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80" w:type="dxa"/>
            <w:vAlign w:val="bottom"/>
            <w:tcBorders>
              <w:bottom w:val="single" w:sz="8" w:color="939598"/>
            </w:tcBorders>
            <w:vMerge w:val="continue"/>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c>
          <w:tcPr>
            <w:tcW w:w="600" w:type="dxa"/>
            <w:vAlign w:val="bottom"/>
            <w:tcBorders>
              <w:bottom w:val="single" w:sz="8" w:color="93959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6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DC202E"/>
            </w:tcBorders>
            <w:gridSpan w:val="2"/>
          </w:tcPr>
          <w:p>
            <w:pPr>
              <w:ind w:left="22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(166)</w:t>
            </w:r>
          </w:p>
        </w:tc>
        <w:tc>
          <w:tcPr>
            <w:tcW w:w="56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8" w:hanging="468"/>
        <w:spacing w:after="0"/>
        <w:tabs>
          <w:tab w:leader="none" w:pos="468" w:val="left"/>
        </w:tabs>
        <w:numPr>
          <w:ilvl w:val="0"/>
          <w:numId w:val="8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84" w:name="page85"/>
    <w:bookmarkEnd w:id="84"/>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1660" w:type="dxa"/>
            <w:vAlign w:val="bottom"/>
            <w:tcBorders>
              <w:bottom w:val="single" w:sz="8" w:color="DC202E"/>
            </w:tcBorders>
            <w:gridSpan w:val="2"/>
          </w:tcPr>
          <w:p>
            <w:pPr>
              <w:jc w:val="right"/>
              <w:ind w:right="72"/>
              <w:spacing w:after="0"/>
              <w:rPr>
                <w:sz w:val="20"/>
                <w:szCs w:val="20"/>
                <w:color w:val="auto"/>
              </w:rPr>
            </w:pPr>
            <w:r>
              <w:rPr>
                <w:rFonts w:ascii="Arial" w:cs="Arial" w:eastAsia="Arial" w:hAnsi="Arial"/>
                <w:sz w:val="10"/>
                <w:szCs w:val="10"/>
                <w:b w:val="1"/>
                <w:bCs w:val="1"/>
                <w:color w:val="auto"/>
              </w:rPr>
              <w:t>Year Ended December 31, 2019</w:t>
            </w:r>
          </w:p>
        </w:tc>
        <w:tc>
          <w:tcPr>
            <w:tcW w:w="5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0"/>
                <w:szCs w:val="10"/>
                <w:b w:val="1"/>
                <w:bCs w:val="1"/>
                <w:color w:val="auto"/>
              </w:rPr>
              <w:t>Cost of</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vMerge w:val="restart"/>
          </w:tcPr>
          <w:p>
            <w:pPr>
              <w:jc w:val="right"/>
              <w:ind w:right="212"/>
              <w:spacing w:after="0"/>
              <w:rPr>
                <w:sz w:val="20"/>
                <w:szCs w:val="20"/>
                <w:color w:val="auto"/>
              </w:rPr>
            </w:pPr>
            <w:r>
              <w:rPr>
                <w:rFonts w:ascii="Arial" w:cs="Arial" w:eastAsia="Arial" w:hAnsi="Arial"/>
                <w:sz w:val="10"/>
                <w:szCs w:val="10"/>
                <w:b w:val="1"/>
                <w:bCs w:val="1"/>
                <w:color w:val="auto"/>
              </w:rPr>
              <w:t>Selling, general and</w:t>
            </w:r>
          </w:p>
        </w:tc>
        <w:tc>
          <w:tcPr>
            <w:tcW w:w="240" w:type="dxa"/>
            <w:vAlign w:val="bottom"/>
          </w:tcPr>
          <w:p>
            <w:pPr>
              <w:spacing w:after="0"/>
              <w:rPr>
                <w:sz w:val="14"/>
                <w:szCs w:val="14"/>
                <w:color w:val="auto"/>
              </w:rPr>
            </w:pPr>
          </w:p>
        </w:tc>
        <w:tc>
          <w:tcPr>
            <w:tcW w:w="980" w:type="dxa"/>
            <w:vAlign w:val="bottom"/>
          </w:tcPr>
          <w:p>
            <w:pPr>
              <w:jc w:val="right"/>
              <w:ind w:right="532"/>
              <w:spacing w:after="0"/>
              <w:rPr>
                <w:sz w:val="20"/>
                <w:szCs w:val="20"/>
                <w:color w:val="auto"/>
              </w:rPr>
            </w:pPr>
            <w:r>
              <w:rPr>
                <w:rFonts w:ascii="Arial" w:cs="Arial" w:eastAsia="Arial" w:hAnsi="Arial"/>
                <w:sz w:val="10"/>
                <w:szCs w:val="10"/>
                <w:b w:val="1"/>
                <w:bCs w:val="1"/>
                <w:color w:val="auto"/>
              </w:rPr>
              <w:t>Other</w:t>
            </w:r>
          </w:p>
        </w:tc>
        <w:tc>
          <w:tcPr>
            <w:tcW w:w="1160" w:type="dxa"/>
            <w:vAlign w:val="bottom"/>
            <w:gridSpan w:val="2"/>
            <w:vMerge w:val="restart"/>
          </w:tcPr>
          <w:p>
            <w:pPr>
              <w:jc w:val="right"/>
              <w:ind w:right="172"/>
              <w:spacing w:after="0"/>
              <w:rPr>
                <w:sz w:val="20"/>
                <w:szCs w:val="20"/>
                <w:color w:val="auto"/>
              </w:rPr>
            </w:pPr>
            <w:r>
              <w:rPr>
                <w:rFonts w:ascii="Arial" w:cs="Arial" w:eastAsia="Arial" w:hAnsi="Arial"/>
                <w:sz w:val="10"/>
                <w:szCs w:val="10"/>
                <w:b w:val="1"/>
                <w:bCs w:val="1"/>
                <w:color w:val="auto"/>
              </w:rPr>
              <w:t>Interest and Other</w:t>
            </w:r>
          </w:p>
        </w:tc>
        <w:tc>
          <w:tcPr>
            <w:tcW w:w="0" w:type="dxa"/>
            <w:vAlign w:val="bottom"/>
          </w:tcPr>
          <w:p>
            <w:pPr>
              <w:spacing w:after="0"/>
              <w:rPr>
                <w:sz w:val="1"/>
                <w:szCs w:val="1"/>
                <w:color w:val="auto"/>
              </w:rPr>
            </w:pPr>
          </w:p>
        </w:tc>
      </w:tr>
      <w:tr>
        <w:trPr>
          <w:trHeight w:val="90"/>
        </w:trPr>
        <w:tc>
          <w:tcPr>
            <w:tcW w:w="3880" w:type="dxa"/>
            <w:vAlign w:val="bottom"/>
          </w:tcPr>
          <w:p>
            <w:pPr>
              <w:spacing w:after="0"/>
              <w:rPr>
                <w:sz w:val="7"/>
                <w:szCs w:val="7"/>
                <w:color w:val="auto"/>
              </w:rPr>
            </w:pPr>
          </w:p>
        </w:tc>
        <w:tc>
          <w:tcPr>
            <w:tcW w:w="880" w:type="dxa"/>
            <w:vAlign w:val="bottom"/>
            <w:vMerge w:val="restart"/>
          </w:tcPr>
          <w:p>
            <w:pPr>
              <w:ind w:left="400"/>
              <w:spacing w:after="0"/>
              <w:rPr>
                <w:sz w:val="20"/>
                <w:szCs w:val="20"/>
                <w:color w:val="auto"/>
              </w:rPr>
            </w:pPr>
            <w:r>
              <w:rPr>
                <w:rFonts w:ascii="Arial" w:cs="Arial" w:eastAsia="Arial" w:hAnsi="Arial"/>
                <w:sz w:val="10"/>
                <w:szCs w:val="10"/>
                <w:b w:val="1"/>
                <w:bCs w:val="1"/>
                <w:color w:val="auto"/>
              </w:rPr>
              <w:t>Net Sales</w:t>
            </w: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00" w:type="dxa"/>
            <w:vAlign w:val="bottom"/>
            <w:gridSpan w:val="2"/>
            <w:vMerge w:val="restart"/>
          </w:tcPr>
          <w:p>
            <w:pPr>
              <w:jc w:val="right"/>
              <w:ind w:right="92"/>
              <w:spacing w:after="0"/>
              <w:rPr>
                <w:sz w:val="20"/>
                <w:szCs w:val="20"/>
                <w:color w:val="auto"/>
              </w:rPr>
            </w:pPr>
            <w:r>
              <w:rPr>
                <w:rFonts w:ascii="Arial" w:cs="Arial" w:eastAsia="Arial" w:hAnsi="Arial"/>
                <w:sz w:val="10"/>
                <w:szCs w:val="10"/>
                <w:b w:val="1"/>
                <w:bCs w:val="1"/>
                <w:color w:val="auto"/>
              </w:rPr>
              <w:t>Cost of Services Sold</w:t>
            </w:r>
          </w:p>
        </w:tc>
        <w:tc>
          <w:tcPr>
            <w:tcW w:w="13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jc w:val="right"/>
              <w:ind w:right="452"/>
              <w:spacing w:after="0" w:line="90" w:lineRule="exact"/>
              <w:rPr>
                <w:sz w:val="20"/>
                <w:szCs w:val="20"/>
                <w:color w:val="auto"/>
              </w:rPr>
            </w:pPr>
            <w:r>
              <w:rPr>
                <w:rFonts w:ascii="Arial" w:cs="Arial" w:eastAsia="Arial" w:hAnsi="Arial"/>
                <w:sz w:val="10"/>
                <w:szCs w:val="10"/>
                <w:b w:val="1"/>
                <w:bCs w:val="1"/>
                <w:color w:val="auto"/>
              </w:rPr>
              <w:t>(Income)</w:t>
            </w: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88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vMerge w:val="continue"/>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w w:val="94"/>
              </w:rPr>
              <w:t>Products Sold</w:t>
            </w:r>
          </w:p>
        </w:tc>
        <w:tc>
          <w:tcPr>
            <w:tcW w:w="1200" w:type="dxa"/>
            <w:vAlign w:val="bottom"/>
            <w:tcBorders>
              <w:bottom w:val="single" w:sz="8" w:color="DC202E"/>
            </w:tcBorders>
            <w:gridSpan w:val="2"/>
            <w:vMerge w:val="continue"/>
          </w:tcPr>
          <w:p>
            <w:pPr>
              <w:spacing w:after="0"/>
              <w:rPr>
                <w:sz w:val="10"/>
                <w:szCs w:val="10"/>
                <w:color w:val="auto"/>
              </w:rPr>
            </w:pPr>
          </w:p>
        </w:tc>
        <w:tc>
          <w:tcPr>
            <w:tcW w:w="1320" w:type="dxa"/>
            <w:vAlign w:val="bottom"/>
            <w:tcBorders>
              <w:bottom w:val="single" w:sz="8" w:color="DC202E"/>
            </w:tcBorders>
            <w:gridSpan w:val="2"/>
          </w:tcPr>
          <w:p>
            <w:pPr>
              <w:jc w:val="right"/>
              <w:ind w:right="112"/>
              <w:spacing w:after="0"/>
              <w:rPr>
                <w:sz w:val="20"/>
                <w:szCs w:val="20"/>
                <w:color w:val="auto"/>
              </w:rPr>
            </w:pPr>
            <w:r>
              <w:rPr>
                <w:rFonts w:ascii="Arial" w:cs="Arial" w:eastAsia="Arial" w:hAnsi="Arial"/>
                <w:sz w:val="10"/>
                <w:szCs w:val="10"/>
                <w:b w:val="1"/>
                <w:bCs w:val="1"/>
                <w:color w:val="auto"/>
                <w:w w:val="98"/>
              </w:rPr>
              <w:t>administrative expenses</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Expense</w:t>
            </w:r>
          </w:p>
        </w:tc>
        <w:tc>
          <w:tcPr>
            <w:tcW w:w="1160" w:type="dxa"/>
            <w:vAlign w:val="bottom"/>
            <w:tcBorders>
              <w:bottom w:val="single" w:sz="8" w:color="DC202E"/>
            </w:tcBorders>
            <w:gridSpan w:val="2"/>
          </w:tcPr>
          <w:p>
            <w:pPr>
              <w:jc w:val="right"/>
              <w:ind w:right="172"/>
              <w:spacing w:after="0"/>
              <w:rPr>
                <w:sz w:val="20"/>
                <w:szCs w:val="20"/>
                <w:color w:val="auto"/>
              </w:rPr>
            </w:pPr>
            <w:r>
              <w:rPr>
                <w:rFonts w:ascii="Arial" w:cs="Arial" w:eastAsia="Arial" w:hAnsi="Arial"/>
                <w:sz w:val="10"/>
                <w:szCs w:val="10"/>
                <w:b w:val="1"/>
                <w:bCs w:val="1"/>
                <w:color w:val="auto"/>
              </w:rPr>
              <w:t>Financial Charges</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412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7"/>
              </w:rPr>
              <w:t>36,709</w:t>
            </w:r>
          </w:p>
        </w:tc>
        <w:tc>
          <w:tcPr>
            <w:tcW w:w="1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19,269</w:t>
            </w:r>
          </w:p>
        </w:tc>
        <w:tc>
          <w:tcPr>
            <w:tcW w:w="3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5,070</w:t>
            </w:r>
          </w:p>
        </w:tc>
        <w:tc>
          <w:tcPr>
            <w:tcW w:w="820" w:type="dxa"/>
            <w:vAlign w:val="bottom"/>
            <w:tcBorders>
              <w:bottom w:val="single" w:sz="8" w:color="939598"/>
            </w:tcBorders>
          </w:tcPr>
          <w:p>
            <w:pPr>
              <w:jc w:val="right"/>
              <w:ind w:right="5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5,519</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(1,065)</w:t>
            </w:r>
          </w:p>
        </w:tc>
        <w:tc>
          <w:tcPr>
            <w:tcW w:w="5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357</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Amount reclassified from accumulated other comprehensive income into income</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35</w:t>
            </w: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9</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73</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1"/>
        </w:trPr>
        <w:tc>
          <w:tcPr>
            <w:tcW w:w="4760" w:type="dxa"/>
            <w:vAlign w:val="bottom"/>
            <w:gridSpan w:val="2"/>
          </w:tcPr>
          <w:p>
            <w:pPr>
              <w:ind w:left="220"/>
              <w:spacing w:after="0" w:line="92"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46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0"/>
                <w:szCs w:val="10"/>
                <w:color w:val="auto"/>
              </w:rPr>
              <w:t>16</w:t>
            </w:r>
          </w:p>
        </w:tc>
        <w:tc>
          <w:tcPr>
            <w:tcW w:w="360" w:type="dxa"/>
            <w:vAlign w:val="bottom"/>
          </w:tcPr>
          <w:p>
            <w:pPr>
              <w:spacing w:after="0"/>
              <w:rPr>
                <w:sz w:val="7"/>
                <w:szCs w:val="7"/>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0"/>
                <w:szCs w:val="10"/>
                <w:color w:val="auto"/>
              </w:rPr>
              <w:t>6</w:t>
            </w:r>
          </w:p>
        </w:tc>
        <w:tc>
          <w:tcPr>
            <w:tcW w:w="820" w:type="dxa"/>
            <w:vAlign w:val="bottom"/>
          </w:tcPr>
          <w:p>
            <w:pPr>
              <w:spacing w:after="0"/>
              <w:rPr>
                <w:sz w:val="7"/>
                <w:szCs w:val="7"/>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0"/>
                <w:szCs w:val="10"/>
                <w:color w:val="auto"/>
              </w:rPr>
              <w:t>35</w:t>
            </w:r>
          </w:p>
        </w:tc>
        <w:tc>
          <w:tcPr>
            <w:tcW w:w="560" w:type="dxa"/>
            <w:vAlign w:val="bottom"/>
          </w:tcPr>
          <w:p>
            <w:pPr>
              <w:spacing w:after="0"/>
              <w:rPr>
                <w:sz w:val="7"/>
                <w:szCs w:val="7"/>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4760" w:type="dxa"/>
            <w:vAlign w:val="bottom"/>
            <w:tcBorders>
              <w:bottom w:val="single" w:sz="8" w:color="939598"/>
            </w:tcBorders>
            <w:gridSpan w:val="2"/>
          </w:tcPr>
          <w:p>
            <w:pPr>
              <w:ind w:left="220"/>
              <w:spacing w:after="0" w:line="114" w:lineRule="exact"/>
              <w:rPr>
                <w:sz w:val="20"/>
                <w:szCs w:val="20"/>
                <w:color w:val="auto"/>
              </w:rPr>
            </w:pPr>
            <w:r>
              <w:rPr>
                <w:rFonts w:ascii="Arial" w:cs="Arial" w:eastAsia="Arial" w:hAnsi="Arial"/>
                <w:sz w:val="10"/>
                <w:szCs w:val="10"/>
                <w:color w:val="auto"/>
              </w:rPr>
              <w:t>amortization approach</w:t>
            </w:r>
          </w:p>
        </w:tc>
        <w:tc>
          <w:tcPr>
            <w:tcW w:w="460" w:type="dxa"/>
            <w:vAlign w:val="bottom"/>
            <w:tcBorders>
              <w:bottom w:val="single" w:sz="8" w:color="939598"/>
            </w:tcBorders>
            <w:vMerge w:val="continue"/>
          </w:tcPr>
          <w:p>
            <w:pPr>
              <w:spacing w:after="0"/>
              <w:rPr>
                <w:sz w:val="9"/>
                <w:szCs w:val="9"/>
                <w:color w:val="auto"/>
              </w:rPr>
            </w:pPr>
          </w:p>
        </w:tc>
        <w:tc>
          <w:tcPr>
            <w:tcW w:w="180" w:type="dxa"/>
            <w:vAlign w:val="bottom"/>
            <w:tcBorders>
              <w:bottom w:val="single" w:sz="8" w:color="939598"/>
            </w:tcBorders>
          </w:tcPr>
          <w:p>
            <w:pPr>
              <w:spacing w:after="0"/>
              <w:rPr>
                <w:sz w:val="9"/>
                <w:szCs w:val="9"/>
                <w:color w:val="auto"/>
              </w:rPr>
            </w:pPr>
          </w:p>
        </w:tc>
        <w:tc>
          <w:tcPr>
            <w:tcW w:w="1000" w:type="dxa"/>
            <w:vAlign w:val="bottom"/>
            <w:tcBorders>
              <w:bottom w:val="single" w:sz="8" w:color="939598"/>
            </w:tcBorders>
            <w:vMerge w:val="continue"/>
          </w:tcPr>
          <w:p>
            <w:pPr>
              <w:spacing w:after="0"/>
              <w:rPr>
                <w:sz w:val="9"/>
                <w:szCs w:val="9"/>
                <w:color w:val="auto"/>
              </w:rPr>
            </w:pPr>
          </w:p>
        </w:tc>
        <w:tc>
          <w:tcPr>
            <w:tcW w:w="36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vMerge w:val="continue"/>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80" w:type="dxa"/>
            <w:vAlign w:val="bottom"/>
            <w:tcBorders>
              <w:bottom w:val="single" w:sz="8" w:color="939598"/>
            </w:tcBorders>
            <w:vMerge w:val="continue"/>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c>
          <w:tcPr>
            <w:tcW w:w="600" w:type="dxa"/>
            <w:vAlign w:val="bottom"/>
            <w:tcBorders>
              <w:bottom w:val="single" w:sz="8" w:color="93959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Hedged items</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Derivatives designated as hedges</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760" w:type="dxa"/>
            <w:vAlign w:val="bottom"/>
            <w:gridSpan w:val="2"/>
          </w:tcPr>
          <w:p>
            <w:pPr>
              <w:ind w:left="220"/>
              <w:spacing w:after="0" w:line="92"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46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7"/>
                <w:szCs w:val="7"/>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7"/>
                <w:szCs w:val="7"/>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14"/>
        </w:trPr>
        <w:tc>
          <w:tcPr>
            <w:tcW w:w="4760" w:type="dxa"/>
            <w:vAlign w:val="bottom"/>
            <w:tcBorders>
              <w:bottom w:val="single" w:sz="8" w:color="939598"/>
            </w:tcBorders>
            <w:gridSpan w:val="2"/>
          </w:tcPr>
          <w:p>
            <w:pPr>
              <w:ind w:left="220"/>
              <w:spacing w:after="0" w:line="114" w:lineRule="exact"/>
              <w:rPr>
                <w:sz w:val="20"/>
                <w:szCs w:val="20"/>
                <w:color w:val="auto"/>
              </w:rPr>
            </w:pPr>
            <w:r>
              <w:rPr>
                <w:rFonts w:ascii="Arial" w:cs="Arial" w:eastAsia="Arial" w:hAnsi="Arial"/>
                <w:sz w:val="10"/>
                <w:szCs w:val="10"/>
                <w:color w:val="auto"/>
              </w:rPr>
              <w:t>amortization approach</w:t>
            </w:r>
          </w:p>
        </w:tc>
        <w:tc>
          <w:tcPr>
            <w:tcW w:w="460" w:type="dxa"/>
            <w:vAlign w:val="bottom"/>
            <w:tcBorders>
              <w:bottom w:val="single" w:sz="8" w:color="939598"/>
            </w:tcBorders>
            <w:vMerge w:val="continue"/>
          </w:tcPr>
          <w:p>
            <w:pPr>
              <w:spacing w:after="0"/>
              <w:rPr>
                <w:sz w:val="9"/>
                <w:szCs w:val="9"/>
                <w:color w:val="auto"/>
              </w:rPr>
            </w:pPr>
          </w:p>
        </w:tc>
        <w:tc>
          <w:tcPr>
            <w:tcW w:w="180" w:type="dxa"/>
            <w:vAlign w:val="bottom"/>
            <w:tcBorders>
              <w:bottom w:val="single" w:sz="8" w:color="939598"/>
            </w:tcBorders>
          </w:tcPr>
          <w:p>
            <w:pPr>
              <w:spacing w:after="0"/>
              <w:rPr>
                <w:sz w:val="9"/>
                <w:szCs w:val="9"/>
                <w:color w:val="auto"/>
              </w:rPr>
            </w:pPr>
          </w:p>
        </w:tc>
        <w:tc>
          <w:tcPr>
            <w:tcW w:w="1000" w:type="dxa"/>
            <w:vAlign w:val="bottom"/>
            <w:tcBorders>
              <w:bottom w:val="single" w:sz="8" w:color="939598"/>
            </w:tcBorders>
            <w:vMerge w:val="continue"/>
          </w:tcPr>
          <w:p>
            <w:pPr>
              <w:spacing w:after="0"/>
              <w:rPr>
                <w:sz w:val="9"/>
                <w:szCs w:val="9"/>
                <w:color w:val="auto"/>
              </w:rPr>
            </w:pPr>
          </w:p>
        </w:tc>
        <w:tc>
          <w:tcPr>
            <w:tcW w:w="360" w:type="dxa"/>
            <w:vAlign w:val="bottom"/>
            <w:tcBorders>
              <w:bottom w:val="single" w:sz="8" w:color="939598"/>
            </w:tcBorders>
          </w:tcPr>
          <w:p>
            <w:pPr>
              <w:spacing w:after="0"/>
              <w:rPr>
                <w:sz w:val="9"/>
                <w:szCs w:val="9"/>
                <w:color w:val="auto"/>
              </w:rPr>
            </w:pPr>
          </w:p>
        </w:tc>
        <w:tc>
          <w:tcPr>
            <w:tcW w:w="840" w:type="dxa"/>
            <w:vAlign w:val="bottom"/>
            <w:tcBorders>
              <w:bottom w:val="single" w:sz="8" w:color="939598"/>
            </w:tcBorders>
            <w:vMerge w:val="continue"/>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500" w:type="dxa"/>
            <w:vAlign w:val="bottom"/>
            <w:tcBorders>
              <w:bottom w:val="single" w:sz="8" w:color="939598"/>
            </w:tcBorders>
            <w:vMerge w:val="continue"/>
          </w:tcPr>
          <w:p>
            <w:pPr>
              <w:spacing w:after="0"/>
              <w:rPr>
                <w:sz w:val="9"/>
                <w:szCs w:val="9"/>
                <w:color w:val="auto"/>
              </w:rPr>
            </w:pPr>
          </w:p>
        </w:tc>
        <w:tc>
          <w:tcPr>
            <w:tcW w:w="240" w:type="dxa"/>
            <w:vAlign w:val="bottom"/>
            <w:tcBorders>
              <w:bottom w:val="single" w:sz="8" w:color="939598"/>
            </w:tcBorders>
          </w:tcPr>
          <w:p>
            <w:pPr>
              <w:spacing w:after="0"/>
              <w:rPr>
                <w:sz w:val="9"/>
                <w:szCs w:val="9"/>
                <w:color w:val="auto"/>
              </w:rPr>
            </w:pPr>
          </w:p>
        </w:tc>
        <w:tc>
          <w:tcPr>
            <w:tcW w:w="980" w:type="dxa"/>
            <w:vAlign w:val="bottom"/>
            <w:tcBorders>
              <w:bottom w:val="single" w:sz="8" w:color="939598"/>
            </w:tcBorders>
            <w:vMerge w:val="continue"/>
          </w:tcPr>
          <w:p>
            <w:pPr>
              <w:spacing w:after="0"/>
              <w:rPr>
                <w:sz w:val="9"/>
                <w:szCs w:val="9"/>
                <w:color w:val="auto"/>
              </w:rPr>
            </w:pPr>
          </w:p>
        </w:tc>
        <w:tc>
          <w:tcPr>
            <w:tcW w:w="560" w:type="dxa"/>
            <w:vAlign w:val="bottom"/>
            <w:tcBorders>
              <w:bottom w:val="single" w:sz="8" w:color="939598"/>
            </w:tcBorders>
          </w:tcPr>
          <w:p>
            <w:pPr>
              <w:spacing w:after="0"/>
              <w:rPr>
                <w:sz w:val="9"/>
                <w:szCs w:val="9"/>
                <w:color w:val="auto"/>
              </w:rPr>
            </w:pPr>
          </w:p>
        </w:tc>
        <w:tc>
          <w:tcPr>
            <w:tcW w:w="600" w:type="dxa"/>
            <w:vAlign w:val="bottom"/>
            <w:tcBorders>
              <w:bottom w:val="single" w:sz="8" w:color="93959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46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98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DC202E"/>
            </w:tcBorders>
            <w:gridSpan w:val="2"/>
          </w:tcPr>
          <w:p>
            <w:pPr>
              <w:ind w:left="220"/>
              <w:spacing w:after="0"/>
              <w:rPr>
                <w:sz w:val="20"/>
                <w:szCs w:val="20"/>
                <w:color w:val="auto"/>
              </w:rPr>
            </w:pPr>
            <w:r>
              <w:rPr>
                <w:rFonts w:ascii="Arial" w:cs="Arial" w:eastAsia="Arial" w:hAnsi="Arial"/>
                <w:sz w:val="10"/>
                <w:szCs w:val="10"/>
                <w:color w:val="auto"/>
              </w:rPr>
              <w:t>Foreign currency exchange contracts</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106</w:t>
            </w:r>
          </w:p>
        </w:tc>
        <w:tc>
          <w:tcPr>
            <w:tcW w:w="56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As of December 31, 2021, the Company estimates that approximately $10 million of net derivative gains related to its cash flow hedges included in Accumulated other comprehensive income (loss) will be reclassified into earnings within the next 12 months.</w:t>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amounts of gain or (loss) on net investment hedges recognized in Accumulated other comprehensive income (loss):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4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340" w:type="dxa"/>
            <w:vAlign w:val="bottom"/>
            <w:tcBorders>
              <w:bottom w:val="single" w:sz="8" w:color="DC202E"/>
            </w:tcBorders>
            <w:gridSpan w:val="2"/>
          </w:tcPr>
          <w:p>
            <w:pPr>
              <w:ind w:left="40"/>
              <w:spacing w:after="0"/>
              <w:rPr>
                <w:sz w:val="20"/>
                <w:szCs w:val="20"/>
                <w:color w:val="auto"/>
              </w:rPr>
            </w:pPr>
            <w:r>
              <w:rPr>
                <w:rFonts w:ascii="Arial" w:cs="Arial" w:eastAsia="Arial" w:hAnsi="Arial"/>
                <w:sz w:val="10"/>
                <w:szCs w:val="10"/>
                <w:b w:val="1"/>
                <w:bCs w:val="1"/>
                <w:color w:val="auto"/>
                <w:w w:val="99"/>
              </w:rPr>
              <w:t>Years Ended December 31,</w:t>
            </w:r>
          </w:p>
        </w:tc>
        <w:tc>
          <w:tcPr>
            <w:tcW w:w="300" w:type="dxa"/>
            <w:vAlign w:val="bottom"/>
            <w:tcBorders>
              <w:bottom w:val="single" w:sz="8" w:color="DC202E"/>
            </w:tcBorders>
          </w:tcPr>
          <w:p>
            <w:pPr>
              <w:spacing w:after="0"/>
              <w:rPr>
                <w:sz w:val="10"/>
                <w:szCs w:val="10"/>
                <w:color w:val="auto"/>
              </w:rPr>
            </w:pPr>
          </w:p>
        </w:tc>
      </w:tr>
      <w:tr>
        <w:trPr>
          <w:trHeight w:val="124"/>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Derivatives Net Investment Hedging Relationships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DC202E"/>
            </w:tcBorders>
          </w:tcPr>
          <w:p>
            <w:pPr>
              <w:spacing w:after="0"/>
              <w:rPr>
                <w:sz w:val="10"/>
                <w:szCs w:val="10"/>
                <w:color w:val="auto"/>
              </w:rPr>
            </w:pP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Euro-denominated long-term debt</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284</w:t>
            </w:r>
          </w:p>
        </w:tc>
        <w:tc>
          <w:tcPr>
            <w:tcW w:w="60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(256)</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Euro-denominated commercial paper</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57</w:t>
            </w:r>
          </w:p>
        </w:tc>
        <w:tc>
          <w:tcPr>
            <w:tcW w:w="60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Cross currency swap</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88</w:t>
            </w:r>
          </w:p>
        </w:tc>
        <w:tc>
          <w:tcPr>
            <w:tcW w:w="60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(109)</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Foreign currency exchange contracts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40</w:t>
            </w:r>
          </w:p>
        </w:tc>
        <w:tc>
          <w:tcPr>
            <w:tcW w:w="6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(94)</w:t>
            </w:r>
          </w:p>
        </w:tc>
      </w:tr>
      <w:tr>
        <w:trPr>
          <w:trHeight w:val="907"/>
        </w:trPr>
        <w:tc>
          <w:tcPr>
            <w:tcW w:w="9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0"/>
                <w:szCs w:val="10"/>
                <w:color w:val="auto"/>
              </w:rPr>
              <w:t>Honeywell International Inc.</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D7282F"/>
              </w:rPr>
              <w:t>83</w:t>
            </w:r>
          </w:p>
        </w:tc>
      </w:tr>
      <w:tr>
        <w:trPr>
          <w:trHeight w:val="144"/>
        </w:trPr>
        <w:tc>
          <w:tcPr>
            <w:tcW w:w="9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5" w:name="page86"/>
    <w:bookmarkEnd w:id="85"/>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12. FAIR VALUE MEASUREMENTS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accounting guidance for fair value measurements and disclosures establishes a three-level fair value hierarchy.</w:t>
      </w:r>
    </w:p>
    <w:p>
      <w:pPr>
        <w:spacing w:after="0" w:line="72" w:lineRule="exact"/>
        <w:rPr>
          <w:sz w:val="20"/>
          <w:szCs w:val="20"/>
          <w:color w:val="auto"/>
        </w:rPr>
      </w:pPr>
    </w:p>
    <w:p>
      <w:pPr>
        <w:ind w:left="128" w:hanging="128"/>
        <w:spacing w:after="0"/>
        <w:tabs>
          <w:tab w:leader="none" w:pos="128" w:val="left"/>
        </w:tabs>
        <w:numPr>
          <w:ilvl w:val="0"/>
          <w:numId w:val="87"/>
        </w:numPr>
        <w:rPr>
          <w:rFonts w:ascii="Arial" w:cs="Arial" w:eastAsia="Arial" w:hAnsi="Arial"/>
          <w:sz w:val="11"/>
          <w:szCs w:val="11"/>
          <w:color w:val="D7282F"/>
        </w:rPr>
      </w:pPr>
      <w:r>
        <w:rPr>
          <w:rFonts w:ascii="Arial" w:cs="Arial" w:eastAsia="Arial" w:hAnsi="Arial"/>
          <w:sz w:val="11"/>
          <w:szCs w:val="11"/>
          <w:color w:val="auto"/>
        </w:rPr>
        <w:t>Level 1 - Inputs are based on quoted prices in active markets for identical assets and liabilities.</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87"/>
        </w:numPr>
        <w:rPr>
          <w:rFonts w:ascii="Arial" w:cs="Arial" w:eastAsia="Arial" w:hAnsi="Arial"/>
          <w:sz w:val="11"/>
          <w:szCs w:val="11"/>
          <w:color w:val="D7282F"/>
        </w:rPr>
      </w:pPr>
      <w:r>
        <w:rPr>
          <w:rFonts w:ascii="Arial" w:cs="Arial" w:eastAsia="Arial" w:hAnsi="Arial"/>
          <w:sz w:val="11"/>
          <w:szCs w:val="11"/>
          <w:color w:val="auto"/>
        </w:rPr>
        <w:t>Level 2 - Inputs are based on observable inputs other than quoted prices in active markets for identical or similar assets and liabilities.</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87"/>
        </w:numPr>
        <w:rPr>
          <w:rFonts w:ascii="Arial" w:cs="Arial" w:eastAsia="Arial" w:hAnsi="Arial"/>
          <w:sz w:val="11"/>
          <w:szCs w:val="11"/>
          <w:color w:val="D7282F"/>
        </w:rPr>
      </w:pPr>
      <w:r>
        <w:rPr>
          <w:rFonts w:ascii="Arial" w:cs="Arial" w:eastAsia="Arial" w:hAnsi="Arial"/>
          <w:sz w:val="11"/>
          <w:szCs w:val="11"/>
          <w:color w:val="auto"/>
        </w:rPr>
        <w:t>Level 3 - One or more inputs are unobservable and significant.</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Financial and nonfinancial assets and liabilities are classified in their entirety based on the lowest level of input that is significant to the fair value measurement.</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the Company’s financial assets and liabilities that were accounted for at fair value on a recurring basis:</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934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40" w:type="dxa"/>
            <w:vAlign w:val="bottom"/>
            <w:tcBorders>
              <w:bottom w:val="single" w:sz="8" w:color="DC202E"/>
            </w:tcBorders>
          </w:tcPr>
          <w:p>
            <w:pPr>
              <w:spacing w:after="0"/>
              <w:rPr>
                <w:sz w:val="10"/>
                <w:szCs w:val="10"/>
                <w:color w:val="auto"/>
              </w:rPr>
            </w:pPr>
          </w:p>
        </w:tc>
      </w:tr>
      <w:tr>
        <w:trPr>
          <w:trHeight w:val="124"/>
        </w:trPr>
        <w:tc>
          <w:tcPr>
            <w:tcW w:w="93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Assets: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r>
      <w:tr>
        <w:trPr>
          <w:trHeight w:val="115"/>
        </w:trPr>
        <w:tc>
          <w:tcPr>
            <w:tcW w:w="93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374</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202</w:t>
            </w:r>
          </w:p>
        </w:tc>
      </w:tr>
      <w:tr>
        <w:trPr>
          <w:trHeight w:val="115"/>
        </w:trPr>
        <w:tc>
          <w:tcPr>
            <w:tcW w:w="93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Available for sale investments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742</w:t>
            </w: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1,118</w:t>
            </w:r>
          </w:p>
        </w:tc>
      </w:tr>
      <w:tr>
        <w:trPr>
          <w:trHeight w:val="115"/>
        </w:trPr>
        <w:tc>
          <w:tcPr>
            <w:tcW w:w="93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Interest rate swap agreements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60</w:t>
            </w: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194</w:t>
            </w:r>
          </w:p>
        </w:tc>
      </w:tr>
      <w:tr>
        <w:trPr>
          <w:trHeight w:val="115"/>
        </w:trPr>
        <w:tc>
          <w:tcPr>
            <w:tcW w:w="93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Cross currency swap agreements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39</w:t>
            </w: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93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Investments in equity securities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57</w:t>
            </w: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Liabilities: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r>
      <w:tr>
        <w:trPr>
          <w:trHeight w:val="115"/>
        </w:trPr>
        <w:tc>
          <w:tcPr>
            <w:tcW w:w="934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282</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150</w:t>
            </w:r>
          </w:p>
        </w:tc>
      </w:tr>
      <w:tr>
        <w:trPr>
          <w:trHeight w:val="115"/>
        </w:trPr>
        <w:tc>
          <w:tcPr>
            <w:tcW w:w="934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Cross currency swap agreements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50</w:t>
            </w:r>
          </w:p>
        </w:tc>
      </w:tr>
    </w:tbl>
    <w:p>
      <w:pPr>
        <w:spacing w:after="0" w:line="136"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as well as investments in equity securities, which are valued using published prices based on observable market data. As such, these investments are classified within level 2.</w:t>
      </w:r>
    </w:p>
    <w:p>
      <w:pPr>
        <w:spacing w:after="0" w:line="67"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1"/>
          <w:szCs w:val="11"/>
          <w:color w:val="auto"/>
        </w:rPr>
        <w:t>The Company holds certain available for sale investments in U.S. government and corporate debt securities, as well as investments in equity securities, which are valued utilizing published prices based on quoted market pricing, which are classified within level 1.</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carrying value of cash and cash equivalents, trade accounts and notes receivables, payables, commercial paper and short-term borrowings contained in the Consolidated Balance Sheet approximates fair value.</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the Company’s financial assets and liabilities that were not carried at fair value:</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180" w:type="dxa"/>
            <w:vAlign w:val="bottom"/>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1320" w:type="dxa"/>
            <w:vAlign w:val="bottom"/>
            <w:tcBorders>
              <w:bottom w:val="single" w:sz="8" w:color="DC202E"/>
            </w:tcBorders>
            <w:gridSpan w:val="2"/>
          </w:tcPr>
          <w:p>
            <w:pPr>
              <w:jc w:val="right"/>
              <w:ind w:right="152"/>
              <w:spacing w:after="0"/>
              <w:rPr>
                <w:sz w:val="20"/>
                <w:szCs w:val="20"/>
                <w:color w:val="auto"/>
              </w:rPr>
            </w:pPr>
            <w:r>
              <w:rPr>
                <w:rFonts w:ascii="Arial" w:cs="Arial" w:eastAsia="Arial" w:hAnsi="Arial"/>
                <w:sz w:val="10"/>
                <w:szCs w:val="10"/>
                <w:b w:val="1"/>
                <w:bCs w:val="1"/>
                <w:color w:val="auto"/>
              </w:rPr>
              <w:t>December 31, 2021</w:t>
            </w:r>
          </w:p>
        </w:tc>
        <w:tc>
          <w:tcPr>
            <w:tcW w:w="340" w:type="dxa"/>
            <w:vAlign w:val="bottom"/>
            <w:tcBorders>
              <w:bottom w:val="single" w:sz="8" w:color="DC202E"/>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1680" w:type="dxa"/>
            <w:vAlign w:val="bottom"/>
            <w:tcBorders>
              <w:bottom w:val="single" w:sz="8" w:color="DC202E"/>
            </w:tcBorders>
            <w:gridSpan w:val="3"/>
          </w:tcPr>
          <w:p>
            <w:pPr>
              <w:jc w:val="right"/>
              <w:ind w:right="492"/>
              <w:spacing w:after="0"/>
              <w:rPr>
                <w:sz w:val="20"/>
                <w:szCs w:val="20"/>
                <w:color w:val="auto"/>
              </w:rPr>
            </w:pPr>
            <w:r>
              <w:rPr>
                <w:rFonts w:ascii="Arial" w:cs="Arial" w:eastAsia="Arial" w:hAnsi="Arial"/>
                <w:sz w:val="10"/>
                <w:szCs w:val="10"/>
                <w:b w:val="1"/>
                <w:bCs w:val="1"/>
                <w:color w:val="auto"/>
              </w:rPr>
              <w:t>December 31, 2020</w:t>
            </w:r>
          </w:p>
        </w:tc>
      </w:tr>
      <w:tr>
        <w:trPr>
          <w:trHeight w:val="115"/>
        </w:trPr>
        <w:tc>
          <w:tcPr>
            <w:tcW w:w="7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right"/>
              <w:ind w:right="332"/>
              <w:spacing w:after="0"/>
              <w:rPr>
                <w:sz w:val="20"/>
                <w:szCs w:val="20"/>
                <w:color w:val="auto"/>
              </w:rPr>
            </w:pPr>
            <w:r>
              <w:rPr>
                <w:rFonts w:ascii="Arial" w:cs="Arial" w:eastAsia="Arial" w:hAnsi="Arial"/>
                <w:sz w:val="10"/>
                <w:szCs w:val="10"/>
                <w:b w:val="1"/>
                <w:bCs w:val="1"/>
                <w:color w:val="auto"/>
                <w:w w:val="92"/>
              </w:rPr>
              <w:t>Carrying</w:t>
            </w:r>
          </w:p>
        </w:tc>
        <w:tc>
          <w:tcPr>
            <w:tcW w:w="540" w:type="dxa"/>
            <w:vAlign w:val="bottom"/>
          </w:tcPr>
          <w:p>
            <w:pPr>
              <w:jc w:val="right"/>
              <w:ind w:right="12"/>
              <w:spacing w:after="0"/>
              <w:rPr>
                <w:sz w:val="20"/>
                <w:szCs w:val="20"/>
                <w:color w:val="auto"/>
              </w:rPr>
            </w:pPr>
            <w:r>
              <w:rPr>
                <w:rFonts w:ascii="Arial" w:cs="Arial" w:eastAsia="Arial" w:hAnsi="Arial"/>
                <w:sz w:val="10"/>
                <w:szCs w:val="10"/>
                <w:b w:val="1"/>
                <w:bCs w:val="1"/>
                <w:color w:val="auto"/>
              </w:rPr>
              <w:t>Fair</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right"/>
              <w:ind w:right="332"/>
              <w:spacing w:after="0"/>
              <w:rPr>
                <w:sz w:val="20"/>
                <w:szCs w:val="20"/>
                <w:color w:val="auto"/>
              </w:rPr>
            </w:pPr>
            <w:r>
              <w:rPr>
                <w:rFonts w:ascii="Arial" w:cs="Arial" w:eastAsia="Arial" w:hAnsi="Arial"/>
                <w:sz w:val="10"/>
                <w:szCs w:val="10"/>
                <w:b w:val="1"/>
                <w:bCs w:val="1"/>
                <w:color w:val="auto"/>
                <w:w w:val="92"/>
              </w:rPr>
              <w:t>Carrying</w:t>
            </w:r>
          </w:p>
        </w:tc>
        <w:tc>
          <w:tcPr>
            <w:tcW w:w="240" w:type="dxa"/>
            <w:vAlign w:val="bottom"/>
          </w:tcPr>
          <w:p>
            <w:pPr>
              <w:spacing w:after="0"/>
              <w:rPr>
                <w:sz w:val="10"/>
                <w:szCs w:val="10"/>
                <w:color w:val="auto"/>
              </w:rPr>
            </w:pPr>
          </w:p>
        </w:tc>
        <w:tc>
          <w:tcPr>
            <w:tcW w:w="660" w:type="dxa"/>
            <w:vAlign w:val="bottom"/>
          </w:tcPr>
          <w:p>
            <w:pPr>
              <w:jc w:val="right"/>
              <w:ind w:right="352"/>
              <w:spacing w:after="0"/>
              <w:rPr>
                <w:sz w:val="20"/>
                <w:szCs w:val="20"/>
                <w:color w:val="auto"/>
              </w:rPr>
            </w:pPr>
            <w:r>
              <w:rPr>
                <w:rFonts w:ascii="Arial" w:cs="Arial" w:eastAsia="Arial" w:hAnsi="Arial"/>
                <w:sz w:val="10"/>
                <w:szCs w:val="10"/>
                <w:b w:val="1"/>
                <w:bCs w:val="1"/>
                <w:color w:val="auto"/>
              </w:rPr>
              <w:t>Fair</w:t>
            </w:r>
          </w:p>
        </w:tc>
      </w:tr>
      <w:tr>
        <w:trPr>
          <w:trHeight w:val="117"/>
        </w:trPr>
        <w:tc>
          <w:tcPr>
            <w:tcW w:w="718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Value</w:t>
            </w:r>
          </w:p>
        </w:tc>
        <w:tc>
          <w:tcPr>
            <w:tcW w:w="5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Value</w:t>
            </w:r>
          </w:p>
        </w:tc>
        <w:tc>
          <w:tcPr>
            <w:tcW w:w="3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Value</w:t>
            </w:r>
          </w:p>
        </w:tc>
        <w:tc>
          <w:tcPr>
            <w:tcW w:w="2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Value</w:t>
            </w:r>
          </w:p>
        </w:tc>
      </w:tr>
      <w:tr>
        <w:trPr>
          <w:trHeight w:val="115"/>
        </w:trPr>
        <w:tc>
          <w:tcPr>
            <w:tcW w:w="71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Assets:</w:t>
            </w: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71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Short-term investment</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34</w:t>
            </w:r>
          </w:p>
        </w:tc>
        <w:tc>
          <w:tcPr>
            <w:tcW w:w="5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w:t>
            </w:r>
          </w:p>
        </w:tc>
        <w:tc>
          <w:tcPr>
            <w:tcW w:w="2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1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Long-term receivables</w:t>
            </w: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170</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152</w:t>
            </w:r>
          </w:p>
        </w:tc>
        <w:tc>
          <w:tcPr>
            <w:tcW w:w="2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137</w:t>
            </w:r>
          </w:p>
        </w:tc>
        <w:tc>
          <w:tcPr>
            <w:tcW w:w="2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132</w:t>
            </w:r>
          </w:p>
        </w:tc>
      </w:tr>
      <w:tr>
        <w:trPr>
          <w:trHeight w:val="115"/>
        </w:trPr>
        <w:tc>
          <w:tcPr>
            <w:tcW w:w="71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Long-term investment</w:t>
            </w: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366</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366</w:t>
            </w:r>
          </w:p>
        </w:tc>
        <w:tc>
          <w:tcPr>
            <w:tcW w:w="2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1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Liabilities:</w:t>
            </w: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8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718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Long-term debt and related current maturities</w:t>
            </w: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16,057</w:t>
            </w:r>
          </w:p>
        </w:tc>
        <w:tc>
          <w:tcPr>
            <w:tcW w:w="54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w w:val="91"/>
              </w:rPr>
              <w:t>17,022</w:t>
            </w:r>
          </w:p>
        </w:tc>
        <w:tc>
          <w:tcPr>
            <w:tcW w:w="2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18,787</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20,176</w:t>
            </w:r>
          </w:p>
        </w:tc>
      </w:tr>
    </w:tbl>
    <w:p>
      <w:pPr>
        <w:spacing w:after="0" w:line="1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determined the fair value of the long-term receivables by utilizing transactions in the listed markets for identical or similar assets. As such, the fair value of these receivables is considered level 2.</w:t>
      </w:r>
    </w:p>
    <w:p>
      <w:pPr>
        <w:spacing w:after="0" w:line="284" w:lineRule="exact"/>
        <w:rPr>
          <w:sz w:val="20"/>
          <w:szCs w:val="20"/>
          <w:color w:val="auto"/>
        </w:rPr>
      </w:pPr>
    </w:p>
    <w:p>
      <w:pPr>
        <w:ind w:left="468" w:hanging="468"/>
        <w:spacing w:after="0"/>
        <w:tabs>
          <w:tab w:leader="none" w:pos="468" w:val="left"/>
        </w:tabs>
        <w:numPr>
          <w:ilvl w:val="0"/>
          <w:numId w:val="8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86" w:name="page87"/>
    <w:bookmarkEnd w:id="86"/>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The fair value of the short-term and long-term investments are based on the present value of the mandatory redemptions as reflected within Garrett Motion Inc.'s (Garrett) Series B Preferred Stock (Series B Preferred Stock) Certificate of Designation, as amended. Fair Value of the Series B Preferred Stock is not impacted by early redemptions until receipt of payment. The investment is designated as held to maturity and was initially recognized at fair value. The fair value of Garrett's Series B Preferred Stock was determined using observable market data and is considered level 2. Refer to Note 19 Commitments and Contingencies for further discussion of the Company’s investment in Garrett's Series B Preferred Stock.</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D7282F"/>
        </w:rPr>
        <w:t>NOTE 13. ACCRUED LIABILITIES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4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980" w:type="dxa"/>
            <w:vAlign w:val="bottom"/>
            <w:tcBorders>
              <w:bottom w:val="single" w:sz="8" w:color="DC202E"/>
            </w:tcBorders>
            <w:gridSpan w:val="2"/>
          </w:tcPr>
          <w:p>
            <w:pPr>
              <w:jc w:val="right"/>
              <w:ind w:right="272"/>
              <w:spacing w:after="0"/>
              <w:rPr>
                <w:sz w:val="20"/>
                <w:szCs w:val="20"/>
                <w:color w:val="auto"/>
              </w:rPr>
            </w:pPr>
            <w:r>
              <w:rPr>
                <w:rFonts w:ascii="Arial" w:cs="Arial" w:eastAsia="Arial" w:hAnsi="Arial"/>
                <w:sz w:val="10"/>
                <w:szCs w:val="10"/>
                <w:b w:val="1"/>
                <w:bCs w:val="1"/>
                <w:color w:val="auto"/>
                <w:w w:val="98"/>
              </w:rPr>
              <w:t>December 31,</w:t>
            </w:r>
          </w:p>
        </w:tc>
        <w:tc>
          <w:tcPr>
            <w:tcW w:w="340" w:type="dxa"/>
            <w:vAlign w:val="bottom"/>
            <w:tcBorders>
              <w:bottom w:val="single" w:sz="8" w:color="DC202E"/>
            </w:tcBorders>
          </w:tcPr>
          <w:p>
            <w:pPr>
              <w:spacing w:after="0"/>
              <w:rPr>
                <w:sz w:val="10"/>
                <w:szCs w:val="10"/>
                <w:color w:val="auto"/>
              </w:rPr>
            </w:pPr>
          </w:p>
        </w:tc>
      </w:tr>
      <w:tr>
        <w:trPr>
          <w:trHeight w:val="160"/>
        </w:trPr>
        <w:tc>
          <w:tcPr>
            <w:tcW w:w="93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ind w:left="380"/>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3"/>
                <w:szCs w:val="13"/>
                <w:color w:val="auto"/>
              </w:rPr>
            </w:pP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DC202E"/>
            </w:tcBorders>
          </w:tcPr>
          <w:p>
            <w:pPr>
              <w:spacing w:after="0"/>
              <w:rPr>
                <w:sz w:val="13"/>
                <w:szCs w:val="13"/>
                <w:color w:val="auto"/>
              </w:rPr>
            </w:pP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Customer advances and deferred income</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3,163</w:t>
            </w:r>
          </w:p>
        </w:tc>
        <w:tc>
          <w:tcPr>
            <w:tcW w:w="5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2,932</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Compensation, benefit and other employee related</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1,273</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1,244</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Repositioning</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411</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601</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Asbestos related liabilities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261</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300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Income taxes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393</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307</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Other taxes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269</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281</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Environmental costs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225</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225</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Operating lease liabilities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185</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187</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Product warranties and performance guarantees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180</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183</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Insurance</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101</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Accrued interest</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100</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102</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(primarily operating expenses)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1,118</w:t>
            </w:r>
          </w:p>
        </w:tc>
        <w:tc>
          <w:tcPr>
            <w:tcW w:w="5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903</w:t>
            </w:r>
          </w:p>
        </w:tc>
      </w:tr>
      <w:tr>
        <w:trPr>
          <w:trHeight w:val="115"/>
        </w:trPr>
        <w:tc>
          <w:tcPr>
            <w:tcW w:w="93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7,679</w:t>
            </w:r>
          </w:p>
        </w:tc>
        <w:tc>
          <w:tcPr>
            <w:tcW w:w="56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7,405</w:t>
            </w:r>
          </w:p>
        </w:tc>
      </w:tr>
      <w:tr>
        <w:trPr>
          <w:trHeight w:val="468"/>
        </w:trPr>
        <w:tc>
          <w:tcPr>
            <w:tcW w:w="9340" w:type="dxa"/>
            <w:vAlign w:val="bottom"/>
          </w:tcPr>
          <w:p>
            <w:pPr>
              <w:spacing w:after="0"/>
              <w:rPr>
                <w:sz w:val="20"/>
                <w:szCs w:val="20"/>
                <w:color w:val="auto"/>
              </w:rPr>
            </w:pPr>
            <w:r>
              <w:rPr>
                <w:rFonts w:ascii="Arial" w:cs="Arial" w:eastAsia="Arial" w:hAnsi="Arial"/>
                <w:sz w:val="19"/>
                <w:szCs w:val="19"/>
                <w:color w:val="D7282F"/>
              </w:rPr>
              <w:t>NOTE 14. OTHER LIABILITIES</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3"/>
        </w:trPr>
        <w:tc>
          <w:tcPr>
            <w:tcW w:w="9340" w:type="dxa"/>
            <w:vAlign w:val="bottom"/>
          </w:tcPr>
          <w:p>
            <w:pPr>
              <w:spacing w:after="0"/>
              <w:rPr>
                <w:sz w:val="24"/>
                <w:szCs w:val="24"/>
                <w:color w:val="auto"/>
              </w:rPr>
            </w:pPr>
          </w:p>
        </w:tc>
        <w:tc>
          <w:tcPr>
            <w:tcW w:w="640" w:type="dxa"/>
            <w:vAlign w:val="bottom"/>
            <w:tcBorders>
              <w:bottom w:val="single" w:sz="8" w:color="DC202E"/>
            </w:tcBorders>
          </w:tcPr>
          <w:p>
            <w:pPr>
              <w:spacing w:after="0"/>
              <w:rPr>
                <w:sz w:val="24"/>
                <w:szCs w:val="24"/>
                <w:color w:val="auto"/>
              </w:rPr>
            </w:pPr>
          </w:p>
        </w:tc>
        <w:tc>
          <w:tcPr>
            <w:tcW w:w="980" w:type="dxa"/>
            <w:vAlign w:val="bottom"/>
            <w:tcBorders>
              <w:bottom w:val="single" w:sz="8" w:color="DC202E"/>
            </w:tcBorders>
            <w:gridSpan w:val="2"/>
          </w:tcPr>
          <w:p>
            <w:pPr>
              <w:jc w:val="right"/>
              <w:ind w:right="272"/>
              <w:spacing w:after="0"/>
              <w:rPr>
                <w:sz w:val="20"/>
                <w:szCs w:val="20"/>
                <w:color w:val="auto"/>
              </w:rPr>
            </w:pPr>
            <w:r>
              <w:rPr>
                <w:rFonts w:ascii="Arial" w:cs="Arial" w:eastAsia="Arial" w:hAnsi="Arial"/>
                <w:sz w:val="10"/>
                <w:szCs w:val="10"/>
                <w:b w:val="1"/>
                <w:bCs w:val="1"/>
                <w:color w:val="auto"/>
                <w:w w:val="98"/>
              </w:rPr>
              <w:t>December 31,</w:t>
            </w:r>
          </w:p>
        </w:tc>
        <w:tc>
          <w:tcPr>
            <w:tcW w:w="340" w:type="dxa"/>
            <w:vAlign w:val="bottom"/>
            <w:tcBorders>
              <w:bottom w:val="single" w:sz="8" w:color="DC202E"/>
            </w:tcBorders>
          </w:tcPr>
          <w:p>
            <w:pPr>
              <w:spacing w:after="0"/>
              <w:rPr>
                <w:sz w:val="24"/>
                <w:szCs w:val="24"/>
                <w:color w:val="auto"/>
              </w:rPr>
            </w:pPr>
          </w:p>
        </w:tc>
      </w:tr>
      <w:tr>
        <w:trPr>
          <w:trHeight w:val="160"/>
        </w:trPr>
        <w:tc>
          <w:tcPr>
            <w:tcW w:w="93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ind w:left="380"/>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3"/>
                <w:szCs w:val="13"/>
                <w:color w:val="auto"/>
              </w:rPr>
            </w:pP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DC202E"/>
            </w:tcBorders>
          </w:tcPr>
          <w:p>
            <w:pPr>
              <w:spacing w:after="0"/>
              <w:rPr>
                <w:sz w:val="13"/>
                <w:szCs w:val="13"/>
                <w:color w:val="auto"/>
              </w:rPr>
            </w:pP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Income taxes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2,152</w:t>
            </w:r>
          </w:p>
        </w:tc>
        <w:tc>
          <w:tcPr>
            <w:tcW w:w="56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2,009</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Pension and other employee related</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1,672</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1,923</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Deferred income</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1,324</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1,356</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Operating lease liabilities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847</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641</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Environmental</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393</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435</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Insurance</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299</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280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Product warranties and performance guarantees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43</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Asset retirement obligations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26</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31</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331</w:t>
            </w:r>
          </w:p>
        </w:tc>
        <w:tc>
          <w:tcPr>
            <w:tcW w:w="5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240</w:t>
            </w:r>
          </w:p>
        </w:tc>
      </w:tr>
      <w:tr>
        <w:trPr>
          <w:trHeight w:val="115"/>
        </w:trPr>
        <w:tc>
          <w:tcPr>
            <w:tcW w:w="93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7,087</w:t>
            </w:r>
          </w:p>
        </w:tc>
        <w:tc>
          <w:tcPr>
            <w:tcW w:w="56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6,975</w:t>
            </w:r>
          </w:p>
        </w:tc>
      </w:tr>
      <w:tr>
        <w:trPr>
          <w:trHeight w:val="907"/>
        </w:trPr>
        <w:tc>
          <w:tcPr>
            <w:tcW w:w="9340" w:type="dxa"/>
            <w:vAlign w:val="bottom"/>
          </w:tcPr>
          <w:p>
            <w:pPr>
              <w:spacing w:after="0"/>
              <w:rPr>
                <w:sz w:val="24"/>
                <w:szCs w:val="24"/>
                <w:color w:val="auto"/>
              </w:rPr>
            </w:pPr>
          </w:p>
        </w:tc>
        <w:tc>
          <w:tcPr>
            <w:tcW w:w="1620" w:type="dxa"/>
            <w:vAlign w:val="bottom"/>
            <w:gridSpan w:val="3"/>
          </w:tcPr>
          <w:p>
            <w:pPr>
              <w:ind w:left="380"/>
              <w:spacing w:after="0"/>
              <w:rPr>
                <w:sz w:val="20"/>
                <w:szCs w:val="20"/>
                <w:color w:val="auto"/>
              </w:rPr>
            </w:pPr>
            <w:r>
              <w:rPr>
                <w:rFonts w:ascii="Arial" w:cs="Arial" w:eastAsia="Arial" w:hAnsi="Arial"/>
                <w:sz w:val="10"/>
                <w:szCs w:val="10"/>
                <w:color w:val="auto"/>
                <w:w w:val="99"/>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85</w:t>
            </w:r>
          </w:p>
        </w:tc>
      </w:tr>
      <w:tr>
        <w:trPr>
          <w:trHeight w:val="144"/>
        </w:trPr>
        <w:tc>
          <w:tcPr>
            <w:tcW w:w="9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7" w:name="page88"/>
    <w:bookmarkEnd w:id="87"/>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15. STOCK-BASED COMPENSATION PLANS</w:t>
      </w:r>
    </w:p>
    <w:p>
      <w:pPr>
        <w:spacing w:after="0" w:line="155" w:lineRule="exact"/>
        <w:rPr>
          <w:sz w:val="20"/>
          <w:szCs w:val="20"/>
          <w:color w:val="auto"/>
        </w:rPr>
      </w:pPr>
    </w:p>
    <w:p>
      <w:pPr>
        <w:jc w:val="both"/>
        <w:ind w:left="8" w:right="20"/>
        <w:spacing w:after="0" w:line="242" w:lineRule="auto"/>
        <w:rPr>
          <w:sz w:val="20"/>
          <w:szCs w:val="20"/>
          <w:color w:val="auto"/>
        </w:rPr>
      </w:pPr>
      <w:r>
        <w:rPr>
          <w:rFonts w:ascii="Arial" w:cs="Arial" w:eastAsia="Arial" w:hAnsi="Arial"/>
          <w:sz w:val="11"/>
          <w:szCs w:val="11"/>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At December 31, 2021, there were 32,337,638, and 815,299 shares of Honeywell common stock available for future grants under terms of the 2016 Plan and 2016 Directors Plan, respectively.</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STOCK OPTIONS</w:t>
      </w:r>
    </w:p>
    <w:p>
      <w:pPr>
        <w:spacing w:after="0" w:line="95"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exercise price, term and other conditions applicable to each option granted under the Company's stock plans are generally determined by the Management Development and Compensation Committee of the Board of Directors. The exercise price of stock options is set on the grant date and may not be less than the fair market value per share of the Company's stock on that date. The fair value is recognized as an expense over the employee’s requisite service period (generally the vesting period of the award). Options generally vest over a four-year period and expire after ten years.</w:t>
      </w:r>
    </w:p>
    <w:p>
      <w:pPr>
        <w:spacing w:after="0" w:line="67"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fair value of each option award is estimated on the date of grant using the Black-Scholes option-pricing model. Expected volatility is based on implied volatilities from traded options on our common stock and historical volatility of the Company's common stock. The Company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impact to the Consolidated Statement of Operations from stock options:</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c>
          <w:tcPr>
            <w:tcW w:w="142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60"/>
        </w:trPr>
        <w:tc>
          <w:tcPr>
            <w:tcW w:w="838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36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Compensation expense</w:t>
            </w:r>
          </w:p>
        </w:tc>
        <w:tc>
          <w:tcPr>
            <w:tcW w:w="700" w:type="dxa"/>
            <w:vAlign w:val="bottom"/>
            <w:tcBorders>
              <w:bottom w:val="single" w:sz="8" w:color="939598"/>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55</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50</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47</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Future income tax benefit recognized</w:t>
            </w:r>
          </w:p>
        </w:tc>
        <w:tc>
          <w:tcPr>
            <w:tcW w:w="70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11</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10</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w:t>
            </w:r>
          </w:p>
        </w:tc>
      </w:tr>
    </w:tbl>
    <w:p>
      <w:pPr>
        <w:spacing w:after="0" w:line="37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fair value per share information, including related weighted-average assumptions, used to determine compensation cost.</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16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6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r>
      <w:tr>
        <w:trPr>
          <w:trHeight w:val="151"/>
        </w:trPr>
        <w:tc>
          <w:tcPr>
            <w:tcW w:w="81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60" w:type="dxa"/>
            <w:vAlign w:val="bottom"/>
            <w:tcBorders>
              <w:bottom w:val="single" w:sz="8" w:color="DC202E"/>
            </w:tcBorders>
          </w:tcPr>
          <w:p>
            <w:pPr>
              <w:jc w:val="right"/>
              <w:ind w:right="532"/>
              <w:spacing w:after="0"/>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2019</w:t>
            </w:r>
          </w:p>
        </w:tc>
      </w:tr>
      <w:tr>
        <w:trPr>
          <w:trHeight w:val="115"/>
        </w:trPr>
        <w:tc>
          <w:tcPr>
            <w:tcW w:w="816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Weighted average fair value per share of options granted during the year</w:t>
            </w:r>
            <w:r>
              <w:rPr>
                <w:rFonts w:ascii="Arial" w:cs="Arial" w:eastAsia="Arial" w:hAnsi="Arial"/>
                <w:sz w:val="12"/>
                <w:szCs w:val="12"/>
                <w:color w:val="auto"/>
                <w:vertAlign w:val="superscript"/>
              </w:rPr>
              <w:t>(1)</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32.42</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939598"/>
            </w:tcBorders>
          </w:tcPr>
          <w:p>
            <w:pPr>
              <w:jc w:val="right"/>
              <w:ind w:right="232"/>
              <w:spacing w:after="0"/>
              <w:rPr>
                <w:sz w:val="20"/>
                <w:szCs w:val="20"/>
                <w:color w:val="auto"/>
              </w:rPr>
            </w:pPr>
            <w:r>
              <w:rPr>
                <w:rFonts w:ascii="Arial" w:cs="Arial" w:eastAsia="Arial" w:hAnsi="Arial"/>
                <w:sz w:val="10"/>
                <w:szCs w:val="10"/>
                <w:color w:val="auto"/>
              </w:rPr>
              <w:t>21.30</w:t>
            </w:r>
          </w:p>
        </w:tc>
        <w:tc>
          <w:tcPr>
            <w:tcW w:w="2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21.57</w:t>
            </w:r>
          </w:p>
        </w:tc>
      </w:tr>
      <w:tr>
        <w:trPr>
          <w:trHeight w:val="115"/>
        </w:trPr>
        <w:tc>
          <w:tcPr>
            <w:tcW w:w="81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Assumptions:</w:t>
            </w:r>
          </w:p>
        </w:tc>
        <w:tc>
          <w:tcPr>
            <w:tcW w:w="6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r>
      <w:tr>
        <w:trPr>
          <w:trHeight w:val="115"/>
        </w:trPr>
        <w:tc>
          <w:tcPr>
            <w:tcW w:w="81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Expected annual dividend yield</w:t>
            </w:r>
          </w:p>
        </w:tc>
        <w:tc>
          <w:tcPr>
            <w:tcW w:w="6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2.31 %</w:t>
            </w:r>
          </w:p>
        </w:tc>
        <w:tc>
          <w:tcPr>
            <w:tcW w:w="2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2.59 %</w:t>
            </w:r>
          </w:p>
        </w:tc>
        <w:tc>
          <w:tcPr>
            <w:tcW w:w="2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2.65 %</w:t>
            </w:r>
          </w:p>
        </w:tc>
      </w:tr>
      <w:tr>
        <w:trPr>
          <w:trHeight w:val="115"/>
        </w:trPr>
        <w:tc>
          <w:tcPr>
            <w:tcW w:w="81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Expected volatility</w:t>
            </w:r>
          </w:p>
        </w:tc>
        <w:tc>
          <w:tcPr>
            <w:tcW w:w="6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7"/>
              </w:rPr>
              <w:t>24.69 %</w:t>
            </w:r>
          </w:p>
        </w:tc>
        <w:tc>
          <w:tcPr>
            <w:tcW w:w="2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18.76 %</w:t>
            </w:r>
          </w:p>
        </w:tc>
        <w:tc>
          <w:tcPr>
            <w:tcW w:w="2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18.40 %</w:t>
            </w:r>
          </w:p>
        </w:tc>
      </w:tr>
      <w:tr>
        <w:trPr>
          <w:trHeight w:val="115"/>
        </w:trPr>
        <w:tc>
          <w:tcPr>
            <w:tcW w:w="81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Risk-free rate of return</w:t>
            </w:r>
          </w:p>
        </w:tc>
        <w:tc>
          <w:tcPr>
            <w:tcW w:w="64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0.48 %</w:t>
            </w:r>
          </w:p>
        </w:tc>
        <w:tc>
          <w:tcPr>
            <w:tcW w:w="2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1.32 %</w:t>
            </w:r>
          </w:p>
        </w:tc>
        <w:tc>
          <w:tcPr>
            <w:tcW w:w="2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2.46 %</w:t>
            </w:r>
          </w:p>
        </w:tc>
      </w:tr>
      <w:tr>
        <w:trPr>
          <w:trHeight w:val="115"/>
        </w:trPr>
        <w:tc>
          <w:tcPr>
            <w:tcW w:w="81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Expected option term (years)</w:t>
            </w:r>
          </w:p>
        </w:tc>
        <w:tc>
          <w:tcPr>
            <w:tcW w:w="64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4.54</w:t>
            </w:r>
          </w:p>
        </w:tc>
        <w:tc>
          <w:tcPr>
            <w:tcW w:w="24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ind w:right="232"/>
              <w:spacing w:after="0"/>
              <w:rPr>
                <w:sz w:val="20"/>
                <w:szCs w:val="20"/>
                <w:color w:val="auto"/>
              </w:rPr>
            </w:pPr>
            <w:r>
              <w:rPr>
                <w:rFonts w:ascii="Arial" w:cs="Arial" w:eastAsia="Arial" w:hAnsi="Arial"/>
                <w:sz w:val="10"/>
                <w:szCs w:val="10"/>
                <w:color w:val="auto"/>
              </w:rPr>
              <w:t>4.62</w:t>
            </w:r>
          </w:p>
        </w:tc>
        <w:tc>
          <w:tcPr>
            <w:tcW w:w="20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4.87</w:t>
            </w:r>
          </w:p>
        </w:tc>
      </w:tr>
    </w:tbl>
    <w:p>
      <w:pPr>
        <w:spacing w:after="0" w:line="96" w:lineRule="exact"/>
        <w:rPr>
          <w:sz w:val="20"/>
          <w:szCs w:val="20"/>
          <w:color w:val="auto"/>
        </w:rPr>
      </w:pPr>
    </w:p>
    <w:p>
      <w:pPr>
        <w:ind w:left="228" w:hanging="228"/>
        <w:spacing w:after="0"/>
        <w:tabs>
          <w:tab w:leader="none" w:pos="228" w:val="left"/>
        </w:tabs>
        <w:numPr>
          <w:ilvl w:val="0"/>
          <w:numId w:val="89"/>
        </w:numPr>
        <w:rPr>
          <w:rFonts w:ascii="Arial" w:cs="Arial" w:eastAsia="Arial" w:hAnsi="Arial"/>
          <w:sz w:val="11"/>
          <w:szCs w:val="11"/>
          <w:color w:val="auto"/>
          <w:vertAlign w:val="superscript"/>
        </w:rPr>
      </w:pPr>
      <w:r>
        <w:rPr>
          <w:rFonts w:ascii="Arial" w:cs="Arial" w:eastAsia="Arial" w:hAnsi="Arial"/>
          <w:sz w:val="8"/>
          <w:szCs w:val="8"/>
          <w:color w:val="auto"/>
        </w:rPr>
        <w:t>Estimated on date of grant using Black-Scholes option-pricing model.</w:t>
      </w:r>
    </w:p>
    <w:p>
      <w:pPr>
        <w:spacing w:after="0" w:line="289" w:lineRule="exact"/>
        <w:rPr>
          <w:sz w:val="20"/>
          <w:szCs w:val="20"/>
          <w:color w:val="auto"/>
        </w:rPr>
      </w:pPr>
    </w:p>
    <w:p>
      <w:pPr>
        <w:ind w:left="468" w:hanging="468"/>
        <w:spacing w:after="0"/>
        <w:tabs>
          <w:tab w:leader="none" w:pos="468" w:val="left"/>
        </w:tabs>
        <w:numPr>
          <w:ilvl w:val="0"/>
          <w:numId w:val="9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88" w:name="page89"/>
    <w:bookmarkEnd w:id="88"/>
    <w:p>
      <w:pPr>
        <w:ind w:left="904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about stock option activity for the three years ended December 31, 2021:</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180" w:type="dxa"/>
            <w:vAlign w:val="bottom"/>
          </w:tcPr>
          <w:p>
            <w:pPr>
              <w:ind w:left="8700"/>
              <w:spacing w:after="0"/>
              <w:rPr>
                <w:sz w:val="20"/>
                <w:szCs w:val="20"/>
                <w:color w:val="auto"/>
              </w:rPr>
            </w:pPr>
            <w:r>
              <w:rPr>
                <w:rFonts w:ascii="Arial" w:cs="Arial" w:eastAsia="Arial" w:hAnsi="Arial"/>
                <w:sz w:val="10"/>
                <w:szCs w:val="10"/>
                <w:b w:val="1"/>
                <w:bCs w:val="1"/>
                <w:color w:val="auto"/>
                <w:w w:val="91"/>
              </w:rPr>
              <w:t>Number of</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jc w:val="right"/>
              <w:ind w:right="332"/>
              <w:spacing w:after="0"/>
              <w:rPr>
                <w:sz w:val="20"/>
                <w:szCs w:val="20"/>
                <w:color w:val="auto"/>
              </w:rPr>
            </w:pPr>
            <w:r>
              <w:rPr>
                <w:rFonts w:ascii="Arial" w:cs="Arial" w:eastAsia="Arial" w:hAnsi="Arial"/>
                <w:sz w:val="10"/>
                <w:szCs w:val="10"/>
                <w:b w:val="1"/>
                <w:bCs w:val="1"/>
                <w:color w:val="auto"/>
                <w:w w:val="98"/>
              </w:rPr>
              <w:t>Weighted Average</w:t>
            </w:r>
          </w:p>
        </w:tc>
      </w:tr>
      <w:tr>
        <w:trPr>
          <w:trHeight w:val="117"/>
        </w:trPr>
        <w:tc>
          <w:tcPr>
            <w:tcW w:w="9180" w:type="dxa"/>
            <w:vAlign w:val="bottom"/>
            <w:tcBorders>
              <w:bottom w:val="single" w:sz="8" w:color="DC202E"/>
            </w:tcBorders>
          </w:tcPr>
          <w:p>
            <w:pPr>
              <w:ind w:left="8760"/>
              <w:spacing w:after="0"/>
              <w:rPr>
                <w:sz w:val="20"/>
                <w:szCs w:val="20"/>
                <w:color w:val="auto"/>
              </w:rPr>
            </w:pPr>
            <w:r>
              <w:rPr>
                <w:rFonts w:ascii="Arial" w:cs="Arial" w:eastAsia="Arial" w:hAnsi="Arial"/>
                <w:sz w:val="10"/>
                <w:szCs w:val="10"/>
                <w:b w:val="1"/>
                <w:bCs w:val="1"/>
                <w:color w:val="auto"/>
              </w:rPr>
              <w:t>Options</w:t>
            </w:r>
          </w:p>
        </w:tc>
        <w:tc>
          <w:tcPr>
            <w:tcW w:w="6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Exercise Price</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Outstanding at December 31, 2018</w:t>
            </w: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22,478,581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97.83</w:t>
            </w:r>
          </w:p>
        </w:tc>
      </w:tr>
      <w:tr>
        <w:trPr>
          <w:trHeight w:val="115"/>
        </w:trPr>
        <w:tc>
          <w:tcPr>
            <w:tcW w:w="9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Granted</w:t>
            </w: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3,136,058</w:t>
            </w:r>
          </w:p>
        </w:tc>
        <w:tc>
          <w:tcPr>
            <w:tcW w:w="22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155.43</w:t>
            </w:r>
          </w:p>
        </w:tc>
      </w:tr>
      <w:tr>
        <w:trPr>
          <w:trHeight w:val="115"/>
        </w:trPr>
        <w:tc>
          <w:tcPr>
            <w:tcW w:w="9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Exercised</w:t>
            </w: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7"/>
              </w:rPr>
              <w:t>(5,897,060)</w:t>
            </w:r>
          </w:p>
        </w:tc>
        <w:tc>
          <w:tcPr>
            <w:tcW w:w="22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84.31</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Lapsed or canceled</w:t>
            </w: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(986,017)</w:t>
            </w:r>
          </w:p>
        </w:tc>
        <w:tc>
          <w:tcPr>
            <w:tcW w:w="22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136.15</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Outstanding at December 31, 2019</w:t>
            </w: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18,731,562</w:t>
            </w:r>
          </w:p>
        </w:tc>
        <w:tc>
          <w:tcPr>
            <w:tcW w:w="22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109.87</w:t>
            </w:r>
          </w:p>
        </w:tc>
      </w:tr>
      <w:tr>
        <w:trPr>
          <w:trHeight w:val="115"/>
        </w:trPr>
        <w:tc>
          <w:tcPr>
            <w:tcW w:w="9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Granted</w:t>
            </w: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3,192,693</w:t>
            </w:r>
          </w:p>
        </w:tc>
        <w:tc>
          <w:tcPr>
            <w:tcW w:w="22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176.93</w:t>
            </w:r>
          </w:p>
        </w:tc>
      </w:tr>
      <w:tr>
        <w:trPr>
          <w:trHeight w:val="115"/>
        </w:trPr>
        <w:tc>
          <w:tcPr>
            <w:tcW w:w="9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Exercised</w:t>
            </w: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7"/>
              </w:rPr>
              <w:t>(4,424,754)</w:t>
            </w:r>
          </w:p>
        </w:tc>
        <w:tc>
          <w:tcPr>
            <w:tcW w:w="22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88.96</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Lapsed or canceled</w:t>
            </w: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(930,972)</w:t>
            </w:r>
          </w:p>
        </w:tc>
        <w:tc>
          <w:tcPr>
            <w:tcW w:w="22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156.62</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Outstanding at December 31, 2020</w:t>
            </w: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16,568,529</w:t>
            </w:r>
          </w:p>
        </w:tc>
        <w:tc>
          <w:tcPr>
            <w:tcW w:w="22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125.75</w:t>
            </w:r>
          </w:p>
        </w:tc>
      </w:tr>
      <w:tr>
        <w:trPr>
          <w:trHeight w:val="115"/>
        </w:trPr>
        <w:tc>
          <w:tcPr>
            <w:tcW w:w="9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Granted</w:t>
            </w:r>
          </w:p>
        </w:tc>
        <w:tc>
          <w:tcPr>
            <w:tcW w:w="6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2,065,574</w:t>
            </w:r>
          </w:p>
        </w:tc>
        <w:tc>
          <w:tcPr>
            <w:tcW w:w="22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204.99</w:t>
            </w:r>
          </w:p>
        </w:tc>
      </w:tr>
      <w:tr>
        <w:trPr>
          <w:trHeight w:val="115"/>
        </w:trPr>
        <w:tc>
          <w:tcPr>
            <w:tcW w:w="9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Exercised</w:t>
            </w:r>
          </w:p>
        </w:tc>
        <w:tc>
          <w:tcPr>
            <w:tcW w:w="6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7"/>
              </w:rPr>
              <w:t>(2,016,489)</w:t>
            </w:r>
          </w:p>
        </w:tc>
        <w:tc>
          <w:tcPr>
            <w:tcW w:w="220" w:type="dxa"/>
            <w:vAlign w:val="bottom"/>
            <w:tcBorders>
              <w:bottom w:val="single" w:sz="8" w:color="939598"/>
            </w:tcBorders>
          </w:tcPr>
          <w:p>
            <w:pPr>
              <w:spacing w:after="0"/>
              <w:rPr>
                <w:sz w:val="10"/>
                <w:szCs w:val="10"/>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113.01</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Lapsed or canceled</w:t>
            </w: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(764,675)</w:t>
            </w:r>
          </w:p>
        </w:tc>
        <w:tc>
          <w:tcPr>
            <w:tcW w:w="22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175.42</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Outstanding at December 31, 2021</w:t>
            </w: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15,852,939</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135.31</w:t>
            </w:r>
          </w:p>
        </w:tc>
      </w:tr>
      <w:tr>
        <w:trPr>
          <w:trHeight w:val="115"/>
        </w:trPr>
        <w:tc>
          <w:tcPr>
            <w:tcW w:w="9180" w:type="dxa"/>
            <w:vAlign w:val="bottom"/>
            <w:tcBorders>
              <w:bottom w:val="single" w:sz="8" w:color="DC202E"/>
            </w:tcBorders>
          </w:tcPr>
          <w:p>
            <w:pPr>
              <w:spacing w:after="0" w:line="115" w:lineRule="exact"/>
              <w:rPr>
                <w:sz w:val="20"/>
                <w:szCs w:val="20"/>
                <w:color w:val="auto"/>
              </w:rPr>
            </w:pPr>
            <w:r>
              <w:rPr>
                <w:rFonts w:ascii="Arial" w:cs="Arial" w:eastAsia="Arial" w:hAnsi="Arial"/>
                <w:sz w:val="10"/>
                <w:szCs w:val="10"/>
                <w:b w:val="1"/>
                <w:bCs w:val="1"/>
                <w:color w:val="auto"/>
              </w:rPr>
              <w:t>Vested and expected to vest at December 31, 2021</w:t>
            </w:r>
            <w:r>
              <w:rPr>
                <w:rFonts w:ascii="Arial" w:cs="Arial" w:eastAsia="Arial" w:hAnsi="Arial"/>
                <w:sz w:val="12"/>
                <w:szCs w:val="12"/>
                <w:b w:val="1"/>
                <w:bCs w:val="1"/>
                <w:color w:val="auto"/>
                <w:vertAlign w:val="superscript"/>
              </w:rPr>
              <w:t>(1)</w:t>
            </w: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14,694,701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131.08</w:t>
            </w:r>
          </w:p>
        </w:tc>
      </w:tr>
      <w:tr>
        <w:trPr>
          <w:trHeight w:val="115"/>
        </w:trPr>
        <w:tc>
          <w:tcPr>
            <w:tcW w:w="91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Exercisable at December 31, 2021</w:t>
            </w:r>
          </w:p>
        </w:tc>
        <w:tc>
          <w:tcPr>
            <w:tcW w:w="6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10,664,625</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113.30</w:t>
            </w:r>
          </w:p>
        </w:tc>
      </w:tr>
    </w:tbl>
    <w:p>
      <w:pPr>
        <w:spacing w:after="0" w:line="105" w:lineRule="exact"/>
        <w:rPr>
          <w:sz w:val="20"/>
          <w:szCs w:val="20"/>
          <w:color w:val="auto"/>
        </w:rPr>
      </w:pPr>
    </w:p>
    <w:p>
      <w:pPr>
        <w:ind w:left="188" w:hanging="188"/>
        <w:spacing w:after="0"/>
        <w:tabs>
          <w:tab w:leader="none" w:pos="188" w:val="left"/>
        </w:tabs>
        <w:numPr>
          <w:ilvl w:val="0"/>
          <w:numId w:val="91"/>
        </w:numPr>
        <w:rPr>
          <w:rFonts w:ascii="Arial" w:cs="Arial" w:eastAsia="Arial" w:hAnsi="Arial"/>
          <w:sz w:val="11"/>
          <w:szCs w:val="11"/>
          <w:color w:val="auto"/>
          <w:vertAlign w:val="superscript"/>
        </w:rPr>
      </w:pPr>
      <w:r>
        <w:rPr>
          <w:rFonts w:ascii="Arial" w:cs="Arial" w:eastAsia="Arial" w:hAnsi="Arial"/>
          <w:sz w:val="8"/>
          <w:szCs w:val="8"/>
          <w:color w:val="auto"/>
        </w:rPr>
        <w:t>Represents the sum of vested options of 10.7 million and expected to vest options of 4.0 million. Expected to vest options are derived by applying the pre-vesting forfeiture rate assumption to total outstanding unvested options of 5.2 million.</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about stock options outstanding and exercisable at December 31, 2021:</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00" w:type="dxa"/>
            <w:vAlign w:val="bottom"/>
            <w:tcBorders>
              <w:bottom w:val="single" w:sz="8" w:color="DC202E"/>
            </w:tcBorders>
          </w:tcPr>
          <w:p>
            <w:pPr>
              <w:spacing w:after="0"/>
              <w:rPr>
                <w:sz w:val="10"/>
                <w:szCs w:val="10"/>
                <w:color w:val="auto"/>
              </w:rPr>
            </w:pPr>
          </w:p>
        </w:tc>
        <w:tc>
          <w:tcPr>
            <w:tcW w:w="12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Options Outstanding</w:t>
            </w:r>
          </w:p>
        </w:tc>
        <w:tc>
          <w:tcPr>
            <w:tcW w:w="88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800" w:type="dxa"/>
            <w:vAlign w:val="bottom"/>
            <w:tcBorders>
              <w:bottom w:val="single" w:sz="8" w:color="DC202E"/>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gridSpan w:val="3"/>
          </w:tcPr>
          <w:p>
            <w:pPr>
              <w:jc w:val="center"/>
              <w:ind w:right="212"/>
              <w:spacing w:after="0"/>
              <w:rPr>
                <w:sz w:val="20"/>
                <w:szCs w:val="20"/>
                <w:color w:val="auto"/>
              </w:rPr>
            </w:pPr>
            <w:r>
              <w:rPr>
                <w:rFonts w:ascii="Arial" w:cs="Arial" w:eastAsia="Arial" w:hAnsi="Arial"/>
                <w:sz w:val="10"/>
                <w:szCs w:val="10"/>
                <w:b w:val="1"/>
                <w:bCs w:val="1"/>
                <w:color w:val="auto"/>
                <w:w w:val="95"/>
              </w:rPr>
              <w:t>Options Exercisable</w:t>
            </w:r>
          </w:p>
        </w:tc>
        <w:tc>
          <w:tcPr>
            <w:tcW w:w="1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center"/>
              <w:ind w:right="352"/>
              <w:spacing w:after="0"/>
              <w:rPr>
                <w:sz w:val="20"/>
                <w:szCs w:val="20"/>
                <w:color w:val="auto"/>
              </w:rPr>
            </w:pPr>
            <w:r>
              <w:rPr>
                <w:rFonts w:ascii="Arial" w:cs="Arial" w:eastAsia="Arial" w:hAnsi="Arial"/>
                <w:sz w:val="10"/>
                <w:szCs w:val="10"/>
                <w:b w:val="1"/>
                <w:bCs w:val="1"/>
                <w:color w:val="auto"/>
                <w:w w:val="97"/>
              </w:rPr>
              <w:t>Weighted</w:t>
            </w:r>
          </w:p>
        </w:tc>
        <w:tc>
          <w:tcPr>
            <w:tcW w:w="220" w:type="dxa"/>
            <w:vAlign w:val="bottom"/>
          </w:tcPr>
          <w:p>
            <w:pPr>
              <w:spacing w:after="0"/>
              <w:rPr>
                <w:sz w:val="22"/>
                <w:szCs w:val="22"/>
                <w:color w:val="auto"/>
              </w:rPr>
            </w:pPr>
          </w:p>
        </w:tc>
        <w:tc>
          <w:tcPr>
            <w:tcW w:w="1220" w:type="dxa"/>
            <w:vAlign w:val="bottom"/>
            <w:gridSpan w:val="3"/>
            <w:vMerge w:val="restart"/>
          </w:tcPr>
          <w:p>
            <w:pPr>
              <w:jc w:val="center"/>
              <w:ind w:right="740"/>
              <w:spacing w:after="0"/>
              <w:rPr>
                <w:sz w:val="20"/>
                <w:szCs w:val="20"/>
                <w:color w:val="auto"/>
              </w:rPr>
            </w:pPr>
            <w:r>
              <w:rPr>
                <w:rFonts w:ascii="Arial" w:cs="Arial" w:eastAsia="Arial" w:hAnsi="Arial"/>
                <w:sz w:val="10"/>
                <w:szCs w:val="10"/>
                <w:b w:val="1"/>
                <w:bCs w:val="1"/>
                <w:color w:val="auto"/>
                <w:w w:val="96"/>
              </w:rPr>
              <w:t>Aggregate</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7"/>
              </w:rPr>
              <w:t>Weighted</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Aggregate</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600" w:type="dxa"/>
            <w:vAlign w:val="bottom"/>
            <w:vMerge w:val="restart"/>
          </w:tcPr>
          <w:p>
            <w:pPr>
              <w:jc w:val="right"/>
              <w:ind w:right="652"/>
              <w:spacing w:after="0"/>
              <w:rPr>
                <w:sz w:val="20"/>
                <w:szCs w:val="20"/>
                <w:color w:val="auto"/>
              </w:rPr>
            </w:pPr>
            <w:r>
              <w:rPr>
                <w:rFonts w:ascii="Arial" w:cs="Arial" w:eastAsia="Arial" w:hAnsi="Arial"/>
                <w:sz w:val="10"/>
                <w:szCs w:val="10"/>
                <w:b w:val="1"/>
                <w:bCs w:val="1"/>
                <w:color w:val="auto"/>
              </w:rPr>
              <w:t>Number</w:t>
            </w:r>
          </w:p>
        </w:tc>
        <w:tc>
          <w:tcPr>
            <w:tcW w:w="106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Weighted</w:t>
            </w:r>
          </w:p>
        </w:tc>
        <w:tc>
          <w:tcPr>
            <w:tcW w:w="220" w:type="dxa"/>
            <w:vAlign w:val="bottom"/>
          </w:tcPr>
          <w:p>
            <w:pPr>
              <w:spacing w:after="0"/>
              <w:rPr>
                <w:sz w:val="7"/>
                <w:szCs w:val="7"/>
                <w:color w:val="auto"/>
              </w:rPr>
            </w:pPr>
          </w:p>
        </w:tc>
        <w:tc>
          <w:tcPr>
            <w:tcW w:w="880" w:type="dxa"/>
            <w:vAlign w:val="bottom"/>
          </w:tcPr>
          <w:p>
            <w:pPr>
              <w:jc w:val="center"/>
              <w:ind w:right="352"/>
              <w:spacing w:after="0" w:line="90"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Number</w:t>
            </w:r>
          </w:p>
        </w:tc>
        <w:tc>
          <w:tcPr>
            <w:tcW w:w="320" w:type="dxa"/>
            <w:vAlign w:val="bottom"/>
          </w:tcPr>
          <w:p>
            <w:pPr>
              <w:spacing w:after="0"/>
              <w:rPr>
                <w:sz w:val="7"/>
                <w:szCs w:val="7"/>
                <w:color w:val="auto"/>
              </w:rPr>
            </w:pPr>
          </w:p>
        </w:tc>
        <w:tc>
          <w:tcPr>
            <w:tcW w:w="4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6"/>
              </w:rPr>
              <w:t>Average</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Range of Exercise Prices</w:t>
            </w:r>
          </w:p>
        </w:tc>
        <w:tc>
          <w:tcPr>
            <w:tcW w:w="16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jc w:val="center"/>
              <w:ind w:right="352"/>
              <w:spacing w:after="0" w:line="90" w:lineRule="exact"/>
              <w:rPr>
                <w:sz w:val="20"/>
                <w:szCs w:val="20"/>
                <w:color w:val="auto"/>
              </w:rPr>
            </w:pPr>
            <w:r>
              <w:rPr>
                <w:rFonts w:ascii="Arial" w:cs="Arial" w:eastAsia="Arial" w:hAnsi="Arial"/>
                <w:sz w:val="10"/>
                <w:szCs w:val="10"/>
                <w:b w:val="1"/>
                <w:bCs w:val="1"/>
                <w:color w:val="auto"/>
                <w:w w:val="97"/>
              </w:rPr>
              <w:t>Exercise</w:t>
            </w:r>
          </w:p>
        </w:tc>
        <w:tc>
          <w:tcPr>
            <w:tcW w:w="220" w:type="dxa"/>
            <w:vAlign w:val="bottom"/>
          </w:tcPr>
          <w:p>
            <w:pPr>
              <w:spacing w:after="0"/>
              <w:rPr>
                <w:sz w:val="7"/>
                <w:szCs w:val="7"/>
                <w:color w:val="auto"/>
              </w:rPr>
            </w:pPr>
          </w:p>
        </w:tc>
        <w:tc>
          <w:tcPr>
            <w:tcW w:w="1220" w:type="dxa"/>
            <w:vAlign w:val="bottom"/>
            <w:gridSpan w:val="3"/>
          </w:tcPr>
          <w:p>
            <w:pPr>
              <w:jc w:val="center"/>
              <w:ind w:right="720"/>
              <w:spacing w:after="0" w:line="90" w:lineRule="exact"/>
              <w:rPr>
                <w:sz w:val="20"/>
                <w:szCs w:val="20"/>
                <w:color w:val="auto"/>
              </w:rPr>
            </w:pPr>
            <w:r>
              <w:rPr>
                <w:rFonts w:ascii="Arial" w:cs="Arial" w:eastAsia="Arial" w:hAnsi="Arial"/>
                <w:sz w:val="10"/>
                <w:szCs w:val="10"/>
                <w:b w:val="1"/>
                <w:bCs w:val="1"/>
                <w:color w:val="auto"/>
                <w:w w:val="97"/>
              </w:rPr>
              <w:t>Intrinsic</w:t>
            </w:r>
          </w:p>
        </w:tc>
        <w:tc>
          <w:tcPr>
            <w:tcW w:w="10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7"/>
              </w:rPr>
              <w:t>Exercise</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2"/>
              </w:rPr>
              <w:t>Intrinsic</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880" w:type="dxa"/>
            <w:vAlign w:val="bottom"/>
            <w:tcBorders>
              <w:bottom w:val="single" w:sz="8" w:color="DC202E"/>
            </w:tcBorders>
            <w:gridSpan w:val="2"/>
            <w:vMerge w:val="continue"/>
          </w:tcPr>
          <w:p>
            <w:pPr>
              <w:spacing w:after="0"/>
              <w:rPr>
                <w:sz w:val="10"/>
                <w:szCs w:val="10"/>
                <w:color w:val="auto"/>
              </w:rPr>
            </w:pPr>
          </w:p>
        </w:tc>
        <w:tc>
          <w:tcPr>
            <w:tcW w:w="1600" w:type="dxa"/>
            <w:vAlign w:val="bottom"/>
            <w:tcBorders>
              <w:bottom w:val="single" w:sz="8" w:color="DC202E"/>
            </w:tcBorders>
          </w:tcPr>
          <w:p>
            <w:pPr>
              <w:jc w:val="right"/>
              <w:ind w:right="552"/>
              <w:spacing w:after="0"/>
              <w:rPr>
                <w:sz w:val="20"/>
                <w:szCs w:val="20"/>
                <w:color w:val="auto"/>
              </w:rPr>
            </w:pPr>
            <w:r>
              <w:rPr>
                <w:rFonts w:ascii="Arial" w:cs="Arial" w:eastAsia="Arial" w:hAnsi="Arial"/>
                <w:sz w:val="10"/>
                <w:szCs w:val="10"/>
                <w:b w:val="1"/>
                <w:bCs w:val="1"/>
                <w:color w:val="auto"/>
              </w:rPr>
              <w:t>Outstanding</w:t>
            </w:r>
          </w:p>
        </w:tc>
        <w:tc>
          <w:tcPr>
            <w:tcW w:w="1060" w:type="dxa"/>
            <w:vAlign w:val="bottom"/>
            <w:tcBorders>
              <w:bottom w:val="single" w:sz="8" w:color="DC202E"/>
            </w:tcBorders>
          </w:tcPr>
          <w:p>
            <w:pPr>
              <w:jc w:val="right"/>
              <w:ind w:right="272"/>
              <w:spacing w:after="0" w:line="117" w:lineRule="exact"/>
              <w:rPr>
                <w:sz w:val="20"/>
                <w:szCs w:val="20"/>
                <w:color w:val="auto"/>
              </w:rPr>
            </w:pPr>
            <w:r>
              <w:rPr>
                <w:rFonts w:ascii="Arial" w:cs="Arial" w:eastAsia="Arial" w:hAnsi="Arial"/>
                <w:sz w:val="10"/>
                <w:szCs w:val="10"/>
                <w:b w:val="1"/>
                <w:bCs w:val="1"/>
                <w:color w:val="auto"/>
              </w:rPr>
              <w:t>Average Life</w:t>
            </w:r>
            <w:r>
              <w:rPr>
                <w:rFonts w:ascii="Arial" w:cs="Arial" w:eastAsia="Arial" w:hAnsi="Arial"/>
                <w:sz w:val="12"/>
                <w:szCs w:val="12"/>
                <w:b w:val="1"/>
                <w:bCs w:val="1"/>
                <w:color w:val="auto"/>
                <w:vertAlign w:val="superscript"/>
              </w:rPr>
              <w:t>(1)</w:t>
            </w:r>
          </w:p>
        </w:tc>
        <w:tc>
          <w:tcPr>
            <w:tcW w:w="1100" w:type="dxa"/>
            <w:vAlign w:val="bottom"/>
            <w:tcBorders>
              <w:bottom w:val="single" w:sz="8" w:color="DC202E"/>
            </w:tcBorders>
            <w:gridSpan w:val="2"/>
          </w:tcPr>
          <w:p>
            <w:pPr>
              <w:jc w:val="center"/>
              <w:ind w:right="132"/>
              <w:spacing w:after="0"/>
              <w:rPr>
                <w:sz w:val="20"/>
                <w:szCs w:val="20"/>
                <w:color w:val="auto"/>
              </w:rPr>
            </w:pPr>
            <w:r>
              <w:rPr>
                <w:rFonts w:ascii="Arial" w:cs="Arial" w:eastAsia="Arial" w:hAnsi="Arial"/>
                <w:sz w:val="10"/>
                <w:szCs w:val="10"/>
                <w:b w:val="1"/>
                <w:bCs w:val="1"/>
                <w:color w:val="auto"/>
                <w:w w:val="94"/>
              </w:rPr>
              <w:t>Price per share</w:t>
            </w:r>
          </w:p>
        </w:tc>
        <w:tc>
          <w:tcPr>
            <w:tcW w:w="220" w:type="dxa"/>
            <w:vAlign w:val="bottom"/>
            <w:tcBorders>
              <w:bottom w:val="single" w:sz="8" w:color="DC202E"/>
            </w:tcBorders>
          </w:tcPr>
          <w:p>
            <w:pPr>
              <w:spacing w:after="0"/>
              <w:rPr>
                <w:sz w:val="10"/>
                <w:szCs w:val="10"/>
                <w:color w:val="auto"/>
              </w:rPr>
            </w:pPr>
          </w:p>
        </w:tc>
        <w:tc>
          <w:tcPr>
            <w:tcW w:w="1220" w:type="dxa"/>
            <w:vAlign w:val="bottom"/>
            <w:tcBorders>
              <w:bottom w:val="single" w:sz="8" w:color="DC202E"/>
            </w:tcBorders>
            <w:gridSpan w:val="3"/>
          </w:tcPr>
          <w:p>
            <w:pPr>
              <w:jc w:val="center"/>
              <w:ind w:right="720"/>
              <w:spacing w:after="0"/>
              <w:rPr>
                <w:sz w:val="20"/>
                <w:szCs w:val="20"/>
                <w:color w:val="auto"/>
              </w:rPr>
            </w:pPr>
            <w:r>
              <w:rPr>
                <w:rFonts w:ascii="Arial" w:cs="Arial" w:eastAsia="Arial" w:hAnsi="Arial"/>
                <w:sz w:val="10"/>
                <w:szCs w:val="10"/>
                <w:b w:val="1"/>
                <w:bCs w:val="1"/>
                <w:color w:val="auto"/>
                <w:w w:val="97"/>
              </w:rPr>
              <w:t>Value</w:t>
            </w:r>
          </w:p>
        </w:tc>
        <w:tc>
          <w:tcPr>
            <w:tcW w:w="1000" w:type="dxa"/>
            <w:vAlign w:val="bottom"/>
            <w:tcBorders>
              <w:bottom w:val="single" w:sz="8" w:color="DC202E"/>
            </w:tcBorders>
            <w:gridSpan w:val="2"/>
          </w:tcPr>
          <w:p>
            <w:pPr>
              <w:jc w:val="right"/>
              <w:ind w:right="340"/>
              <w:spacing w:after="0"/>
              <w:rPr>
                <w:sz w:val="20"/>
                <w:szCs w:val="20"/>
                <w:color w:val="auto"/>
              </w:rPr>
            </w:pPr>
            <w:r>
              <w:rPr>
                <w:rFonts w:ascii="Arial" w:cs="Arial" w:eastAsia="Arial" w:hAnsi="Arial"/>
                <w:sz w:val="10"/>
                <w:szCs w:val="10"/>
                <w:b w:val="1"/>
                <w:bCs w:val="1"/>
                <w:color w:val="auto"/>
              </w:rPr>
              <w:t>Exercisable</w:t>
            </w:r>
          </w:p>
        </w:tc>
        <w:tc>
          <w:tcPr>
            <w:tcW w:w="1260" w:type="dxa"/>
            <w:vAlign w:val="bottom"/>
            <w:tcBorders>
              <w:bottom w:val="single" w:sz="8" w:color="DC202E"/>
            </w:tcBorders>
            <w:gridSpan w:val="3"/>
          </w:tcPr>
          <w:p>
            <w:pPr>
              <w:jc w:val="center"/>
              <w:ind w:right="112"/>
              <w:spacing w:after="0"/>
              <w:rPr>
                <w:sz w:val="20"/>
                <w:szCs w:val="20"/>
                <w:color w:val="auto"/>
              </w:rPr>
            </w:pPr>
            <w:r>
              <w:rPr>
                <w:rFonts w:ascii="Arial" w:cs="Arial" w:eastAsia="Arial" w:hAnsi="Arial"/>
                <w:sz w:val="10"/>
                <w:szCs w:val="10"/>
                <w:b w:val="1"/>
                <w:bCs w:val="1"/>
                <w:color w:val="auto"/>
                <w:w w:val="96"/>
              </w:rPr>
              <w:t>Price per share</w:t>
            </w:r>
          </w:p>
        </w:tc>
        <w:tc>
          <w:tcPr>
            <w:tcW w:w="1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center"/>
              <w:spacing w:after="0"/>
              <w:rPr>
                <w:sz w:val="20"/>
                <w:szCs w:val="20"/>
                <w:color w:val="auto"/>
              </w:rPr>
            </w:pPr>
            <w:r>
              <w:rPr>
                <w:rFonts w:ascii="Arial" w:cs="Arial" w:eastAsia="Arial" w:hAnsi="Arial"/>
                <w:sz w:val="10"/>
                <w:szCs w:val="10"/>
                <w:b w:val="1"/>
                <w:bCs w:val="1"/>
                <w:color w:val="auto"/>
                <w:w w:val="89"/>
              </w:rPr>
              <w:t>Value</w:t>
            </w:r>
          </w:p>
        </w:tc>
        <w:tc>
          <w:tcPr>
            <w:tcW w:w="30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$27.00–$64.99</w:t>
            </w:r>
          </w:p>
        </w:tc>
        <w:tc>
          <w:tcPr>
            <w:tcW w:w="160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90,181</w:t>
            </w:r>
          </w:p>
        </w:tc>
        <w:tc>
          <w:tcPr>
            <w:tcW w:w="10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0.17</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56.97</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c>
          <w:tcPr>
            <w:tcW w:w="22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gridSpan w:val="2"/>
          </w:tcPr>
          <w:p>
            <w:pPr>
              <w:jc w:val="right"/>
              <w:ind w:right="40"/>
              <w:spacing w:after="0"/>
              <w:rPr>
                <w:sz w:val="20"/>
                <w:szCs w:val="20"/>
                <w:color w:val="auto"/>
              </w:rPr>
            </w:pPr>
            <w:r>
              <w:rPr>
                <w:rFonts w:ascii="Arial" w:cs="Arial" w:eastAsia="Arial" w:hAnsi="Arial"/>
                <w:sz w:val="10"/>
                <w:szCs w:val="10"/>
                <w:color w:val="auto"/>
              </w:rPr>
              <w:t>90,181</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56.97</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5"/>
        </w:trPr>
        <w:tc>
          <w:tcPr>
            <w:tcW w:w="28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$65.00–$89.99</w:t>
            </w:r>
          </w:p>
        </w:tc>
        <w:tc>
          <w:tcPr>
            <w:tcW w:w="160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2,293,585</w:t>
            </w:r>
          </w:p>
        </w:tc>
        <w:tc>
          <w:tcPr>
            <w:tcW w:w="10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1.68</w:t>
            </w:r>
          </w:p>
        </w:tc>
        <w:tc>
          <w:tcPr>
            <w:tcW w:w="22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79.39</w:t>
            </w:r>
          </w:p>
        </w:tc>
        <w:tc>
          <w:tcPr>
            <w:tcW w:w="220" w:type="dxa"/>
            <w:vAlign w:val="bottom"/>
            <w:tcBorders>
              <w:bottom w:val="single" w:sz="8" w:color="939598"/>
            </w:tcBorders>
          </w:tcPr>
          <w:p>
            <w:pPr>
              <w:spacing w:after="0"/>
              <w:rPr>
                <w:sz w:val="10"/>
                <w:szCs w:val="10"/>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296</w:t>
            </w:r>
          </w:p>
        </w:tc>
        <w:tc>
          <w:tcPr>
            <w:tcW w:w="22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gridSpan w:val="2"/>
          </w:tcPr>
          <w:p>
            <w:pPr>
              <w:jc w:val="right"/>
              <w:ind w:right="40"/>
              <w:spacing w:after="0"/>
              <w:rPr>
                <w:sz w:val="20"/>
                <w:szCs w:val="20"/>
                <w:color w:val="auto"/>
              </w:rPr>
            </w:pPr>
            <w:r>
              <w:rPr>
                <w:rFonts w:ascii="Arial" w:cs="Arial" w:eastAsia="Arial" w:hAnsi="Arial"/>
                <w:sz w:val="10"/>
                <w:szCs w:val="10"/>
                <w:color w:val="auto"/>
              </w:rPr>
              <w:t>2,293,585</w:t>
            </w:r>
          </w:p>
        </w:tc>
        <w:tc>
          <w:tcPr>
            <w:tcW w:w="3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79.39</w:t>
            </w:r>
          </w:p>
        </w:tc>
        <w:tc>
          <w:tcPr>
            <w:tcW w:w="1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296</w:t>
            </w:r>
          </w:p>
        </w:tc>
        <w:tc>
          <w:tcPr>
            <w:tcW w:w="0" w:type="dxa"/>
            <w:vAlign w:val="bottom"/>
          </w:tcPr>
          <w:p>
            <w:pPr>
              <w:spacing w:after="0"/>
              <w:rPr>
                <w:sz w:val="1"/>
                <w:szCs w:val="1"/>
                <w:color w:val="auto"/>
              </w:rPr>
            </w:pPr>
          </w:p>
        </w:tc>
      </w:tr>
      <w:tr>
        <w:trPr>
          <w:trHeight w:val="115"/>
        </w:trPr>
        <w:tc>
          <w:tcPr>
            <w:tcW w:w="28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$90.00–$99.99</w:t>
            </w:r>
          </w:p>
        </w:tc>
        <w:tc>
          <w:tcPr>
            <w:tcW w:w="160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3,341,048</w:t>
            </w:r>
          </w:p>
        </w:tc>
        <w:tc>
          <w:tcPr>
            <w:tcW w:w="10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3.44</w:t>
            </w:r>
          </w:p>
        </w:tc>
        <w:tc>
          <w:tcPr>
            <w:tcW w:w="22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98.80</w:t>
            </w:r>
          </w:p>
        </w:tc>
        <w:tc>
          <w:tcPr>
            <w:tcW w:w="220" w:type="dxa"/>
            <w:vAlign w:val="bottom"/>
            <w:tcBorders>
              <w:bottom w:val="single" w:sz="8" w:color="939598"/>
            </w:tcBorders>
          </w:tcPr>
          <w:p>
            <w:pPr>
              <w:spacing w:after="0"/>
              <w:rPr>
                <w:sz w:val="10"/>
                <w:szCs w:val="10"/>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367</w:t>
            </w:r>
          </w:p>
        </w:tc>
        <w:tc>
          <w:tcPr>
            <w:tcW w:w="22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gridSpan w:val="2"/>
          </w:tcPr>
          <w:p>
            <w:pPr>
              <w:jc w:val="right"/>
              <w:ind w:right="40"/>
              <w:spacing w:after="0"/>
              <w:rPr>
                <w:sz w:val="20"/>
                <w:szCs w:val="20"/>
                <w:color w:val="auto"/>
              </w:rPr>
            </w:pPr>
            <w:r>
              <w:rPr>
                <w:rFonts w:ascii="Arial" w:cs="Arial" w:eastAsia="Arial" w:hAnsi="Arial"/>
                <w:sz w:val="10"/>
                <w:szCs w:val="10"/>
                <w:color w:val="auto"/>
              </w:rPr>
              <w:t>3,341,048</w:t>
            </w:r>
          </w:p>
        </w:tc>
        <w:tc>
          <w:tcPr>
            <w:tcW w:w="3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98.80</w:t>
            </w:r>
          </w:p>
        </w:tc>
        <w:tc>
          <w:tcPr>
            <w:tcW w:w="1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366</w:t>
            </w:r>
          </w:p>
        </w:tc>
        <w:tc>
          <w:tcPr>
            <w:tcW w:w="0" w:type="dxa"/>
            <w:vAlign w:val="bottom"/>
          </w:tcPr>
          <w:p>
            <w:pPr>
              <w:spacing w:after="0"/>
              <w:rPr>
                <w:sz w:val="1"/>
                <w:szCs w:val="1"/>
                <w:color w:val="auto"/>
              </w:rPr>
            </w:pPr>
          </w:p>
        </w:tc>
      </w:tr>
      <w:tr>
        <w:trPr>
          <w:trHeight w:val="115"/>
        </w:trPr>
        <w:tc>
          <w:tcPr>
            <w:tcW w:w="28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$100.00–$134.99</w:t>
            </w:r>
          </w:p>
        </w:tc>
        <w:tc>
          <w:tcPr>
            <w:tcW w:w="160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2,435,321</w:t>
            </w:r>
          </w:p>
        </w:tc>
        <w:tc>
          <w:tcPr>
            <w:tcW w:w="10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5.04</w:t>
            </w:r>
          </w:p>
        </w:tc>
        <w:tc>
          <w:tcPr>
            <w:tcW w:w="22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119.69</w:t>
            </w:r>
          </w:p>
        </w:tc>
        <w:tc>
          <w:tcPr>
            <w:tcW w:w="220" w:type="dxa"/>
            <w:vAlign w:val="bottom"/>
            <w:tcBorders>
              <w:bottom w:val="single" w:sz="8" w:color="939598"/>
            </w:tcBorders>
          </w:tcPr>
          <w:p>
            <w:pPr>
              <w:spacing w:after="0"/>
              <w:rPr>
                <w:sz w:val="10"/>
                <w:szCs w:val="10"/>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216</w:t>
            </w:r>
          </w:p>
        </w:tc>
        <w:tc>
          <w:tcPr>
            <w:tcW w:w="22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gridSpan w:val="2"/>
          </w:tcPr>
          <w:p>
            <w:pPr>
              <w:jc w:val="right"/>
              <w:ind w:right="40"/>
              <w:spacing w:after="0"/>
              <w:rPr>
                <w:sz w:val="20"/>
                <w:szCs w:val="20"/>
                <w:color w:val="auto"/>
              </w:rPr>
            </w:pPr>
            <w:r>
              <w:rPr>
                <w:rFonts w:ascii="Arial" w:cs="Arial" w:eastAsia="Arial" w:hAnsi="Arial"/>
                <w:sz w:val="10"/>
                <w:szCs w:val="10"/>
                <w:color w:val="auto"/>
              </w:rPr>
              <w:t>2,314,755</w:t>
            </w:r>
          </w:p>
        </w:tc>
        <w:tc>
          <w:tcPr>
            <w:tcW w:w="3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48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w w:val="84"/>
              </w:rPr>
              <w:t>119.19</w:t>
            </w:r>
          </w:p>
        </w:tc>
        <w:tc>
          <w:tcPr>
            <w:tcW w:w="1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214</w:t>
            </w:r>
          </w:p>
        </w:tc>
        <w:tc>
          <w:tcPr>
            <w:tcW w:w="0" w:type="dxa"/>
            <w:vAlign w:val="bottom"/>
          </w:tcPr>
          <w:p>
            <w:pPr>
              <w:spacing w:after="0"/>
              <w:rPr>
                <w:sz w:val="1"/>
                <w:szCs w:val="1"/>
                <w:color w:val="auto"/>
              </w:rPr>
            </w:pPr>
          </w:p>
        </w:tc>
      </w:tr>
      <w:tr>
        <w:trPr>
          <w:trHeight w:val="115"/>
        </w:trPr>
        <w:tc>
          <w:tcPr>
            <w:tcW w:w="288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$135.00–$232.99</w:t>
            </w:r>
          </w:p>
        </w:tc>
        <w:tc>
          <w:tcPr>
            <w:tcW w:w="160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color w:val="auto"/>
              </w:rPr>
              <w:t>7,692,804</w:t>
            </w:r>
          </w:p>
        </w:tc>
        <w:tc>
          <w:tcPr>
            <w:tcW w:w="10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7.55</w:t>
            </w:r>
          </w:p>
        </w:tc>
        <w:tc>
          <w:tcPr>
            <w:tcW w:w="22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173.71</w:t>
            </w:r>
          </w:p>
        </w:tc>
        <w:tc>
          <w:tcPr>
            <w:tcW w:w="220" w:type="dxa"/>
            <w:vAlign w:val="bottom"/>
            <w:tcBorders>
              <w:bottom w:val="single" w:sz="8" w:color="DC202E"/>
            </w:tcBorders>
          </w:tcPr>
          <w:p>
            <w:pPr>
              <w:spacing w:after="0"/>
              <w:rPr>
                <w:sz w:val="10"/>
                <w:szCs w:val="10"/>
                <w:color w:val="auto"/>
              </w:rPr>
            </w:pPr>
          </w:p>
        </w:tc>
        <w:tc>
          <w:tcPr>
            <w:tcW w:w="8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271</w:t>
            </w:r>
          </w:p>
        </w:tc>
        <w:tc>
          <w:tcPr>
            <w:tcW w:w="22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gridSpan w:val="2"/>
          </w:tcPr>
          <w:p>
            <w:pPr>
              <w:jc w:val="right"/>
              <w:ind w:right="40"/>
              <w:spacing w:after="0"/>
              <w:rPr>
                <w:sz w:val="20"/>
                <w:szCs w:val="20"/>
                <w:color w:val="auto"/>
              </w:rPr>
            </w:pPr>
            <w:r>
              <w:rPr>
                <w:rFonts w:ascii="Arial" w:cs="Arial" w:eastAsia="Arial" w:hAnsi="Arial"/>
                <w:sz w:val="10"/>
                <w:szCs w:val="10"/>
                <w:color w:val="auto"/>
              </w:rPr>
              <w:t>2,625,056</w:t>
            </w:r>
          </w:p>
        </w:tc>
        <w:tc>
          <w:tcPr>
            <w:tcW w:w="3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48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w w:val="84"/>
              </w:rPr>
              <w:t>158.14</w:t>
            </w:r>
          </w:p>
        </w:tc>
        <w:tc>
          <w:tcPr>
            <w:tcW w:w="1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232</w:t>
            </w:r>
          </w:p>
        </w:tc>
        <w:tc>
          <w:tcPr>
            <w:tcW w:w="0" w:type="dxa"/>
            <w:vAlign w:val="bottom"/>
          </w:tcPr>
          <w:p>
            <w:pPr>
              <w:spacing w:after="0"/>
              <w:rPr>
                <w:sz w:val="1"/>
                <w:szCs w:val="1"/>
                <w:color w:val="auto"/>
              </w:rPr>
            </w:pPr>
          </w:p>
        </w:tc>
      </w:tr>
      <w:tr>
        <w:trPr>
          <w:trHeight w:val="115"/>
        </w:trPr>
        <w:tc>
          <w:tcPr>
            <w:tcW w:w="120" w:type="dxa"/>
            <w:vAlign w:val="bottom"/>
            <w:tcBorders>
              <w:bottom w:val="single" w:sz="8" w:color="DC202E"/>
            </w:tcBorders>
          </w:tcPr>
          <w:p>
            <w:pPr>
              <w:spacing w:after="0"/>
              <w:rPr>
                <w:sz w:val="10"/>
                <w:szCs w:val="10"/>
                <w:color w:val="auto"/>
              </w:rPr>
            </w:pPr>
          </w:p>
        </w:tc>
        <w:tc>
          <w:tcPr>
            <w:tcW w:w="2760" w:type="dxa"/>
            <w:vAlign w:val="bottom"/>
            <w:tcBorders>
              <w:bottom w:val="single" w:sz="8" w:color="DC202E"/>
            </w:tcBorders>
          </w:tcPr>
          <w:p>
            <w:pPr>
              <w:spacing w:after="0"/>
              <w:rPr>
                <w:sz w:val="10"/>
                <w:szCs w:val="10"/>
                <w:color w:val="auto"/>
              </w:rPr>
            </w:pPr>
          </w:p>
        </w:tc>
        <w:tc>
          <w:tcPr>
            <w:tcW w:w="1600" w:type="dxa"/>
            <w:vAlign w:val="bottom"/>
            <w:tcBorders>
              <w:bottom w:val="single" w:sz="8" w:color="DC202E"/>
            </w:tcBorders>
          </w:tcPr>
          <w:p>
            <w:pPr>
              <w:jc w:val="right"/>
              <w:ind w:right="132"/>
              <w:spacing w:after="0"/>
              <w:rPr>
                <w:sz w:val="20"/>
                <w:szCs w:val="20"/>
                <w:color w:val="auto"/>
              </w:rPr>
            </w:pPr>
            <w:r>
              <w:rPr>
                <w:rFonts w:ascii="Arial" w:cs="Arial" w:eastAsia="Arial" w:hAnsi="Arial"/>
                <w:sz w:val="10"/>
                <w:szCs w:val="10"/>
                <w:b w:val="1"/>
                <w:bCs w:val="1"/>
                <w:color w:val="auto"/>
              </w:rPr>
              <w:t>15,852,939</w:t>
            </w:r>
          </w:p>
        </w:tc>
        <w:tc>
          <w:tcPr>
            <w:tcW w:w="10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5.41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135.28</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1,164</w:t>
            </w:r>
          </w:p>
        </w:tc>
        <w:tc>
          <w:tcPr>
            <w:tcW w:w="22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gridSpan w:val="2"/>
          </w:tcPr>
          <w:p>
            <w:pPr>
              <w:jc w:val="right"/>
              <w:ind w:right="40"/>
              <w:spacing w:after="0"/>
              <w:rPr>
                <w:sz w:val="20"/>
                <w:szCs w:val="20"/>
                <w:color w:val="auto"/>
              </w:rPr>
            </w:pPr>
            <w:r>
              <w:rPr>
                <w:rFonts w:ascii="Arial" w:cs="Arial" w:eastAsia="Arial" w:hAnsi="Arial"/>
                <w:sz w:val="10"/>
                <w:szCs w:val="10"/>
                <w:b w:val="1"/>
                <w:bCs w:val="1"/>
                <w:color w:val="auto"/>
              </w:rPr>
              <w:t>10,664,625</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spacing w:after="0"/>
              <w:rPr>
                <w:sz w:val="10"/>
                <w:szCs w:val="10"/>
                <w:color w:val="auto"/>
              </w:rPr>
            </w:pPr>
          </w:p>
        </w:tc>
        <w:tc>
          <w:tcPr>
            <w:tcW w:w="48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w w:val="84"/>
              </w:rPr>
              <w:t>113.30</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5"/>
              </w:rPr>
              <w:t>1,122</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20"/>
                <w:szCs w:val="20"/>
                <w:color w:val="auto"/>
              </w:rPr>
            </w:pPr>
            <w:r>
              <w:rPr>
                <w:rFonts w:ascii="Arial" w:cs="Arial" w:eastAsia="Arial" w:hAnsi="Arial"/>
                <w:sz w:val="5"/>
                <w:szCs w:val="5"/>
                <w:color w:val="auto"/>
              </w:rPr>
              <w:t>(1)</w:t>
            </w:r>
          </w:p>
        </w:tc>
        <w:tc>
          <w:tcPr>
            <w:tcW w:w="2760" w:type="dxa"/>
            <w:vAlign w:val="bottom"/>
            <w:vMerge w:val="restart"/>
          </w:tcPr>
          <w:p>
            <w:pPr>
              <w:ind w:left="60"/>
              <w:spacing w:after="0"/>
              <w:rPr>
                <w:sz w:val="20"/>
                <w:szCs w:val="20"/>
                <w:color w:val="auto"/>
              </w:rPr>
            </w:pPr>
            <w:r>
              <w:rPr>
                <w:rFonts w:ascii="Arial" w:cs="Arial" w:eastAsia="Arial" w:hAnsi="Arial"/>
                <w:sz w:val="8"/>
                <w:szCs w:val="8"/>
                <w:color w:val="auto"/>
              </w:rPr>
              <w:t>Average remaining contractual life in years.</w:t>
            </w: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20" w:type="dxa"/>
            <w:vAlign w:val="bottom"/>
          </w:tcPr>
          <w:p>
            <w:pPr>
              <w:spacing w:after="0"/>
              <w:rPr>
                <w:sz w:val="3"/>
                <w:szCs w:val="3"/>
                <w:color w:val="auto"/>
              </w:rPr>
            </w:pPr>
          </w:p>
        </w:tc>
        <w:tc>
          <w:tcPr>
            <w:tcW w:w="276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080" w:type="dxa"/>
            <w:vAlign w:val="bottom"/>
            <w:gridSpan w:val="10"/>
          </w:tcPr>
          <w:p>
            <w:pPr>
              <w:spacing w:after="0"/>
              <w:rPr>
                <w:sz w:val="20"/>
                <w:szCs w:val="20"/>
                <w:color w:val="auto"/>
              </w:rPr>
            </w:pPr>
            <w:r>
              <w:rPr>
                <w:rFonts w:ascii="Arial" w:cs="Arial" w:eastAsia="Arial" w:hAnsi="Arial"/>
                <w:sz w:val="11"/>
                <w:szCs w:val="11"/>
                <w:color w:val="auto"/>
                <w:w w:val="99"/>
              </w:rPr>
              <w:t>There were 10,120,793 and 11,620,992 options exercisable at weighted average exercise prices of $103.89 and $92.19 at December 31, 2020 and 2019, respectively.</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gridSpan w:val="3"/>
          </w:tcPr>
          <w:p>
            <w:pPr>
              <w:spacing w:after="0"/>
              <w:rPr>
                <w:sz w:val="20"/>
                <w:szCs w:val="20"/>
                <w:color w:val="auto"/>
              </w:rPr>
            </w:pPr>
            <w:r>
              <w:rPr>
                <w:rFonts w:ascii="Arial" w:cs="Arial" w:eastAsia="Arial" w:hAnsi="Arial"/>
                <w:sz w:val="11"/>
                <w:szCs w:val="11"/>
                <w:color w:val="auto"/>
                <w:w w:val="99"/>
              </w:rPr>
              <w:t>The following table summarizes the financial statement impact from stock options exercised:</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Borders>
              <w:bottom w:val="single" w:sz="8" w:color="DC202E"/>
            </w:tcBorders>
          </w:tcPr>
          <w:p>
            <w:pPr>
              <w:spacing w:after="0"/>
              <w:rPr>
                <w:sz w:val="16"/>
                <w:szCs w:val="16"/>
                <w:color w:val="auto"/>
              </w:rPr>
            </w:pPr>
          </w:p>
        </w:tc>
        <w:tc>
          <w:tcPr>
            <w:tcW w:w="1400" w:type="dxa"/>
            <w:vAlign w:val="bottom"/>
            <w:tcBorders>
              <w:bottom w:val="single" w:sz="8" w:color="DC202E"/>
            </w:tcBorders>
            <w:gridSpan w:val="4"/>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520" w:type="dxa"/>
            <w:vAlign w:val="bottom"/>
            <w:tcBorders>
              <w:bottom w:val="single" w:sz="8" w:color="DC202E"/>
            </w:tcBorders>
          </w:tcPr>
          <w:p>
            <w:pPr>
              <w:spacing w:after="0"/>
              <w:rPr>
                <w:sz w:val="16"/>
                <w:szCs w:val="16"/>
                <w:color w:val="auto"/>
              </w:rPr>
            </w:pPr>
          </w:p>
        </w:tc>
        <w:tc>
          <w:tcPr>
            <w:tcW w:w="300" w:type="dxa"/>
            <w:vAlign w:val="bottom"/>
            <w:tcBorders>
              <w:bottom w:val="single" w:sz="8" w:color="DC202E"/>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88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Options Exercised</w:t>
            </w:r>
          </w:p>
        </w:tc>
        <w:tc>
          <w:tcPr>
            <w:tcW w:w="1600" w:type="dxa"/>
            <w:vAlign w:val="bottom"/>
            <w:tcBorders>
              <w:bottom w:val="single" w:sz="8" w:color="DC202E"/>
            </w:tcBorders>
          </w:tcPr>
          <w:p>
            <w:pPr>
              <w:spacing w:after="0"/>
              <w:rPr>
                <w:sz w:val="13"/>
                <w:szCs w:val="13"/>
                <w:color w:val="auto"/>
              </w:rPr>
            </w:pPr>
          </w:p>
        </w:tc>
        <w:tc>
          <w:tcPr>
            <w:tcW w:w="106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88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80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200" w:type="dxa"/>
            <w:vAlign w:val="bottom"/>
            <w:tcBorders>
              <w:bottom w:val="single" w:sz="8" w:color="DC202E"/>
            </w:tcBorders>
          </w:tcPr>
          <w:p>
            <w:pPr>
              <w:spacing w:after="0"/>
              <w:rPr>
                <w:sz w:val="13"/>
                <w:szCs w:val="13"/>
                <w:color w:val="auto"/>
              </w:rPr>
            </w:pPr>
          </w:p>
        </w:tc>
        <w:tc>
          <w:tcPr>
            <w:tcW w:w="1000" w:type="dxa"/>
            <w:vAlign w:val="bottom"/>
            <w:tcBorders>
              <w:bottom w:val="single" w:sz="8" w:color="DC202E"/>
            </w:tcBorders>
            <w:gridSpan w:val="2"/>
          </w:tcPr>
          <w:p>
            <w:pPr>
              <w:jc w:val="right"/>
              <w:ind w:right="120"/>
              <w:spacing w:after="0"/>
              <w:rPr>
                <w:sz w:val="20"/>
                <w:szCs w:val="20"/>
                <w:color w:val="auto"/>
              </w:rPr>
            </w:pPr>
            <w:r>
              <w:rPr>
                <w:rFonts w:ascii="Arial" w:cs="Arial" w:eastAsia="Arial" w:hAnsi="Arial"/>
                <w:sz w:val="10"/>
                <w:szCs w:val="10"/>
                <w:b w:val="1"/>
                <w:bCs w:val="1"/>
                <w:color w:val="auto"/>
              </w:rPr>
              <w:t>2021</w:t>
            </w:r>
          </w:p>
        </w:tc>
        <w:tc>
          <w:tcPr>
            <w:tcW w:w="320" w:type="dxa"/>
            <w:vAlign w:val="bottom"/>
            <w:tcBorders>
              <w:bottom w:val="single" w:sz="8" w:color="DC202E"/>
            </w:tcBorders>
          </w:tcPr>
          <w:p>
            <w:pPr>
              <w:spacing w:after="0"/>
              <w:rPr>
                <w:sz w:val="13"/>
                <w:szCs w:val="13"/>
                <w:color w:val="auto"/>
              </w:rPr>
            </w:pPr>
          </w:p>
        </w:tc>
        <w:tc>
          <w:tcPr>
            <w:tcW w:w="940" w:type="dxa"/>
            <w:vAlign w:val="bottom"/>
            <w:tcBorders>
              <w:bottom w:val="single" w:sz="8" w:color="DC202E"/>
            </w:tcBorders>
            <w:gridSpan w:val="2"/>
          </w:tcPr>
          <w:p>
            <w:pPr>
              <w:jc w:val="right"/>
              <w:ind w:right="35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52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Intrinsic value</w:t>
            </w:r>
            <w:r>
              <w:rPr>
                <w:rFonts w:ascii="Arial" w:cs="Arial" w:eastAsia="Arial" w:hAnsi="Arial"/>
                <w:sz w:val="6"/>
                <w:szCs w:val="6"/>
                <w:color w:val="auto"/>
              </w:rPr>
              <w:t>(1)</w:t>
            </w:r>
          </w:p>
        </w:tc>
        <w:tc>
          <w:tcPr>
            <w:tcW w:w="160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80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gridSpan w:val="2"/>
          </w:tcPr>
          <w:p>
            <w:pPr>
              <w:jc w:val="right"/>
              <w:ind w:right="42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219</w:t>
            </w:r>
          </w:p>
        </w:tc>
        <w:tc>
          <w:tcPr>
            <w:tcW w:w="46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379</w:t>
            </w:r>
          </w:p>
        </w:tc>
        <w:tc>
          <w:tcPr>
            <w:tcW w:w="1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483</w:t>
            </w:r>
          </w:p>
        </w:tc>
        <w:tc>
          <w:tcPr>
            <w:tcW w:w="0" w:type="dxa"/>
            <w:vAlign w:val="bottom"/>
          </w:tcPr>
          <w:p>
            <w:pPr>
              <w:spacing w:after="0"/>
              <w:rPr>
                <w:sz w:val="1"/>
                <w:szCs w:val="1"/>
                <w:color w:val="auto"/>
              </w:rPr>
            </w:pPr>
          </w:p>
        </w:tc>
      </w:tr>
      <w:tr>
        <w:trPr>
          <w:trHeight w:val="115"/>
        </w:trPr>
        <w:tc>
          <w:tcPr>
            <w:tcW w:w="288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Tax benefit realized</w:t>
            </w:r>
          </w:p>
        </w:tc>
        <w:tc>
          <w:tcPr>
            <w:tcW w:w="160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80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48</w:t>
            </w:r>
          </w:p>
        </w:tc>
        <w:tc>
          <w:tcPr>
            <w:tcW w:w="460" w:type="dxa"/>
            <w:vAlign w:val="bottom"/>
            <w:tcBorders>
              <w:bottom w:val="single" w:sz="8" w:color="DC202E"/>
            </w:tcBorders>
          </w:tcPr>
          <w:p>
            <w:pPr>
              <w:spacing w:after="0"/>
              <w:rPr>
                <w:sz w:val="10"/>
                <w:szCs w:val="10"/>
                <w:color w:val="auto"/>
              </w:rPr>
            </w:pPr>
          </w:p>
        </w:tc>
        <w:tc>
          <w:tcPr>
            <w:tcW w:w="4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84</w:t>
            </w:r>
          </w:p>
        </w:tc>
        <w:tc>
          <w:tcPr>
            <w:tcW w:w="1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88" w:hanging="188"/>
        <w:spacing w:after="0"/>
        <w:tabs>
          <w:tab w:leader="none" w:pos="188" w:val="left"/>
        </w:tabs>
        <w:numPr>
          <w:ilvl w:val="0"/>
          <w:numId w:val="92"/>
        </w:numPr>
        <w:rPr>
          <w:rFonts w:ascii="Arial" w:cs="Arial" w:eastAsia="Arial" w:hAnsi="Arial"/>
          <w:sz w:val="11"/>
          <w:szCs w:val="11"/>
          <w:color w:val="auto"/>
          <w:vertAlign w:val="superscript"/>
        </w:rPr>
      </w:pPr>
      <w:r>
        <w:rPr>
          <w:rFonts w:ascii="Arial" w:cs="Arial" w:eastAsia="Arial" w:hAnsi="Arial"/>
          <w:sz w:val="8"/>
          <w:szCs w:val="8"/>
          <w:color w:val="auto"/>
        </w:rPr>
        <w:t>Represents the amount by which the stock price exceeded the exercise price of the options on the date of exercise.</w:t>
      </w:r>
    </w:p>
    <w:p>
      <w:pPr>
        <w:spacing w:after="0" w:line="76"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At December 31, 2021, there was $100 million of total unrecognized compensation cost related to non-vested stock option awards which is expected to be recognized over a weighted-average period of 2.46 years. The total fair value of options vested for the years ended December 31, 2021, 2020 and 2019 was $52 million, $55 million and $61 million, respectively.</w:t>
      </w:r>
    </w:p>
    <w:p>
      <w:pPr>
        <w:spacing w:after="0" w:line="26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87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89" w:name="page90"/>
    <w:bookmarkEnd w:id="89"/>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RESTRICTED STOCK UNITS</w:t>
      </w:r>
    </w:p>
    <w:p>
      <w:pPr>
        <w:spacing w:after="0" w:line="95" w:lineRule="exact"/>
        <w:rPr>
          <w:sz w:val="20"/>
          <w:szCs w:val="20"/>
          <w:color w:val="auto"/>
        </w:rPr>
      </w:pPr>
    </w:p>
    <w:p>
      <w:pPr>
        <w:ind w:left="8"/>
        <w:spacing w:after="0" w:line="245" w:lineRule="auto"/>
        <w:rPr>
          <w:sz w:val="20"/>
          <w:szCs w:val="20"/>
          <w:color w:val="auto"/>
        </w:rPr>
      </w:pPr>
      <w:r>
        <w:rPr>
          <w:rFonts w:ascii="Arial" w:cs="Arial" w:eastAsia="Arial" w:hAnsi="Arial"/>
          <w:sz w:val="11"/>
          <w:szCs w:val="11"/>
          <w:color w:val="auto"/>
        </w:rPr>
        <w:t>Restricted stock unit (RSU)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Honeywell common stock upon vesting.</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about RSU activity for the three years ended December 31, 2021:</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4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right="272"/>
              <w:spacing w:after="0"/>
              <w:rPr>
                <w:sz w:val="20"/>
                <w:szCs w:val="20"/>
                <w:color w:val="auto"/>
              </w:rPr>
            </w:pPr>
            <w:r>
              <w:rPr>
                <w:rFonts w:ascii="Arial" w:cs="Arial" w:eastAsia="Arial" w:hAnsi="Arial"/>
                <w:sz w:val="10"/>
                <w:szCs w:val="10"/>
                <w:b w:val="1"/>
                <w:bCs w:val="1"/>
                <w:color w:val="auto"/>
                <w:w w:val="93"/>
              </w:rPr>
              <w:t>Weighted</w:t>
            </w:r>
          </w:p>
        </w:tc>
      </w:tr>
      <w:tr>
        <w:trPr>
          <w:trHeight w:val="108"/>
        </w:trPr>
        <w:tc>
          <w:tcPr>
            <w:tcW w:w="54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right="272"/>
              <w:spacing w:after="0" w:line="108" w:lineRule="exact"/>
              <w:rPr>
                <w:sz w:val="20"/>
                <w:szCs w:val="20"/>
                <w:color w:val="auto"/>
              </w:rPr>
            </w:pPr>
            <w:r>
              <w:rPr>
                <w:rFonts w:ascii="Arial" w:cs="Arial" w:eastAsia="Arial" w:hAnsi="Arial"/>
                <w:sz w:val="10"/>
                <w:szCs w:val="10"/>
                <w:b w:val="1"/>
                <w:bCs w:val="1"/>
                <w:color w:val="auto"/>
                <w:w w:val="96"/>
              </w:rPr>
              <w:t>Average</w:t>
            </w:r>
          </w:p>
        </w:tc>
      </w:tr>
      <w:tr>
        <w:trPr>
          <w:trHeight w:val="108"/>
        </w:trPr>
        <w:tc>
          <w:tcPr>
            <w:tcW w:w="5440" w:type="dxa"/>
            <w:vAlign w:val="bottom"/>
          </w:tcPr>
          <w:p>
            <w:pPr>
              <w:spacing w:after="0"/>
              <w:rPr>
                <w:sz w:val="9"/>
                <w:szCs w:val="9"/>
                <w:color w:val="auto"/>
              </w:rPr>
            </w:pPr>
          </w:p>
        </w:tc>
        <w:tc>
          <w:tcPr>
            <w:tcW w:w="4840" w:type="dxa"/>
            <w:vAlign w:val="bottom"/>
          </w:tcPr>
          <w:p>
            <w:pPr>
              <w:jc w:val="center"/>
              <w:ind w:left="3432"/>
              <w:spacing w:after="0" w:line="108" w:lineRule="exact"/>
              <w:rPr>
                <w:sz w:val="20"/>
                <w:szCs w:val="20"/>
                <w:color w:val="auto"/>
              </w:rPr>
            </w:pPr>
            <w:r>
              <w:rPr>
                <w:rFonts w:ascii="Arial" w:cs="Arial" w:eastAsia="Arial" w:hAnsi="Arial"/>
                <w:sz w:val="10"/>
                <w:szCs w:val="10"/>
                <w:b w:val="1"/>
                <w:bCs w:val="1"/>
                <w:color w:val="auto"/>
                <w:w w:val="95"/>
              </w:rPr>
              <w:t>Number of</w:t>
            </w:r>
          </w:p>
        </w:tc>
        <w:tc>
          <w:tcPr>
            <w:tcW w:w="200" w:type="dxa"/>
            <w:vAlign w:val="bottom"/>
          </w:tcPr>
          <w:p>
            <w:pPr>
              <w:spacing w:after="0"/>
              <w:rPr>
                <w:sz w:val="9"/>
                <w:szCs w:val="9"/>
                <w:color w:val="auto"/>
              </w:rPr>
            </w:pPr>
          </w:p>
        </w:tc>
        <w:tc>
          <w:tcPr>
            <w:tcW w:w="820" w:type="dxa"/>
            <w:vAlign w:val="bottom"/>
          </w:tcPr>
          <w:p>
            <w:pPr>
              <w:jc w:val="center"/>
              <w:ind w:right="272"/>
              <w:spacing w:after="0" w:line="108" w:lineRule="exact"/>
              <w:rPr>
                <w:sz w:val="20"/>
                <w:szCs w:val="20"/>
                <w:color w:val="auto"/>
              </w:rPr>
            </w:pPr>
            <w:r>
              <w:rPr>
                <w:rFonts w:ascii="Arial" w:cs="Arial" w:eastAsia="Arial" w:hAnsi="Arial"/>
                <w:sz w:val="10"/>
                <w:szCs w:val="10"/>
                <w:b w:val="1"/>
                <w:bCs w:val="1"/>
                <w:color w:val="auto"/>
                <w:w w:val="97"/>
              </w:rPr>
              <w:t>Grant Date</w:t>
            </w:r>
          </w:p>
        </w:tc>
      </w:tr>
      <w:tr>
        <w:trPr>
          <w:trHeight w:val="108"/>
        </w:trPr>
        <w:tc>
          <w:tcPr>
            <w:tcW w:w="5440" w:type="dxa"/>
            <w:vAlign w:val="bottom"/>
          </w:tcPr>
          <w:p>
            <w:pPr>
              <w:spacing w:after="0"/>
              <w:rPr>
                <w:sz w:val="9"/>
                <w:szCs w:val="9"/>
                <w:color w:val="auto"/>
              </w:rPr>
            </w:pPr>
          </w:p>
        </w:tc>
        <w:tc>
          <w:tcPr>
            <w:tcW w:w="4840" w:type="dxa"/>
            <w:vAlign w:val="bottom"/>
          </w:tcPr>
          <w:p>
            <w:pPr>
              <w:jc w:val="center"/>
              <w:ind w:left="3452"/>
              <w:spacing w:after="0" w:line="108" w:lineRule="exact"/>
              <w:rPr>
                <w:sz w:val="20"/>
                <w:szCs w:val="20"/>
                <w:color w:val="auto"/>
              </w:rPr>
            </w:pPr>
            <w:r>
              <w:rPr>
                <w:rFonts w:ascii="Arial" w:cs="Arial" w:eastAsia="Arial" w:hAnsi="Arial"/>
                <w:sz w:val="10"/>
                <w:szCs w:val="10"/>
                <w:b w:val="1"/>
                <w:bCs w:val="1"/>
                <w:color w:val="auto"/>
                <w:w w:val="93"/>
              </w:rPr>
              <w:t>Restricted</w:t>
            </w:r>
          </w:p>
        </w:tc>
        <w:tc>
          <w:tcPr>
            <w:tcW w:w="200" w:type="dxa"/>
            <w:vAlign w:val="bottom"/>
          </w:tcPr>
          <w:p>
            <w:pPr>
              <w:spacing w:after="0"/>
              <w:rPr>
                <w:sz w:val="9"/>
                <w:szCs w:val="9"/>
                <w:color w:val="auto"/>
              </w:rPr>
            </w:pPr>
          </w:p>
        </w:tc>
        <w:tc>
          <w:tcPr>
            <w:tcW w:w="820" w:type="dxa"/>
            <w:vAlign w:val="bottom"/>
          </w:tcPr>
          <w:p>
            <w:pPr>
              <w:jc w:val="center"/>
              <w:ind w:right="272"/>
              <w:spacing w:after="0" w:line="108" w:lineRule="exact"/>
              <w:rPr>
                <w:sz w:val="20"/>
                <w:szCs w:val="20"/>
                <w:color w:val="auto"/>
              </w:rPr>
            </w:pPr>
            <w:r>
              <w:rPr>
                <w:rFonts w:ascii="Arial" w:cs="Arial" w:eastAsia="Arial" w:hAnsi="Arial"/>
                <w:sz w:val="10"/>
                <w:szCs w:val="10"/>
                <w:b w:val="1"/>
                <w:bCs w:val="1"/>
                <w:color w:val="auto"/>
                <w:w w:val="96"/>
              </w:rPr>
              <w:t>Fair Value</w:t>
            </w:r>
          </w:p>
        </w:tc>
      </w:tr>
      <w:tr>
        <w:trPr>
          <w:trHeight w:val="131"/>
        </w:trPr>
        <w:tc>
          <w:tcPr>
            <w:tcW w:w="5440" w:type="dxa"/>
            <w:vAlign w:val="bottom"/>
            <w:tcBorders>
              <w:bottom w:val="single" w:sz="8" w:color="D7282F"/>
            </w:tcBorders>
          </w:tcPr>
          <w:p>
            <w:pPr>
              <w:spacing w:after="0"/>
              <w:rPr>
                <w:sz w:val="11"/>
                <w:szCs w:val="11"/>
                <w:color w:val="auto"/>
              </w:rPr>
            </w:pPr>
          </w:p>
        </w:tc>
        <w:tc>
          <w:tcPr>
            <w:tcW w:w="4840" w:type="dxa"/>
            <w:vAlign w:val="bottom"/>
            <w:tcBorders>
              <w:bottom w:val="single" w:sz="8" w:color="D7282F"/>
            </w:tcBorders>
          </w:tcPr>
          <w:p>
            <w:pPr>
              <w:jc w:val="center"/>
              <w:ind w:left="3452"/>
              <w:spacing w:after="0"/>
              <w:rPr>
                <w:sz w:val="20"/>
                <w:szCs w:val="20"/>
                <w:color w:val="auto"/>
              </w:rPr>
            </w:pPr>
            <w:r>
              <w:rPr>
                <w:rFonts w:ascii="Arial" w:cs="Arial" w:eastAsia="Arial" w:hAnsi="Arial"/>
                <w:sz w:val="10"/>
                <w:szCs w:val="10"/>
                <w:b w:val="1"/>
                <w:bCs w:val="1"/>
                <w:color w:val="auto"/>
                <w:w w:val="98"/>
              </w:rPr>
              <w:t>Stock Units</w:t>
            </w:r>
          </w:p>
        </w:tc>
        <w:tc>
          <w:tcPr>
            <w:tcW w:w="20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Per Share</w:t>
            </w:r>
          </w:p>
        </w:tc>
      </w:tr>
      <w:tr>
        <w:trPr>
          <w:trHeight w:val="119"/>
        </w:trPr>
        <w:tc>
          <w:tcPr>
            <w:tcW w:w="54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2018</w:t>
            </w:r>
          </w:p>
        </w:tc>
        <w:tc>
          <w:tcPr>
            <w:tcW w:w="48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3,657,873</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125.35</w:t>
            </w:r>
          </w:p>
        </w:tc>
      </w:tr>
      <w:tr>
        <w:trPr>
          <w:trHeight w:val="115"/>
        </w:trPr>
        <w:tc>
          <w:tcPr>
            <w:tcW w:w="54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Granted</w:t>
            </w:r>
          </w:p>
        </w:tc>
        <w:tc>
          <w:tcPr>
            <w:tcW w:w="48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1,200,202</w:t>
            </w:r>
          </w:p>
        </w:tc>
        <w:tc>
          <w:tcPr>
            <w:tcW w:w="20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162.43</w:t>
            </w:r>
          </w:p>
        </w:tc>
      </w:tr>
      <w:tr>
        <w:trPr>
          <w:trHeight w:val="115"/>
        </w:trPr>
        <w:tc>
          <w:tcPr>
            <w:tcW w:w="54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Vested</w:t>
            </w:r>
          </w:p>
        </w:tc>
        <w:tc>
          <w:tcPr>
            <w:tcW w:w="48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(1,160,333)</w:t>
            </w:r>
          </w:p>
        </w:tc>
        <w:tc>
          <w:tcPr>
            <w:tcW w:w="20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104.32</w:t>
            </w:r>
          </w:p>
        </w:tc>
      </w:tr>
      <w:tr>
        <w:trPr>
          <w:trHeight w:val="115"/>
        </w:trPr>
        <w:tc>
          <w:tcPr>
            <w:tcW w:w="54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Forfeited</w:t>
            </w:r>
          </w:p>
        </w:tc>
        <w:tc>
          <w:tcPr>
            <w:tcW w:w="48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(457,677)</w:t>
            </w:r>
          </w:p>
        </w:tc>
        <w:tc>
          <w:tcPr>
            <w:tcW w:w="20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134.50</w:t>
            </w:r>
          </w:p>
        </w:tc>
      </w:tr>
      <w:tr>
        <w:trPr>
          <w:trHeight w:val="115"/>
        </w:trPr>
        <w:tc>
          <w:tcPr>
            <w:tcW w:w="54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Non-vested at December 31, 2019</w:t>
            </w:r>
          </w:p>
        </w:tc>
        <w:tc>
          <w:tcPr>
            <w:tcW w:w="48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3,240,065</w:t>
            </w:r>
          </w:p>
        </w:tc>
        <w:tc>
          <w:tcPr>
            <w:tcW w:w="20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143.07</w:t>
            </w:r>
          </w:p>
        </w:tc>
      </w:tr>
      <w:tr>
        <w:trPr>
          <w:trHeight w:val="115"/>
        </w:trPr>
        <w:tc>
          <w:tcPr>
            <w:tcW w:w="54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Granted</w:t>
            </w:r>
          </w:p>
        </w:tc>
        <w:tc>
          <w:tcPr>
            <w:tcW w:w="48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1,551,675</w:t>
            </w:r>
          </w:p>
        </w:tc>
        <w:tc>
          <w:tcPr>
            <w:tcW w:w="20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158.52</w:t>
            </w:r>
          </w:p>
        </w:tc>
      </w:tr>
      <w:tr>
        <w:trPr>
          <w:trHeight w:val="115"/>
        </w:trPr>
        <w:tc>
          <w:tcPr>
            <w:tcW w:w="54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Vested</w:t>
            </w:r>
          </w:p>
        </w:tc>
        <w:tc>
          <w:tcPr>
            <w:tcW w:w="48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(1,001,101)</w:t>
            </w:r>
          </w:p>
        </w:tc>
        <w:tc>
          <w:tcPr>
            <w:tcW w:w="20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117.84</w:t>
            </w:r>
          </w:p>
        </w:tc>
      </w:tr>
      <w:tr>
        <w:trPr>
          <w:trHeight w:val="115"/>
        </w:trPr>
        <w:tc>
          <w:tcPr>
            <w:tcW w:w="54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Forfeited</w:t>
            </w:r>
          </w:p>
        </w:tc>
        <w:tc>
          <w:tcPr>
            <w:tcW w:w="48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(394,116)</w:t>
            </w:r>
          </w:p>
        </w:tc>
        <w:tc>
          <w:tcPr>
            <w:tcW w:w="20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145.42</w:t>
            </w:r>
          </w:p>
        </w:tc>
      </w:tr>
      <w:tr>
        <w:trPr>
          <w:trHeight w:val="115"/>
        </w:trPr>
        <w:tc>
          <w:tcPr>
            <w:tcW w:w="54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Non-vested at December 31, 2020</w:t>
            </w:r>
          </w:p>
        </w:tc>
        <w:tc>
          <w:tcPr>
            <w:tcW w:w="48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3,396,523</w:t>
            </w:r>
          </w:p>
        </w:tc>
        <w:tc>
          <w:tcPr>
            <w:tcW w:w="20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148.23</w:t>
            </w:r>
          </w:p>
        </w:tc>
      </w:tr>
      <w:tr>
        <w:trPr>
          <w:trHeight w:val="115"/>
        </w:trPr>
        <w:tc>
          <w:tcPr>
            <w:tcW w:w="54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Granted</w:t>
            </w:r>
          </w:p>
        </w:tc>
        <w:tc>
          <w:tcPr>
            <w:tcW w:w="48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992,854</w:t>
            </w:r>
          </w:p>
        </w:tc>
        <w:tc>
          <w:tcPr>
            <w:tcW w:w="20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214.61</w:t>
            </w:r>
          </w:p>
        </w:tc>
      </w:tr>
      <w:tr>
        <w:trPr>
          <w:trHeight w:val="115"/>
        </w:trPr>
        <w:tc>
          <w:tcPr>
            <w:tcW w:w="54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Vested</w:t>
            </w:r>
          </w:p>
        </w:tc>
        <w:tc>
          <w:tcPr>
            <w:tcW w:w="48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(1,123,547)</w:t>
            </w:r>
          </w:p>
        </w:tc>
        <w:tc>
          <w:tcPr>
            <w:tcW w:w="20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144.34</w:t>
            </w:r>
          </w:p>
        </w:tc>
      </w:tr>
      <w:tr>
        <w:trPr>
          <w:trHeight w:val="115"/>
        </w:trPr>
        <w:tc>
          <w:tcPr>
            <w:tcW w:w="54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Forfeited</w:t>
            </w:r>
          </w:p>
        </w:tc>
        <w:tc>
          <w:tcPr>
            <w:tcW w:w="48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(308,293)</w:t>
            </w:r>
          </w:p>
        </w:tc>
        <w:tc>
          <w:tcPr>
            <w:tcW w:w="20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156.74</w:t>
            </w:r>
          </w:p>
        </w:tc>
      </w:tr>
      <w:tr>
        <w:trPr>
          <w:trHeight w:val="115"/>
        </w:trPr>
        <w:tc>
          <w:tcPr>
            <w:tcW w:w="54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Non-vested at December 31, 2021</w:t>
            </w:r>
          </w:p>
        </w:tc>
        <w:tc>
          <w:tcPr>
            <w:tcW w:w="48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2,957,536</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171.73</w:t>
            </w:r>
          </w:p>
        </w:tc>
      </w:tr>
    </w:tbl>
    <w:p>
      <w:pPr>
        <w:spacing w:after="0" w:line="127"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As of December 31, 2021, there was approximately $273 million of total unrecognized compensation cost related to non-vested RSUs granted under the Company's stock plans which is expected to be recognized over a weighted-average period of 2.23 years.</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impact to the Consolidated Statement of Operations from RSUs:</w:t>
      </w:r>
    </w:p>
    <w:p>
      <w:pPr>
        <w:spacing w:after="0" w:line="6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c>
          <w:tcPr>
            <w:tcW w:w="144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60"/>
        </w:trPr>
        <w:tc>
          <w:tcPr>
            <w:tcW w:w="838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38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Compensation expense</w:t>
            </w:r>
          </w:p>
        </w:tc>
        <w:tc>
          <w:tcPr>
            <w:tcW w:w="6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162</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118</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106</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Future income tax benefit recognized</w:t>
            </w:r>
          </w:p>
        </w:tc>
        <w:tc>
          <w:tcPr>
            <w:tcW w:w="6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23</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24</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8" w:hanging="468"/>
        <w:spacing w:after="0"/>
        <w:tabs>
          <w:tab w:leader="none" w:pos="468" w:val="left"/>
        </w:tabs>
        <w:numPr>
          <w:ilvl w:val="0"/>
          <w:numId w:val="9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90" w:name="page91"/>
    <w:bookmarkEnd w:id="90"/>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16. EARNINGS PER SHARE</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The details of the earnings per share calculations for the years ended December 31, 2021, 2020 and 2019 are as follows (shares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8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51"/>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Basic</w:t>
            </w:r>
          </w:p>
        </w:tc>
        <w:tc>
          <w:tcPr>
            <w:tcW w:w="32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income attributable to Honeywell</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5,542</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4,779</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6,143</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Weighted average shares outstanding</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692.3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704.1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721.0</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Earnings per share of common stock</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8.01</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6.79</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8.52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8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60"/>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Assuming Dilution</w:t>
            </w:r>
          </w:p>
        </w:tc>
        <w:tc>
          <w:tcPr>
            <w:tcW w:w="32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income attributable to Honeywell</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5,542</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4,779</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6,143</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Average Shares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Weighted average shares outstanding</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692.3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704.1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721.0</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Dilutive securities issuable—stock plans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8.1</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7.1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9.3</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weighted average diluted shares outstanding</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700.4</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711.2</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730.3</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Earnings per share of common stock—assuming dilution</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7.91</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6.72</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8.41</w:t>
            </w:r>
          </w:p>
        </w:tc>
      </w:tr>
    </w:tbl>
    <w:p>
      <w:pPr>
        <w:spacing w:after="0" w:line="136"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The diluted earnings per share calculations exclude the effect of stock options when the options’ assumed proceeds exceed the average market price of the common shares during the period. In 2021, 2020 and 2019 the weighted number of stock options excluded from the computations were 1.7 million, 5.5 million and 2.5 million, respectively. These stock options were outstanding at the end of each of the respective periods.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D7282F"/>
        </w:rPr>
        <w:t>NOTE 17. ACCUMULATED OTHER COMPREHENSIVE INCOME (LOSS)</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The changes in Accumulated other comprehensive income (loss) are provided in the tables below. Comprehensive income (loss) attributable to noncontrolling interest consists predominantly of net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460" w:type="dxa"/>
            <w:vAlign w:val="bottom"/>
            <w:tcBorders>
              <w:bottom w:val="single" w:sz="8" w:color="DC202E"/>
            </w:tcBorders>
          </w:tcPr>
          <w:p>
            <w:pPr>
              <w:spacing w:after="0"/>
              <w:rPr>
                <w:sz w:val="10"/>
                <w:szCs w:val="10"/>
                <w:color w:val="auto"/>
              </w:rPr>
            </w:pPr>
          </w:p>
        </w:tc>
        <w:tc>
          <w:tcPr>
            <w:tcW w:w="3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Pre-tax</w:t>
            </w:r>
          </w:p>
        </w:tc>
        <w:tc>
          <w:tcPr>
            <w:tcW w:w="38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Tax</w:t>
            </w:r>
          </w:p>
        </w:tc>
        <w:tc>
          <w:tcPr>
            <w:tcW w:w="4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After-Tax</w:t>
            </w:r>
          </w:p>
        </w:tc>
        <w:tc>
          <w:tcPr>
            <w:tcW w:w="260" w:type="dxa"/>
            <w:vAlign w:val="bottom"/>
            <w:tcBorders>
              <w:bottom w:val="single" w:sz="8" w:color="DC202E"/>
            </w:tcBorders>
          </w:tcPr>
          <w:p>
            <w:pPr>
              <w:spacing w:after="0"/>
              <w:rPr>
                <w:sz w:val="10"/>
                <w:szCs w:val="10"/>
                <w:color w:val="auto"/>
              </w:rPr>
            </w:pPr>
          </w:p>
        </w:tc>
      </w:tr>
      <w:tr>
        <w:trPr>
          <w:trHeight w:val="115"/>
        </w:trPr>
        <w:tc>
          <w:tcPr>
            <w:tcW w:w="54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Year Ended December 31, 2021</w:t>
            </w:r>
          </w:p>
        </w:tc>
        <w:tc>
          <w:tcPr>
            <w:tcW w:w="360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exchange translation adjustment</w:t>
            </w:r>
          </w:p>
        </w:tc>
        <w:tc>
          <w:tcPr>
            <w:tcW w:w="360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302</w:t>
            </w:r>
          </w:p>
        </w:tc>
        <w:tc>
          <w:tcPr>
            <w:tcW w:w="5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302</w:t>
            </w: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Pensions and other postretirement benefit adjustments</w:t>
            </w:r>
          </w:p>
        </w:tc>
        <w:tc>
          <w:tcPr>
            <w:tcW w:w="360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245</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(59)</w:t>
            </w:r>
          </w:p>
        </w:tc>
        <w:tc>
          <w:tcPr>
            <w:tcW w:w="6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186</w:t>
            </w: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60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w:t>
            </w:r>
          </w:p>
        </w:tc>
      </w:tr>
      <w:tr>
        <w:trPr>
          <w:trHeight w:val="115"/>
        </w:trPr>
        <w:tc>
          <w:tcPr>
            <w:tcW w:w="54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Changes in fair value of designated cash flow hedges</w:t>
            </w:r>
          </w:p>
        </w:tc>
        <w:tc>
          <w:tcPr>
            <w:tcW w:w="360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w:t>
            </w:r>
          </w:p>
        </w:tc>
        <w:tc>
          <w:tcPr>
            <w:tcW w:w="62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w:t>
            </w:r>
          </w:p>
        </w:tc>
      </w:tr>
      <w:tr>
        <w:trPr>
          <w:trHeight w:val="115"/>
        </w:trPr>
        <w:tc>
          <w:tcPr>
            <w:tcW w:w="5460" w:type="dxa"/>
            <w:vAlign w:val="bottom"/>
            <w:tcBorders>
              <w:bottom w:val="single" w:sz="8" w:color="DC202E"/>
            </w:tcBorders>
          </w:tcPr>
          <w:p>
            <w:pPr>
              <w:spacing w:after="0"/>
              <w:rPr>
                <w:sz w:val="10"/>
                <w:szCs w:val="10"/>
                <w:color w:val="auto"/>
              </w:rPr>
            </w:pPr>
          </w:p>
        </w:tc>
        <w:tc>
          <w:tcPr>
            <w:tcW w:w="360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540</w:t>
            </w:r>
          </w:p>
        </w:tc>
        <w:tc>
          <w:tcPr>
            <w:tcW w:w="5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(58)</w:t>
            </w:r>
          </w:p>
        </w:tc>
        <w:tc>
          <w:tcPr>
            <w:tcW w:w="62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482</w:t>
            </w:r>
          </w:p>
        </w:tc>
      </w:tr>
      <w:tr>
        <w:trPr>
          <w:trHeight w:val="115"/>
        </w:trPr>
        <w:tc>
          <w:tcPr>
            <w:tcW w:w="54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Year Ended December 31, 2020</w:t>
            </w:r>
          </w:p>
        </w:tc>
        <w:tc>
          <w:tcPr>
            <w:tcW w:w="360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exchange translation adjustment</w:t>
            </w:r>
          </w:p>
        </w:tc>
        <w:tc>
          <w:tcPr>
            <w:tcW w:w="360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(214)</w:t>
            </w:r>
          </w:p>
        </w:tc>
        <w:tc>
          <w:tcPr>
            <w:tcW w:w="5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w w:val="94"/>
              </w:rPr>
              <w:t>(214)</w:t>
            </w: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Pensions and other postretirement benefit adjustments</w:t>
            </w:r>
          </w:p>
        </w:tc>
        <w:tc>
          <w:tcPr>
            <w:tcW w:w="360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76</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w:t>
            </w:r>
          </w:p>
        </w:tc>
        <w:tc>
          <w:tcPr>
            <w:tcW w:w="6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74</w:t>
            </w: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60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w:t>
            </w:r>
          </w:p>
        </w:tc>
      </w:tr>
      <w:tr>
        <w:trPr>
          <w:trHeight w:val="115"/>
        </w:trPr>
        <w:tc>
          <w:tcPr>
            <w:tcW w:w="54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Changes in fair value of designated cash flow hedges</w:t>
            </w:r>
          </w:p>
        </w:tc>
        <w:tc>
          <w:tcPr>
            <w:tcW w:w="360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(61)</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17</w:t>
            </w:r>
          </w:p>
        </w:tc>
        <w:tc>
          <w:tcPr>
            <w:tcW w:w="62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(44)</w:t>
            </w:r>
          </w:p>
        </w:tc>
      </w:tr>
      <w:tr>
        <w:trPr>
          <w:trHeight w:val="115"/>
        </w:trPr>
        <w:tc>
          <w:tcPr>
            <w:tcW w:w="5460" w:type="dxa"/>
            <w:vAlign w:val="bottom"/>
            <w:tcBorders>
              <w:bottom w:val="single" w:sz="8" w:color="DC202E"/>
            </w:tcBorders>
          </w:tcPr>
          <w:p>
            <w:pPr>
              <w:spacing w:after="0"/>
              <w:rPr>
                <w:sz w:val="10"/>
                <w:szCs w:val="10"/>
                <w:color w:val="auto"/>
              </w:rPr>
            </w:pPr>
          </w:p>
        </w:tc>
        <w:tc>
          <w:tcPr>
            <w:tcW w:w="360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(195)</w:t>
            </w:r>
          </w:p>
        </w:tc>
        <w:tc>
          <w:tcPr>
            <w:tcW w:w="5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15</w:t>
            </w:r>
          </w:p>
        </w:tc>
        <w:tc>
          <w:tcPr>
            <w:tcW w:w="62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4"/>
              </w:rPr>
              <w:t>(180)</w:t>
            </w:r>
          </w:p>
        </w:tc>
      </w:tr>
      <w:tr>
        <w:trPr>
          <w:trHeight w:val="115"/>
        </w:trPr>
        <w:tc>
          <w:tcPr>
            <w:tcW w:w="54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Year Ended December 31, 2019</w:t>
            </w:r>
          </w:p>
        </w:tc>
        <w:tc>
          <w:tcPr>
            <w:tcW w:w="360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exchange translation adjustment</w:t>
            </w:r>
          </w:p>
        </w:tc>
        <w:tc>
          <w:tcPr>
            <w:tcW w:w="360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143</w:t>
            </w:r>
          </w:p>
        </w:tc>
        <w:tc>
          <w:tcPr>
            <w:tcW w:w="5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143</w:t>
            </w:r>
          </w:p>
        </w:tc>
      </w:tr>
      <w:tr>
        <w:trPr>
          <w:trHeight w:val="115"/>
        </w:trPr>
        <w:tc>
          <w:tcPr>
            <w:tcW w:w="54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Pensions and other postretirement benefit adjustments</w:t>
            </w:r>
          </w:p>
        </w:tc>
        <w:tc>
          <w:tcPr>
            <w:tcW w:w="360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115</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(29)</w:t>
            </w:r>
          </w:p>
        </w:tc>
        <w:tc>
          <w:tcPr>
            <w:tcW w:w="62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86</w:t>
            </w:r>
          </w:p>
        </w:tc>
      </w:tr>
      <w:tr>
        <w:trPr>
          <w:trHeight w:val="115"/>
        </w:trPr>
        <w:tc>
          <w:tcPr>
            <w:tcW w:w="546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Changes in fair value of designated cash flow hedges</w:t>
            </w:r>
          </w:p>
        </w:tc>
        <w:tc>
          <w:tcPr>
            <w:tcW w:w="360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20</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(9)</w:t>
            </w:r>
          </w:p>
        </w:tc>
        <w:tc>
          <w:tcPr>
            <w:tcW w:w="62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11</w:t>
            </w:r>
          </w:p>
        </w:tc>
      </w:tr>
      <w:tr>
        <w:trPr>
          <w:trHeight w:val="115"/>
        </w:trPr>
        <w:tc>
          <w:tcPr>
            <w:tcW w:w="5460" w:type="dxa"/>
            <w:vAlign w:val="bottom"/>
            <w:tcBorders>
              <w:bottom w:val="single" w:sz="8" w:color="DC202E"/>
            </w:tcBorders>
          </w:tcPr>
          <w:p>
            <w:pPr>
              <w:spacing w:after="0"/>
              <w:rPr>
                <w:sz w:val="10"/>
                <w:szCs w:val="10"/>
                <w:color w:val="auto"/>
              </w:rPr>
            </w:pPr>
          </w:p>
        </w:tc>
        <w:tc>
          <w:tcPr>
            <w:tcW w:w="360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278</w:t>
            </w:r>
          </w:p>
        </w:tc>
        <w:tc>
          <w:tcPr>
            <w:tcW w:w="5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(38)</w:t>
            </w:r>
          </w:p>
        </w:tc>
        <w:tc>
          <w:tcPr>
            <w:tcW w:w="62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240</w:t>
            </w:r>
          </w:p>
        </w:tc>
      </w:tr>
      <w:tr>
        <w:trPr>
          <w:trHeight w:val="484"/>
        </w:trPr>
        <w:tc>
          <w:tcPr>
            <w:tcW w:w="5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3"/>
          </w:tcPr>
          <w:p>
            <w:pPr>
              <w:jc w:val="right"/>
              <w:ind w:right="92"/>
              <w:spacing w:after="0"/>
              <w:rPr>
                <w:sz w:val="20"/>
                <w:szCs w:val="20"/>
                <w:color w:val="auto"/>
              </w:rPr>
            </w:pPr>
            <w:r>
              <w:rPr>
                <w:rFonts w:ascii="Arial" w:cs="Arial" w:eastAsia="Arial" w:hAnsi="Arial"/>
                <w:sz w:val="10"/>
                <w:szCs w:val="10"/>
                <w:color w:val="auto"/>
              </w:rPr>
              <w:t>Honeywell International Inc.</w:t>
            </w:r>
          </w:p>
        </w:tc>
        <w:tc>
          <w:tcPr>
            <w:tcW w:w="260" w:type="dxa"/>
            <w:vAlign w:val="bottom"/>
          </w:tcPr>
          <w:p>
            <w:pPr>
              <w:jc w:val="right"/>
              <w:spacing w:after="0"/>
              <w:rPr>
                <w:sz w:val="20"/>
                <w:szCs w:val="20"/>
                <w:color w:val="auto"/>
              </w:rPr>
            </w:pPr>
            <w:r>
              <w:rPr>
                <w:rFonts w:ascii="Arial" w:cs="Arial" w:eastAsia="Arial" w:hAnsi="Arial"/>
                <w:sz w:val="12"/>
                <w:szCs w:val="12"/>
                <w:b w:val="1"/>
                <w:bCs w:val="1"/>
                <w:color w:val="D7282F"/>
              </w:rPr>
              <w:t>89</w:t>
            </w:r>
          </w:p>
        </w:tc>
      </w:tr>
      <w:tr>
        <w:trPr>
          <w:trHeight w:val="144"/>
        </w:trPr>
        <w:tc>
          <w:tcPr>
            <w:tcW w:w="546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1" w:name="page92"/>
    <w:bookmarkEnd w:id="91"/>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ACCUMULATED OTHER COMPREHENSIVE INCOME (LOSS)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40" w:type="dxa"/>
            <w:vAlign w:val="bottom"/>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C202E"/>
            </w:tcBorders>
          </w:tcPr>
          <w:p>
            <w:pPr>
              <w:spacing w:after="0"/>
              <w:rPr>
                <w:sz w:val="10"/>
                <w:szCs w:val="10"/>
                <w:color w:val="auto"/>
              </w:rPr>
            </w:pPr>
          </w:p>
        </w:tc>
      </w:tr>
      <w:tr>
        <w:trPr>
          <w:trHeight w:val="151"/>
        </w:trPr>
        <w:tc>
          <w:tcPr>
            <w:tcW w:w="934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Cumulative foreign exchange translation adjustment</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(2,478)</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(2,780)</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Pensions and other postretirement benefit adjustments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(415)</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(601)</w:t>
            </w: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Fair value adjustments of available for sale investments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Fair value adjustments of designated cash flow hedges</w:t>
            </w:r>
          </w:p>
        </w:tc>
        <w:tc>
          <w:tcPr>
            <w:tcW w:w="6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934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(2,895)</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(3,377)</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ACCUMULATED OTHER COMPREHENSIVE INCOME (LOSS) BY COMPONENT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920" w:type="dxa"/>
            <w:vAlign w:val="bottom"/>
            <w:vMerge w:val="restart"/>
          </w:tcPr>
          <w:p>
            <w:pPr>
              <w:jc w:val="center"/>
              <w:ind w:left="1412"/>
              <w:spacing w:after="0"/>
              <w:rPr>
                <w:sz w:val="20"/>
                <w:szCs w:val="20"/>
                <w:color w:val="auto"/>
              </w:rPr>
            </w:pPr>
            <w:r>
              <w:rPr>
                <w:rFonts w:ascii="Arial" w:cs="Arial" w:eastAsia="Arial" w:hAnsi="Arial"/>
                <w:sz w:val="10"/>
                <w:szCs w:val="10"/>
                <w:b w:val="1"/>
                <w:bCs w:val="1"/>
                <w:color w:val="auto"/>
                <w:w w:val="92"/>
              </w:rPr>
              <w:t>Foreign</w:t>
            </w:r>
          </w:p>
        </w:tc>
        <w:tc>
          <w:tcPr>
            <w:tcW w:w="440" w:type="dxa"/>
            <w:vAlign w:val="bottom"/>
          </w:tcPr>
          <w:p>
            <w:pPr>
              <w:spacing w:after="0"/>
              <w:rPr>
                <w:sz w:val="10"/>
                <w:szCs w:val="10"/>
                <w:color w:val="auto"/>
              </w:rPr>
            </w:pPr>
          </w:p>
        </w:tc>
        <w:tc>
          <w:tcPr>
            <w:tcW w:w="920" w:type="dxa"/>
            <w:vAlign w:val="bottom"/>
            <w:vMerge w:val="restart"/>
          </w:tcPr>
          <w:p>
            <w:pPr>
              <w:jc w:val="center"/>
              <w:ind w:left="132"/>
              <w:spacing w:after="0"/>
              <w:rPr>
                <w:sz w:val="20"/>
                <w:szCs w:val="20"/>
                <w:color w:val="auto"/>
              </w:rPr>
            </w:pPr>
            <w:r>
              <w:rPr>
                <w:rFonts w:ascii="Arial" w:cs="Arial" w:eastAsia="Arial" w:hAnsi="Arial"/>
                <w:sz w:val="10"/>
                <w:szCs w:val="10"/>
                <w:b w:val="1"/>
                <w:bCs w:val="1"/>
                <w:color w:val="auto"/>
                <w:w w:val="97"/>
              </w:rPr>
              <w:t>Pension</w:t>
            </w:r>
          </w:p>
        </w:tc>
        <w:tc>
          <w:tcPr>
            <w:tcW w:w="380" w:type="dxa"/>
            <w:vAlign w:val="bottom"/>
          </w:tcPr>
          <w:p>
            <w:pPr>
              <w:spacing w:after="0"/>
              <w:rPr>
                <w:sz w:val="10"/>
                <w:szCs w:val="10"/>
                <w:color w:val="auto"/>
              </w:rPr>
            </w:pPr>
          </w:p>
        </w:tc>
        <w:tc>
          <w:tcPr>
            <w:tcW w:w="820" w:type="dxa"/>
            <w:vAlign w:val="bottom"/>
          </w:tcPr>
          <w:p>
            <w:pPr>
              <w:jc w:val="center"/>
              <w:ind w:left="52"/>
              <w:spacing w:after="0"/>
              <w:rPr>
                <w:sz w:val="20"/>
                <w:szCs w:val="20"/>
                <w:color w:val="auto"/>
              </w:rPr>
            </w:pPr>
            <w:r>
              <w:rPr>
                <w:rFonts w:ascii="Arial" w:cs="Arial" w:eastAsia="Arial" w:hAnsi="Arial"/>
                <w:sz w:val="10"/>
                <w:szCs w:val="10"/>
                <w:b w:val="1"/>
                <w:bCs w:val="1"/>
                <w:color w:val="auto"/>
                <w:w w:val="96"/>
              </w:rPr>
              <w:t>Changes in</w:t>
            </w:r>
          </w:p>
        </w:tc>
        <w:tc>
          <w:tcPr>
            <w:tcW w:w="320" w:type="dxa"/>
            <w:vAlign w:val="bottom"/>
          </w:tcPr>
          <w:p>
            <w:pPr>
              <w:spacing w:after="0"/>
              <w:rPr>
                <w:sz w:val="10"/>
                <w:szCs w:val="10"/>
                <w:color w:val="auto"/>
              </w:rPr>
            </w:pPr>
          </w:p>
        </w:tc>
        <w:tc>
          <w:tcPr>
            <w:tcW w:w="780" w:type="dxa"/>
            <w:vAlign w:val="bottom"/>
            <w:vMerge w:val="restart"/>
          </w:tcPr>
          <w:p>
            <w:pPr>
              <w:jc w:val="center"/>
              <w:ind w:left="72"/>
              <w:spacing w:after="0"/>
              <w:rPr>
                <w:sz w:val="20"/>
                <w:szCs w:val="20"/>
                <w:color w:val="auto"/>
              </w:rPr>
            </w:pPr>
            <w:r>
              <w:rPr>
                <w:rFonts w:ascii="Arial" w:cs="Arial" w:eastAsia="Arial" w:hAnsi="Arial"/>
                <w:sz w:val="10"/>
                <w:szCs w:val="10"/>
                <w:b w:val="1"/>
                <w:bCs w:val="1"/>
                <w:color w:val="auto"/>
                <w:w w:val="92"/>
              </w:rPr>
              <w:t>Changes in</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jc w:val="center"/>
              <w:ind w:left="92"/>
              <w:spacing w:after="0" w:line="90" w:lineRule="exact"/>
              <w:rPr>
                <w:sz w:val="20"/>
                <w:szCs w:val="20"/>
                <w:color w:val="auto"/>
              </w:rPr>
            </w:pPr>
            <w:r>
              <w:rPr>
                <w:rFonts w:ascii="Arial" w:cs="Arial" w:eastAsia="Arial" w:hAnsi="Arial"/>
                <w:sz w:val="10"/>
                <w:szCs w:val="10"/>
                <w:b w:val="1"/>
                <w:bCs w:val="1"/>
                <w:color w:val="auto"/>
                <w:w w:val="91"/>
              </w:rPr>
              <w:t>Fair Value</w:t>
            </w: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920" w:type="dxa"/>
            <w:vAlign w:val="bottom"/>
          </w:tcPr>
          <w:p>
            <w:pPr>
              <w:jc w:val="center"/>
              <w:ind w:left="1412"/>
              <w:spacing w:after="0" w:line="90" w:lineRule="exact"/>
              <w:rPr>
                <w:sz w:val="20"/>
                <w:szCs w:val="20"/>
                <w:color w:val="auto"/>
              </w:rPr>
            </w:pPr>
            <w:r>
              <w:rPr>
                <w:rFonts w:ascii="Arial" w:cs="Arial" w:eastAsia="Arial" w:hAnsi="Arial"/>
                <w:sz w:val="10"/>
                <w:szCs w:val="10"/>
                <w:b w:val="1"/>
                <w:bCs w:val="1"/>
                <w:color w:val="auto"/>
                <w:w w:val="97"/>
              </w:rPr>
              <w:t>Exchange</w:t>
            </w:r>
          </w:p>
        </w:tc>
        <w:tc>
          <w:tcPr>
            <w:tcW w:w="440" w:type="dxa"/>
            <w:vAlign w:val="bottom"/>
          </w:tcPr>
          <w:p>
            <w:pPr>
              <w:spacing w:after="0"/>
              <w:rPr>
                <w:sz w:val="7"/>
                <w:szCs w:val="7"/>
                <w:color w:val="auto"/>
              </w:rPr>
            </w:pPr>
          </w:p>
        </w:tc>
        <w:tc>
          <w:tcPr>
            <w:tcW w:w="920" w:type="dxa"/>
            <w:vAlign w:val="bottom"/>
          </w:tcPr>
          <w:p>
            <w:pPr>
              <w:jc w:val="center"/>
              <w:ind w:left="132"/>
              <w:spacing w:after="0" w:line="90" w:lineRule="exact"/>
              <w:rPr>
                <w:sz w:val="20"/>
                <w:szCs w:val="20"/>
                <w:color w:val="auto"/>
              </w:rPr>
            </w:pPr>
            <w:r>
              <w:rPr>
                <w:rFonts w:ascii="Arial" w:cs="Arial" w:eastAsia="Arial" w:hAnsi="Arial"/>
                <w:sz w:val="10"/>
                <w:szCs w:val="10"/>
                <w:b w:val="1"/>
                <w:bCs w:val="1"/>
                <w:color w:val="auto"/>
                <w:w w:val="97"/>
              </w:rPr>
              <w:t>and Other</w:t>
            </w:r>
          </w:p>
        </w:tc>
        <w:tc>
          <w:tcPr>
            <w:tcW w:w="380" w:type="dxa"/>
            <w:vAlign w:val="bottom"/>
          </w:tcPr>
          <w:p>
            <w:pPr>
              <w:spacing w:after="0"/>
              <w:rPr>
                <w:sz w:val="7"/>
                <w:szCs w:val="7"/>
                <w:color w:val="auto"/>
              </w:rPr>
            </w:pPr>
          </w:p>
        </w:tc>
        <w:tc>
          <w:tcPr>
            <w:tcW w:w="820" w:type="dxa"/>
            <w:vAlign w:val="bottom"/>
          </w:tcPr>
          <w:p>
            <w:pPr>
              <w:jc w:val="center"/>
              <w:ind w:left="72"/>
              <w:spacing w:after="0" w:line="90" w:lineRule="exact"/>
              <w:rPr>
                <w:sz w:val="20"/>
                <w:szCs w:val="20"/>
                <w:color w:val="auto"/>
              </w:rPr>
            </w:pPr>
            <w:r>
              <w:rPr>
                <w:rFonts w:ascii="Arial" w:cs="Arial" w:eastAsia="Arial" w:hAnsi="Arial"/>
                <w:sz w:val="10"/>
                <w:szCs w:val="10"/>
                <w:b w:val="1"/>
                <w:bCs w:val="1"/>
                <w:color w:val="auto"/>
                <w:w w:val="96"/>
              </w:rPr>
              <w:t>of Available</w:t>
            </w:r>
          </w:p>
        </w:tc>
        <w:tc>
          <w:tcPr>
            <w:tcW w:w="320" w:type="dxa"/>
            <w:vAlign w:val="bottom"/>
          </w:tcPr>
          <w:p>
            <w:pPr>
              <w:spacing w:after="0"/>
              <w:rPr>
                <w:sz w:val="7"/>
                <w:szCs w:val="7"/>
                <w:color w:val="auto"/>
              </w:rPr>
            </w:pPr>
          </w:p>
        </w:tc>
        <w:tc>
          <w:tcPr>
            <w:tcW w:w="780" w:type="dxa"/>
            <w:vAlign w:val="bottom"/>
          </w:tcPr>
          <w:p>
            <w:pPr>
              <w:jc w:val="center"/>
              <w:ind w:left="72"/>
              <w:spacing w:after="0" w:line="90" w:lineRule="exact"/>
              <w:rPr>
                <w:sz w:val="20"/>
                <w:szCs w:val="20"/>
                <w:color w:val="auto"/>
              </w:rPr>
            </w:pPr>
            <w:r>
              <w:rPr>
                <w:rFonts w:ascii="Arial" w:cs="Arial" w:eastAsia="Arial" w:hAnsi="Arial"/>
                <w:sz w:val="10"/>
                <w:szCs w:val="10"/>
                <w:b w:val="1"/>
                <w:bCs w:val="1"/>
                <w:color w:val="auto"/>
                <w:w w:val="96"/>
              </w:rPr>
              <w:t>Fair Value of</w:t>
            </w: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2360" w:type="dxa"/>
            <w:vAlign w:val="bottom"/>
            <w:gridSpan w:val="2"/>
          </w:tcPr>
          <w:p>
            <w:pPr>
              <w:jc w:val="center"/>
              <w:ind w:left="972"/>
              <w:spacing w:after="0" w:line="90" w:lineRule="exact"/>
              <w:rPr>
                <w:sz w:val="20"/>
                <w:szCs w:val="20"/>
                <w:color w:val="auto"/>
              </w:rPr>
            </w:pPr>
            <w:r>
              <w:rPr>
                <w:rFonts w:ascii="Arial" w:cs="Arial" w:eastAsia="Arial" w:hAnsi="Arial"/>
                <w:sz w:val="10"/>
                <w:szCs w:val="10"/>
                <w:b w:val="1"/>
                <w:bCs w:val="1"/>
                <w:color w:val="auto"/>
                <w:w w:val="92"/>
              </w:rPr>
              <w:t>Translation</w:t>
            </w:r>
          </w:p>
        </w:tc>
        <w:tc>
          <w:tcPr>
            <w:tcW w:w="920" w:type="dxa"/>
            <w:vAlign w:val="bottom"/>
          </w:tcPr>
          <w:p>
            <w:pPr>
              <w:jc w:val="center"/>
              <w:ind w:left="132"/>
              <w:spacing w:after="0" w:line="90" w:lineRule="exact"/>
              <w:rPr>
                <w:sz w:val="20"/>
                <w:szCs w:val="20"/>
                <w:color w:val="auto"/>
              </w:rPr>
            </w:pPr>
            <w:r>
              <w:rPr>
                <w:rFonts w:ascii="Arial" w:cs="Arial" w:eastAsia="Arial" w:hAnsi="Arial"/>
                <w:sz w:val="10"/>
                <w:szCs w:val="10"/>
                <w:b w:val="1"/>
                <w:bCs w:val="1"/>
                <w:color w:val="auto"/>
                <w:w w:val="93"/>
              </w:rPr>
              <w:t>Postretirement</w:t>
            </w:r>
          </w:p>
        </w:tc>
        <w:tc>
          <w:tcPr>
            <w:tcW w:w="380" w:type="dxa"/>
            <w:vAlign w:val="bottom"/>
          </w:tcPr>
          <w:p>
            <w:pPr>
              <w:spacing w:after="0"/>
              <w:rPr>
                <w:sz w:val="7"/>
                <w:szCs w:val="7"/>
                <w:color w:val="auto"/>
              </w:rPr>
            </w:pPr>
          </w:p>
        </w:tc>
        <w:tc>
          <w:tcPr>
            <w:tcW w:w="820" w:type="dxa"/>
            <w:vAlign w:val="bottom"/>
          </w:tcPr>
          <w:p>
            <w:pPr>
              <w:jc w:val="center"/>
              <w:ind w:left="92"/>
              <w:spacing w:after="0" w:line="90" w:lineRule="exact"/>
              <w:rPr>
                <w:sz w:val="20"/>
                <w:szCs w:val="20"/>
                <w:color w:val="auto"/>
              </w:rPr>
            </w:pPr>
            <w:r>
              <w:rPr>
                <w:rFonts w:ascii="Arial" w:cs="Arial" w:eastAsia="Arial" w:hAnsi="Arial"/>
                <w:sz w:val="10"/>
                <w:szCs w:val="10"/>
                <w:b w:val="1"/>
                <w:bCs w:val="1"/>
                <w:color w:val="auto"/>
                <w:w w:val="98"/>
              </w:rPr>
              <w:t>for Sale</w:t>
            </w:r>
          </w:p>
        </w:tc>
        <w:tc>
          <w:tcPr>
            <w:tcW w:w="320" w:type="dxa"/>
            <w:vAlign w:val="bottom"/>
          </w:tcPr>
          <w:p>
            <w:pPr>
              <w:spacing w:after="0"/>
              <w:rPr>
                <w:sz w:val="7"/>
                <w:szCs w:val="7"/>
                <w:color w:val="auto"/>
              </w:rPr>
            </w:pPr>
          </w:p>
        </w:tc>
        <w:tc>
          <w:tcPr>
            <w:tcW w:w="780" w:type="dxa"/>
            <w:vAlign w:val="bottom"/>
          </w:tcPr>
          <w:p>
            <w:pPr>
              <w:jc w:val="center"/>
              <w:ind w:left="52"/>
              <w:spacing w:after="0" w:line="90" w:lineRule="exact"/>
              <w:rPr>
                <w:sz w:val="20"/>
                <w:szCs w:val="20"/>
                <w:color w:val="auto"/>
              </w:rPr>
            </w:pPr>
            <w:r>
              <w:rPr>
                <w:rFonts w:ascii="Arial" w:cs="Arial" w:eastAsia="Arial" w:hAnsi="Arial"/>
                <w:sz w:val="10"/>
                <w:szCs w:val="10"/>
                <w:b w:val="1"/>
                <w:bCs w:val="1"/>
                <w:color w:val="auto"/>
                <w:w w:val="95"/>
              </w:rPr>
              <w:t>Cash Flow</w:t>
            </w: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vMerge w:val="restart"/>
          </w:tcPr>
          <w:p>
            <w:pPr>
              <w:jc w:val="right"/>
              <w:ind w:right="41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180" w:type="dxa"/>
            <w:vAlign w:val="bottom"/>
            <w:tcBorders>
              <w:bottom w:val="single" w:sz="8" w:color="DC202E"/>
            </w:tcBorders>
          </w:tcPr>
          <w:p>
            <w:pPr>
              <w:spacing w:after="0"/>
              <w:rPr>
                <w:sz w:val="10"/>
                <w:szCs w:val="10"/>
                <w:color w:val="auto"/>
              </w:rPr>
            </w:pPr>
          </w:p>
        </w:tc>
        <w:tc>
          <w:tcPr>
            <w:tcW w:w="4180" w:type="dxa"/>
            <w:vAlign w:val="bottom"/>
            <w:tcBorders>
              <w:bottom w:val="single" w:sz="8" w:color="DC202E"/>
            </w:tcBorders>
          </w:tcPr>
          <w:p>
            <w:pPr>
              <w:spacing w:after="0"/>
              <w:rPr>
                <w:sz w:val="10"/>
                <w:szCs w:val="10"/>
                <w:color w:val="auto"/>
              </w:rPr>
            </w:pPr>
          </w:p>
        </w:tc>
        <w:tc>
          <w:tcPr>
            <w:tcW w:w="2360" w:type="dxa"/>
            <w:vAlign w:val="bottom"/>
            <w:tcBorders>
              <w:bottom w:val="single" w:sz="8" w:color="DC202E"/>
            </w:tcBorders>
            <w:gridSpan w:val="2"/>
          </w:tcPr>
          <w:p>
            <w:pPr>
              <w:jc w:val="center"/>
              <w:ind w:left="972"/>
              <w:spacing w:after="0"/>
              <w:rPr>
                <w:sz w:val="20"/>
                <w:szCs w:val="20"/>
                <w:color w:val="auto"/>
              </w:rPr>
            </w:pPr>
            <w:r>
              <w:rPr>
                <w:rFonts w:ascii="Arial" w:cs="Arial" w:eastAsia="Arial" w:hAnsi="Arial"/>
                <w:sz w:val="10"/>
                <w:szCs w:val="10"/>
                <w:b w:val="1"/>
                <w:bCs w:val="1"/>
                <w:color w:val="auto"/>
                <w:w w:val="98"/>
              </w:rPr>
              <w:t>Adjustment</w:t>
            </w:r>
          </w:p>
        </w:tc>
        <w:tc>
          <w:tcPr>
            <w:tcW w:w="920" w:type="dxa"/>
            <w:vAlign w:val="bottom"/>
            <w:tcBorders>
              <w:bottom w:val="single" w:sz="8" w:color="DC202E"/>
            </w:tcBorders>
          </w:tcPr>
          <w:p>
            <w:pPr>
              <w:jc w:val="center"/>
              <w:ind w:left="132"/>
              <w:spacing w:after="0"/>
              <w:rPr>
                <w:sz w:val="20"/>
                <w:szCs w:val="20"/>
                <w:color w:val="auto"/>
              </w:rPr>
            </w:pPr>
            <w:r>
              <w:rPr>
                <w:rFonts w:ascii="Arial" w:cs="Arial" w:eastAsia="Arial" w:hAnsi="Arial"/>
                <w:sz w:val="10"/>
                <w:szCs w:val="10"/>
                <w:b w:val="1"/>
                <w:bCs w:val="1"/>
                <w:color w:val="auto"/>
                <w:w w:val="95"/>
              </w:rPr>
              <w:t>Adjustments</w:t>
            </w: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center"/>
              <w:ind w:left="92"/>
              <w:spacing w:after="0"/>
              <w:rPr>
                <w:sz w:val="20"/>
                <w:szCs w:val="20"/>
                <w:color w:val="auto"/>
              </w:rPr>
            </w:pPr>
            <w:r>
              <w:rPr>
                <w:rFonts w:ascii="Arial" w:cs="Arial" w:eastAsia="Arial" w:hAnsi="Arial"/>
                <w:sz w:val="10"/>
                <w:szCs w:val="10"/>
                <w:b w:val="1"/>
                <w:bCs w:val="1"/>
                <w:color w:val="auto"/>
                <w:w w:val="95"/>
              </w:rPr>
              <w:t>Investments</w:t>
            </w:r>
          </w:p>
        </w:tc>
        <w:tc>
          <w:tcPr>
            <w:tcW w:w="32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tcPr>
          <w:p>
            <w:pPr>
              <w:jc w:val="center"/>
              <w:ind w:left="72"/>
              <w:spacing w:after="0"/>
              <w:rPr>
                <w:sz w:val="20"/>
                <w:szCs w:val="20"/>
                <w:color w:val="auto"/>
              </w:rPr>
            </w:pPr>
            <w:r>
              <w:rPr>
                <w:rFonts w:ascii="Arial" w:cs="Arial" w:eastAsia="Arial" w:hAnsi="Arial"/>
                <w:sz w:val="10"/>
                <w:szCs w:val="10"/>
                <w:b w:val="1"/>
                <w:bCs w:val="1"/>
                <w:color w:val="auto"/>
                <w:w w:val="93"/>
              </w:rPr>
              <w:t>Hedges</w:t>
            </w:r>
          </w:p>
        </w:tc>
        <w:tc>
          <w:tcPr>
            <w:tcW w:w="3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Balance at December 31, 2018</w:t>
            </w:r>
          </w:p>
        </w:tc>
        <w:tc>
          <w:tcPr>
            <w:tcW w:w="192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4"/>
              </w:rPr>
              <w:t>(2,709)</w:t>
            </w:r>
          </w:p>
        </w:tc>
        <w:tc>
          <w:tcPr>
            <w:tcW w:w="920" w:type="dxa"/>
            <w:vAlign w:val="bottom"/>
            <w:tcBorders>
              <w:bottom w:val="single" w:sz="8" w:color="DC202E"/>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(761)</w:t>
            </w:r>
          </w:p>
        </w:tc>
        <w:tc>
          <w:tcPr>
            <w:tcW w:w="82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33</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(3,437)</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19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156</w:t>
            </w:r>
          </w:p>
        </w:tc>
        <w:tc>
          <w:tcPr>
            <w:tcW w:w="92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149</w:t>
            </w:r>
          </w:p>
        </w:tc>
        <w:tc>
          <w:tcPr>
            <w:tcW w:w="8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w w:val="95"/>
              </w:rPr>
              <w:t>103</w:t>
            </w:r>
          </w:p>
        </w:tc>
        <w:tc>
          <w:tcPr>
            <w:tcW w:w="2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408</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DC202E"/>
            </w:tcBorders>
            <w:gridSpan w:val="2"/>
          </w:tcPr>
          <w:p>
            <w:pPr>
              <w:ind w:left="80"/>
              <w:spacing w:after="0"/>
              <w:rPr>
                <w:sz w:val="20"/>
                <w:szCs w:val="20"/>
                <w:color w:val="auto"/>
              </w:rPr>
            </w:pPr>
            <w:r>
              <w:rPr>
                <w:rFonts w:ascii="Arial" w:cs="Arial" w:eastAsia="Arial" w:hAnsi="Arial"/>
                <w:sz w:val="10"/>
                <w:szCs w:val="10"/>
                <w:color w:val="auto"/>
              </w:rPr>
              <w:t>Amounts reclassified from accumulated other comprehensive income</w:t>
            </w:r>
          </w:p>
        </w:tc>
        <w:tc>
          <w:tcPr>
            <w:tcW w:w="19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(13)</w:t>
            </w:r>
          </w:p>
        </w:tc>
        <w:tc>
          <w:tcPr>
            <w:tcW w:w="92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(63)</w:t>
            </w:r>
          </w:p>
        </w:tc>
        <w:tc>
          <w:tcPr>
            <w:tcW w:w="8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(92)</w:t>
            </w:r>
          </w:p>
        </w:tc>
        <w:tc>
          <w:tcPr>
            <w:tcW w:w="2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(168)</w:t>
            </w:r>
          </w:p>
        </w:tc>
        <w:tc>
          <w:tcPr>
            <w:tcW w:w="0" w:type="dxa"/>
            <w:vAlign w:val="bottom"/>
          </w:tcPr>
          <w:p>
            <w:pPr>
              <w:spacing w:after="0"/>
              <w:rPr>
                <w:sz w:val="1"/>
                <w:szCs w:val="1"/>
                <w:color w:val="auto"/>
              </w:rPr>
            </w:pPr>
          </w:p>
        </w:tc>
      </w:tr>
      <w:tr>
        <w:trPr>
          <w:trHeight w:val="115"/>
        </w:trPr>
        <w:tc>
          <w:tcPr>
            <w:tcW w:w="180" w:type="dxa"/>
            <w:vAlign w:val="bottom"/>
            <w:tcBorders>
              <w:bottom w:val="single" w:sz="8" w:color="DC202E"/>
            </w:tcBorders>
          </w:tcPr>
          <w:p>
            <w:pPr>
              <w:spacing w:after="0"/>
              <w:rPr>
                <w:sz w:val="10"/>
                <w:szCs w:val="10"/>
                <w:color w:val="auto"/>
              </w:rPr>
            </w:pPr>
          </w:p>
        </w:tc>
        <w:tc>
          <w:tcPr>
            <w:tcW w:w="4180" w:type="dxa"/>
            <w:vAlign w:val="bottom"/>
            <w:tcBorders>
              <w:bottom w:val="single" w:sz="8" w:color="DC202E"/>
            </w:tcBorders>
          </w:tcPr>
          <w:p>
            <w:pPr>
              <w:ind w:left="40"/>
              <w:spacing w:after="0"/>
              <w:rPr>
                <w:sz w:val="20"/>
                <w:szCs w:val="20"/>
                <w:color w:val="auto"/>
              </w:rPr>
            </w:pPr>
            <w:r>
              <w:rPr>
                <w:rFonts w:ascii="Arial" w:cs="Arial" w:eastAsia="Arial" w:hAnsi="Arial"/>
                <w:sz w:val="10"/>
                <w:szCs w:val="10"/>
                <w:color w:val="auto"/>
              </w:rPr>
              <w:t>Net current period other comprehensive income (loss)</w:t>
            </w:r>
          </w:p>
        </w:tc>
        <w:tc>
          <w:tcPr>
            <w:tcW w:w="19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143</w:t>
            </w:r>
          </w:p>
        </w:tc>
        <w:tc>
          <w:tcPr>
            <w:tcW w:w="92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86</w:t>
            </w:r>
          </w:p>
        </w:tc>
        <w:tc>
          <w:tcPr>
            <w:tcW w:w="8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11</w:t>
            </w:r>
          </w:p>
        </w:tc>
        <w:tc>
          <w:tcPr>
            <w:tcW w:w="2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240</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Balance at December 31, 2019</w:t>
            </w:r>
          </w:p>
        </w:tc>
        <w:tc>
          <w:tcPr>
            <w:tcW w:w="192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4"/>
              </w:rPr>
              <w:t>(2,566)</w:t>
            </w:r>
          </w:p>
        </w:tc>
        <w:tc>
          <w:tcPr>
            <w:tcW w:w="920" w:type="dxa"/>
            <w:vAlign w:val="bottom"/>
            <w:tcBorders>
              <w:bottom w:val="single" w:sz="8" w:color="DC202E"/>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(675)</w:t>
            </w:r>
          </w:p>
        </w:tc>
        <w:tc>
          <w:tcPr>
            <w:tcW w:w="82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44</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(3,197)</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19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(201)</w:t>
            </w:r>
          </w:p>
        </w:tc>
        <w:tc>
          <w:tcPr>
            <w:tcW w:w="92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115</w:t>
            </w:r>
          </w:p>
        </w:tc>
        <w:tc>
          <w:tcPr>
            <w:tcW w:w="8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4</w:t>
            </w:r>
          </w:p>
        </w:tc>
        <w:tc>
          <w:tcPr>
            <w:tcW w:w="78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10</w:t>
            </w:r>
          </w:p>
        </w:tc>
        <w:tc>
          <w:tcPr>
            <w:tcW w:w="2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(72)</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DC202E"/>
            </w:tcBorders>
            <w:gridSpan w:val="2"/>
          </w:tcPr>
          <w:p>
            <w:pPr>
              <w:ind w:left="80"/>
              <w:spacing w:after="0"/>
              <w:rPr>
                <w:sz w:val="20"/>
                <w:szCs w:val="20"/>
                <w:color w:val="auto"/>
              </w:rPr>
            </w:pPr>
            <w:r>
              <w:rPr>
                <w:rFonts w:ascii="Arial" w:cs="Arial" w:eastAsia="Arial" w:hAnsi="Arial"/>
                <w:sz w:val="10"/>
                <w:szCs w:val="10"/>
                <w:color w:val="auto"/>
              </w:rPr>
              <w:t>Amounts reclassified from accumulated other comprehensive income</w:t>
            </w:r>
          </w:p>
        </w:tc>
        <w:tc>
          <w:tcPr>
            <w:tcW w:w="19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(13)</w:t>
            </w:r>
          </w:p>
        </w:tc>
        <w:tc>
          <w:tcPr>
            <w:tcW w:w="92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(41)</w:t>
            </w:r>
          </w:p>
        </w:tc>
        <w:tc>
          <w:tcPr>
            <w:tcW w:w="8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(54)</w:t>
            </w:r>
          </w:p>
        </w:tc>
        <w:tc>
          <w:tcPr>
            <w:tcW w:w="2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(108)</w:t>
            </w:r>
          </w:p>
        </w:tc>
        <w:tc>
          <w:tcPr>
            <w:tcW w:w="0" w:type="dxa"/>
            <w:vAlign w:val="bottom"/>
          </w:tcPr>
          <w:p>
            <w:pPr>
              <w:spacing w:after="0"/>
              <w:rPr>
                <w:sz w:val="1"/>
                <w:szCs w:val="1"/>
                <w:color w:val="auto"/>
              </w:rPr>
            </w:pPr>
          </w:p>
        </w:tc>
      </w:tr>
      <w:tr>
        <w:trPr>
          <w:trHeight w:val="115"/>
        </w:trPr>
        <w:tc>
          <w:tcPr>
            <w:tcW w:w="180" w:type="dxa"/>
            <w:vAlign w:val="bottom"/>
            <w:tcBorders>
              <w:bottom w:val="single" w:sz="8" w:color="DC202E"/>
            </w:tcBorders>
          </w:tcPr>
          <w:p>
            <w:pPr>
              <w:spacing w:after="0"/>
              <w:rPr>
                <w:sz w:val="10"/>
                <w:szCs w:val="10"/>
                <w:color w:val="auto"/>
              </w:rPr>
            </w:pPr>
          </w:p>
        </w:tc>
        <w:tc>
          <w:tcPr>
            <w:tcW w:w="4180" w:type="dxa"/>
            <w:vAlign w:val="bottom"/>
            <w:tcBorders>
              <w:bottom w:val="single" w:sz="8" w:color="DC202E"/>
            </w:tcBorders>
          </w:tcPr>
          <w:p>
            <w:pPr>
              <w:ind w:left="40"/>
              <w:spacing w:after="0"/>
              <w:rPr>
                <w:sz w:val="20"/>
                <w:szCs w:val="20"/>
                <w:color w:val="auto"/>
              </w:rPr>
            </w:pPr>
            <w:r>
              <w:rPr>
                <w:rFonts w:ascii="Arial" w:cs="Arial" w:eastAsia="Arial" w:hAnsi="Arial"/>
                <w:sz w:val="10"/>
                <w:szCs w:val="10"/>
                <w:color w:val="auto"/>
              </w:rPr>
              <w:t>Net current period other comprehensive income (loss)</w:t>
            </w:r>
          </w:p>
        </w:tc>
        <w:tc>
          <w:tcPr>
            <w:tcW w:w="19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(214)</w:t>
            </w:r>
          </w:p>
        </w:tc>
        <w:tc>
          <w:tcPr>
            <w:tcW w:w="92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74</w:t>
            </w:r>
          </w:p>
        </w:tc>
        <w:tc>
          <w:tcPr>
            <w:tcW w:w="8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4</w:t>
            </w:r>
          </w:p>
        </w:tc>
        <w:tc>
          <w:tcPr>
            <w:tcW w:w="7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(44)</w:t>
            </w:r>
          </w:p>
        </w:tc>
        <w:tc>
          <w:tcPr>
            <w:tcW w:w="2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(180)</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Balance at December 31, 2020</w:t>
            </w:r>
          </w:p>
        </w:tc>
        <w:tc>
          <w:tcPr>
            <w:tcW w:w="192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4"/>
              </w:rPr>
              <w:t>(2,780)</w:t>
            </w:r>
          </w:p>
        </w:tc>
        <w:tc>
          <w:tcPr>
            <w:tcW w:w="920" w:type="dxa"/>
            <w:vAlign w:val="bottom"/>
            <w:tcBorders>
              <w:bottom w:val="single" w:sz="8" w:color="DC202E"/>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(601)</w:t>
            </w:r>
          </w:p>
        </w:tc>
        <w:tc>
          <w:tcPr>
            <w:tcW w:w="82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4</w:t>
            </w:r>
          </w:p>
        </w:tc>
        <w:tc>
          <w:tcPr>
            <w:tcW w:w="78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(3,377)</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939598"/>
            </w:tcBorders>
            <w:gridSpan w:val="2"/>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19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314</w:t>
            </w:r>
          </w:p>
        </w:tc>
        <w:tc>
          <w:tcPr>
            <w:tcW w:w="92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268</w:t>
            </w:r>
          </w:p>
        </w:tc>
        <w:tc>
          <w:tcPr>
            <w:tcW w:w="8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w:t>
            </w:r>
          </w:p>
        </w:tc>
        <w:tc>
          <w:tcPr>
            <w:tcW w:w="78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17</w:t>
            </w:r>
          </w:p>
        </w:tc>
        <w:tc>
          <w:tcPr>
            <w:tcW w:w="2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596</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DC202E"/>
            </w:tcBorders>
            <w:gridSpan w:val="2"/>
          </w:tcPr>
          <w:p>
            <w:pPr>
              <w:ind w:left="80"/>
              <w:spacing w:after="0"/>
              <w:rPr>
                <w:sz w:val="20"/>
                <w:szCs w:val="20"/>
                <w:color w:val="auto"/>
              </w:rPr>
            </w:pPr>
            <w:r>
              <w:rPr>
                <w:rFonts w:ascii="Arial" w:cs="Arial" w:eastAsia="Arial" w:hAnsi="Arial"/>
                <w:sz w:val="10"/>
                <w:szCs w:val="10"/>
                <w:color w:val="auto"/>
              </w:rPr>
              <w:t>Amounts reclassified from accumulated other comprehensive income</w:t>
            </w:r>
          </w:p>
        </w:tc>
        <w:tc>
          <w:tcPr>
            <w:tcW w:w="19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(12)</w:t>
            </w:r>
          </w:p>
        </w:tc>
        <w:tc>
          <w:tcPr>
            <w:tcW w:w="92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(82)</w:t>
            </w:r>
          </w:p>
        </w:tc>
        <w:tc>
          <w:tcPr>
            <w:tcW w:w="8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(20)</w:t>
            </w:r>
          </w:p>
        </w:tc>
        <w:tc>
          <w:tcPr>
            <w:tcW w:w="2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(114)</w:t>
            </w:r>
          </w:p>
        </w:tc>
        <w:tc>
          <w:tcPr>
            <w:tcW w:w="0" w:type="dxa"/>
            <w:vAlign w:val="bottom"/>
          </w:tcPr>
          <w:p>
            <w:pPr>
              <w:spacing w:after="0"/>
              <w:rPr>
                <w:sz w:val="1"/>
                <w:szCs w:val="1"/>
                <w:color w:val="auto"/>
              </w:rPr>
            </w:pPr>
          </w:p>
        </w:tc>
      </w:tr>
      <w:tr>
        <w:trPr>
          <w:trHeight w:val="115"/>
        </w:trPr>
        <w:tc>
          <w:tcPr>
            <w:tcW w:w="180" w:type="dxa"/>
            <w:vAlign w:val="bottom"/>
            <w:tcBorders>
              <w:bottom w:val="single" w:sz="8" w:color="DC202E"/>
            </w:tcBorders>
          </w:tcPr>
          <w:p>
            <w:pPr>
              <w:spacing w:after="0"/>
              <w:rPr>
                <w:sz w:val="10"/>
                <w:szCs w:val="10"/>
                <w:color w:val="auto"/>
              </w:rPr>
            </w:pPr>
          </w:p>
        </w:tc>
        <w:tc>
          <w:tcPr>
            <w:tcW w:w="4180" w:type="dxa"/>
            <w:vAlign w:val="bottom"/>
            <w:tcBorders>
              <w:bottom w:val="single" w:sz="8" w:color="DC202E"/>
            </w:tcBorders>
          </w:tcPr>
          <w:p>
            <w:pPr>
              <w:ind w:left="40"/>
              <w:spacing w:after="0"/>
              <w:rPr>
                <w:sz w:val="20"/>
                <w:szCs w:val="20"/>
                <w:color w:val="auto"/>
              </w:rPr>
            </w:pPr>
            <w:r>
              <w:rPr>
                <w:rFonts w:ascii="Arial" w:cs="Arial" w:eastAsia="Arial" w:hAnsi="Arial"/>
                <w:sz w:val="10"/>
                <w:szCs w:val="10"/>
                <w:color w:val="auto"/>
              </w:rPr>
              <w:t>Net current period other comprehensive income (loss)</w:t>
            </w:r>
          </w:p>
        </w:tc>
        <w:tc>
          <w:tcPr>
            <w:tcW w:w="19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302</w:t>
            </w:r>
          </w:p>
        </w:tc>
        <w:tc>
          <w:tcPr>
            <w:tcW w:w="92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186</w:t>
            </w:r>
          </w:p>
        </w:tc>
        <w:tc>
          <w:tcPr>
            <w:tcW w:w="8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(3)</w:t>
            </w:r>
          </w:p>
        </w:tc>
        <w:tc>
          <w:tcPr>
            <w:tcW w:w="78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w:t>
            </w:r>
          </w:p>
        </w:tc>
        <w:tc>
          <w:tcPr>
            <w:tcW w:w="2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482</w:t>
            </w:r>
          </w:p>
        </w:tc>
        <w:tc>
          <w:tcPr>
            <w:tcW w:w="0" w:type="dxa"/>
            <w:vAlign w:val="bottom"/>
          </w:tcPr>
          <w:p>
            <w:pPr>
              <w:spacing w:after="0"/>
              <w:rPr>
                <w:sz w:val="1"/>
                <w:szCs w:val="1"/>
                <w:color w:val="auto"/>
              </w:rPr>
            </w:pPr>
          </w:p>
        </w:tc>
      </w:tr>
      <w:tr>
        <w:trPr>
          <w:trHeight w:val="115"/>
        </w:trPr>
        <w:tc>
          <w:tcPr>
            <w:tcW w:w="436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Balance at December 31, 2021</w:t>
            </w:r>
          </w:p>
        </w:tc>
        <w:tc>
          <w:tcPr>
            <w:tcW w:w="192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4"/>
              </w:rPr>
              <w:t>(2,478)</w:t>
            </w:r>
          </w:p>
        </w:tc>
        <w:tc>
          <w:tcPr>
            <w:tcW w:w="920" w:type="dxa"/>
            <w:vAlign w:val="bottom"/>
            <w:tcBorders>
              <w:bottom w:val="single" w:sz="8" w:color="DC202E"/>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(415)</w:t>
            </w:r>
          </w:p>
        </w:tc>
        <w:tc>
          <w:tcPr>
            <w:tcW w:w="82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w:t>
            </w:r>
          </w:p>
        </w:tc>
        <w:tc>
          <w:tcPr>
            <w:tcW w:w="78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(2,895)</w:t>
            </w:r>
          </w:p>
        </w:tc>
        <w:tc>
          <w:tcPr>
            <w:tcW w:w="0" w:type="dxa"/>
            <w:vAlign w:val="bottom"/>
          </w:tcPr>
          <w:p>
            <w:pPr>
              <w:spacing w:after="0"/>
              <w:rPr>
                <w:sz w:val="1"/>
                <w:szCs w:val="1"/>
                <w:color w:val="auto"/>
              </w:rPr>
            </w:pPr>
          </w:p>
        </w:tc>
      </w:tr>
      <w:tr>
        <w:trPr>
          <w:trHeight w:val="718"/>
        </w:trPr>
        <w:tc>
          <w:tcPr>
            <w:tcW w:w="180" w:type="dxa"/>
            <w:vAlign w:val="bottom"/>
          </w:tcPr>
          <w:p>
            <w:pPr>
              <w:spacing w:after="0"/>
              <w:rPr>
                <w:sz w:val="20"/>
                <w:szCs w:val="20"/>
                <w:color w:val="auto"/>
              </w:rPr>
            </w:pPr>
            <w:r>
              <w:rPr>
                <w:rFonts w:ascii="Arial" w:cs="Arial" w:eastAsia="Arial" w:hAnsi="Arial"/>
                <w:sz w:val="12"/>
                <w:szCs w:val="12"/>
                <w:b w:val="1"/>
                <w:bCs w:val="1"/>
                <w:color w:val="D7282F"/>
              </w:rPr>
              <w:t>90</w:t>
            </w:r>
          </w:p>
        </w:tc>
        <w:tc>
          <w:tcPr>
            <w:tcW w:w="4180" w:type="dxa"/>
            <w:vAlign w:val="bottom"/>
          </w:tcPr>
          <w:p>
            <w:pPr>
              <w:ind w:left="280"/>
              <w:spacing w:after="0"/>
              <w:rPr>
                <w:sz w:val="20"/>
                <w:szCs w:val="20"/>
                <w:color w:val="auto"/>
              </w:rPr>
            </w:pPr>
            <w:r>
              <w:rPr>
                <w:rFonts w:ascii="Arial" w:cs="Arial" w:eastAsia="Arial" w:hAnsi="Arial"/>
                <w:sz w:val="10"/>
                <w:szCs w:val="10"/>
                <w:color w:val="auto"/>
              </w:rPr>
              <w:t>Honeywell International Inc.</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0" w:type="dxa"/>
            <w:vAlign w:val="bottom"/>
            <w:tcBorders>
              <w:bottom w:val="single" w:sz="8" w:color="9A9A9A"/>
            </w:tcBorders>
          </w:tcPr>
          <w:p>
            <w:pPr>
              <w:spacing w:after="0"/>
              <w:rPr>
                <w:sz w:val="12"/>
                <w:szCs w:val="12"/>
                <w:color w:val="auto"/>
              </w:rPr>
            </w:pPr>
          </w:p>
        </w:tc>
        <w:tc>
          <w:tcPr>
            <w:tcW w:w="4180" w:type="dxa"/>
            <w:vAlign w:val="bottom"/>
            <w:tcBorders>
              <w:bottom w:val="single" w:sz="8" w:color="9A9A9A"/>
            </w:tcBorders>
          </w:tcPr>
          <w:p>
            <w:pPr>
              <w:spacing w:after="0"/>
              <w:rPr>
                <w:sz w:val="12"/>
                <w:szCs w:val="12"/>
                <w:color w:val="auto"/>
              </w:rPr>
            </w:pPr>
          </w:p>
        </w:tc>
        <w:tc>
          <w:tcPr>
            <w:tcW w:w="19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2" w:name="page93"/>
    <w:bookmarkEnd w:id="92"/>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 OUT OF ACCUMULATED OTHER COMPREHENSIVE INCOME (LOSS)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spacing w:after="0"/>
              <w:rPr>
                <w:sz w:val="10"/>
                <w:szCs w:val="10"/>
                <w:color w:val="auto"/>
              </w:rPr>
            </w:pPr>
          </w:p>
        </w:tc>
        <w:tc>
          <w:tcPr>
            <w:tcW w:w="1680" w:type="dxa"/>
            <w:vAlign w:val="bottom"/>
            <w:tcBorders>
              <w:bottom w:val="single" w:sz="8" w:color="DC202E"/>
            </w:tcBorders>
            <w:gridSpan w:val="3"/>
          </w:tcPr>
          <w:p>
            <w:pPr>
              <w:jc w:val="center"/>
              <w:ind w:left="92"/>
              <w:spacing w:after="0"/>
              <w:rPr>
                <w:sz w:val="20"/>
                <w:szCs w:val="20"/>
                <w:color w:val="auto"/>
              </w:rPr>
            </w:pPr>
            <w:r>
              <w:rPr>
                <w:rFonts w:ascii="Arial" w:cs="Arial" w:eastAsia="Arial" w:hAnsi="Arial"/>
                <w:sz w:val="10"/>
                <w:szCs w:val="10"/>
                <w:b w:val="1"/>
                <w:bCs w:val="1"/>
                <w:color w:val="auto"/>
                <w:w w:val="96"/>
              </w:rPr>
              <w:t>Year Ended December 31, 2021</w:t>
            </w: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5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12"/>
                <w:szCs w:val="12"/>
                <w:color w:val="auto"/>
              </w:rPr>
            </w:pPr>
          </w:p>
        </w:tc>
        <w:tc>
          <w:tcPr>
            <w:tcW w:w="960" w:type="dxa"/>
            <w:vAlign w:val="bottom"/>
            <w:tcBorders>
              <w:bottom w:val="single" w:sz="8" w:color="DC202E"/>
            </w:tcBorders>
          </w:tcPr>
          <w:p>
            <w:pPr>
              <w:spacing w:after="0"/>
              <w:rPr>
                <w:sz w:val="12"/>
                <w:szCs w:val="12"/>
                <w:color w:val="auto"/>
              </w:rPr>
            </w:pPr>
          </w:p>
        </w:tc>
        <w:tc>
          <w:tcPr>
            <w:tcW w:w="380" w:type="dxa"/>
            <w:vAlign w:val="bottom"/>
            <w:tcBorders>
              <w:bottom w:val="single" w:sz="8" w:color="DC202E"/>
            </w:tcBorders>
          </w:tcPr>
          <w:p>
            <w:pPr>
              <w:spacing w:after="0"/>
              <w:rPr>
                <w:sz w:val="12"/>
                <w:szCs w:val="12"/>
                <w:color w:val="auto"/>
              </w:rPr>
            </w:pPr>
          </w:p>
        </w:tc>
        <w:tc>
          <w:tcPr>
            <w:tcW w:w="820" w:type="dxa"/>
            <w:vAlign w:val="bottom"/>
            <w:tcBorders>
              <w:bottom w:val="single" w:sz="8" w:color="DC202E"/>
            </w:tcBorders>
          </w:tcPr>
          <w:p>
            <w:pPr>
              <w:spacing w:after="0"/>
              <w:rPr>
                <w:sz w:val="12"/>
                <w:szCs w:val="12"/>
                <w:color w:val="auto"/>
              </w:rPr>
            </w:pPr>
          </w:p>
        </w:tc>
        <w:tc>
          <w:tcPr>
            <w:tcW w:w="400" w:type="dxa"/>
            <w:vAlign w:val="bottom"/>
            <w:tcBorders>
              <w:bottom w:val="single" w:sz="8" w:color="DC202E"/>
            </w:tcBorders>
          </w:tcPr>
          <w:p>
            <w:pPr>
              <w:spacing w:after="0"/>
              <w:rPr>
                <w:sz w:val="12"/>
                <w:szCs w:val="12"/>
                <w:color w:val="auto"/>
              </w:rPr>
            </w:pPr>
          </w:p>
        </w:tc>
        <w:tc>
          <w:tcPr>
            <w:tcW w:w="3280" w:type="dxa"/>
            <w:vAlign w:val="bottom"/>
            <w:tcBorders>
              <w:bottom w:val="single" w:sz="8" w:color="DC202E"/>
            </w:tcBorders>
            <w:gridSpan w:val="5"/>
          </w:tcPr>
          <w:p>
            <w:pPr>
              <w:jc w:val="center"/>
              <w:ind w:left="172"/>
              <w:spacing w:after="0"/>
              <w:rPr>
                <w:sz w:val="20"/>
                <w:szCs w:val="20"/>
                <w:color w:val="auto"/>
              </w:rPr>
            </w:pPr>
            <w:r>
              <w:rPr>
                <w:rFonts w:ascii="Arial" w:cs="Arial" w:eastAsia="Arial" w:hAnsi="Arial"/>
                <w:sz w:val="10"/>
                <w:szCs w:val="10"/>
                <w:b w:val="1"/>
                <w:bCs w:val="1"/>
                <w:color w:val="auto"/>
                <w:w w:val="95"/>
              </w:rPr>
              <w:t>Affected Line in the Consolidated Statement of Operations</w:t>
            </w:r>
          </w:p>
        </w:tc>
        <w:tc>
          <w:tcPr>
            <w:tcW w:w="420" w:type="dxa"/>
            <w:vAlign w:val="bottom"/>
            <w:tcBorders>
              <w:bottom w:val="single" w:sz="8" w:color="DC202E"/>
            </w:tcBorders>
          </w:tcPr>
          <w:p>
            <w:pPr>
              <w:spacing w:after="0"/>
              <w:rPr>
                <w:sz w:val="12"/>
                <w:szCs w:val="12"/>
                <w:color w:val="auto"/>
              </w:rPr>
            </w:pPr>
          </w:p>
        </w:tc>
        <w:tc>
          <w:tcPr>
            <w:tcW w:w="220" w:type="dxa"/>
            <w:vAlign w:val="bottom"/>
            <w:tcBorders>
              <w:bottom w:val="single" w:sz="8" w:color="DC202E"/>
            </w:tcBorders>
          </w:tcPr>
          <w:p>
            <w:pPr>
              <w:spacing w:after="0"/>
              <w:rPr>
                <w:sz w:val="12"/>
                <w:szCs w:val="12"/>
                <w:color w:val="auto"/>
              </w:rPr>
            </w:pPr>
          </w:p>
        </w:tc>
        <w:tc>
          <w:tcPr>
            <w:tcW w:w="1020" w:type="dxa"/>
            <w:vAlign w:val="bottom"/>
            <w:tcBorders>
              <w:bottom w:val="single" w:sz="8" w:color="DC202E"/>
            </w:tcBorders>
          </w:tcPr>
          <w:p>
            <w:pPr>
              <w:spacing w:after="0"/>
              <w:rPr>
                <w:sz w:val="12"/>
                <w:szCs w:val="12"/>
                <w:color w:val="auto"/>
              </w:rPr>
            </w:pPr>
          </w:p>
        </w:tc>
        <w:tc>
          <w:tcPr>
            <w:tcW w:w="280" w:type="dxa"/>
            <w:vAlign w:val="bottom"/>
            <w:tcBorders>
              <w:bottom w:val="single" w:sz="8" w:color="DC202E"/>
            </w:tcBorders>
          </w:tcPr>
          <w:p>
            <w:pPr>
              <w:spacing w:after="0"/>
              <w:rPr>
                <w:sz w:val="12"/>
                <w:szCs w:val="12"/>
                <w:color w:val="auto"/>
              </w:rPr>
            </w:pPr>
          </w:p>
        </w:tc>
        <w:tc>
          <w:tcPr>
            <w:tcW w:w="540" w:type="dxa"/>
            <w:vAlign w:val="bottom"/>
            <w:tcBorders>
              <w:bottom w:val="single" w:sz="8" w:color="DC202E"/>
            </w:tcBorders>
          </w:tcPr>
          <w:p>
            <w:pPr>
              <w:spacing w:after="0"/>
              <w:rPr>
                <w:sz w:val="12"/>
                <w:szCs w:val="12"/>
                <w:color w:val="auto"/>
              </w:rPr>
            </w:pPr>
          </w:p>
        </w:tc>
        <w:tc>
          <w:tcPr>
            <w:tcW w:w="320" w:type="dxa"/>
            <w:vAlign w:val="bottom"/>
            <w:tcBorders>
              <w:bottom w:val="single" w:sz="8" w:color="DC202E"/>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center"/>
              <w:ind w:left="152"/>
              <w:spacing w:after="0"/>
              <w:rPr>
                <w:sz w:val="20"/>
                <w:szCs w:val="20"/>
                <w:color w:val="auto"/>
              </w:rPr>
            </w:pPr>
            <w:r>
              <w:rPr>
                <w:rFonts w:ascii="Arial" w:cs="Arial" w:eastAsia="Arial" w:hAnsi="Arial"/>
                <w:sz w:val="10"/>
                <w:szCs w:val="10"/>
                <w:b w:val="1"/>
                <w:bCs w:val="1"/>
                <w:color w:val="auto"/>
                <w:w w:val="98"/>
              </w:rPr>
              <w:t>Cost of</w:t>
            </w:r>
          </w:p>
        </w:tc>
        <w:tc>
          <w:tcPr>
            <w:tcW w:w="400" w:type="dxa"/>
            <w:vAlign w:val="bottom"/>
          </w:tcPr>
          <w:p>
            <w:pPr>
              <w:spacing w:after="0"/>
              <w:rPr>
                <w:sz w:val="20"/>
                <w:szCs w:val="20"/>
                <w:color w:val="auto"/>
              </w:rPr>
            </w:pPr>
          </w:p>
        </w:tc>
        <w:tc>
          <w:tcPr>
            <w:tcW w:w="840" w:type="dxa"/>
            <w:vAlign w:val="bottom"/>
          </w:tcPr>
          <w:p>
            <w:pPr>
              <w:jc w:val="center"/>
              <w:ind w:left="152"/>
              <w:spacing w:after="0"/>
              <w:rPr>
                <w:sz w:val="20"/>
                <w:szCs w:val="20"/>
                <w:color w:val="auto"/>
              </w:rPr>
            </w:pPr>
            <w:r>
              <w:rPr>
                <w:rFonts w:ascii="Arial" w:cs="Arial" w:eastAsia="Arial" w:hAnsi="Arial"/>
                <w:sz w:val="10"/>
                <w:szCs w:val="10"/>
                <w:b w:val="1"/>
                <w:bCs w:val="1"/>
                <w:color w:val="auto"/>
                <w:w w:val="92"/>
              </w:rPr>
              <w:t>Cost of</w:t>
            </w:r>
          </w:p>
        </w:tc>
        <w:tc>
          <w:tcPr>
            <w:tcW w:w="320" w:type="dxa"/>
            <w:vAlign w:val="bottom"/>
          </w:tcPr>
          <w:p>
            <w:pPr>
              <w:spacing w:after="0"/>
              <w:rPr>
                <w:sz w:val="20"/>
                <w:szCs w:val="20"/>
                <w:color w:val="auto"/>
              </w:rPr>
            </w:pPr>
          </w:p>
        </w:tc>
        <w:tc>
          <w:tcPr>
            <w:tcW w:w="1060" w:type="dxa"/>
            <w:vAlign w:val="bottom"/>
            <w:vMerge w:val="restart"/>
          </w:tcPr>
          <w:p>
            <w:pPr>
              <w:jc w:val="center"/>
              <w:ind w:left="72"/>
              <w:spacing w:after="0"/>
              <w:rPr>
                <w:sz w:val="20"/>
                <w:szCs w:val="20"/>
                <w:color w:val="auto"/>
              </w:rPr>
            </w:pPr>
            <w:r>
              <w:rPr>
                <w:rFonts w:ascii="Arial" w:cs="Arial" w:eastAsia="Arial" w:hAnsi="Arial"/>
                <w:sz w:val="10"/>
                <w:szCs w:val="10"/>
                <w:b w:val="1"/>
                <w:bCs w:val="1"/>
                <w:color w:val="auto"/>
                <w:w w:val="95"/>
              </w:rPr>
              <w:t>Selling, general and</w:t>
            </w:r>
          </w:p>
        </w:tc>
        <w:tc>
          <w:tcPr>
            <w:tcW w:w="300" w:type="dxa"/>
            <w:vAlign w:val="bottom"/>
          </w:tcPr>
          <w:p>
            <w:pPr>
              <w:spacing w:after="0"/>
              <w:rPr>
                <w:sz w:val="20"/>
                <w:szCs w:val="20"/>
                <w:color w:val="auto"/>
              </w:rPr>
            </w:pPr>
          </w:p>
        </w:tc>
        <w:tc>
          <w:tcPr>
            <w:tcW w:w="760" w:type="dxa"/>
            <w:vAlign w:val="bottom"/>
          </w:tcPr>
          <w:p>
            <w:pPr>
              <w:jc w:val="center"/>
              <w:ind w:left="132"/>
              <w:spacing w:after="0"/>
              <w:rPr>
                <w:sz w:val="20"/>
                <w:szCs w:val="20"/>
                <w:color w:val="auto"/>
              </w:rPr>
            </w:pPr>
            <w:r>
              <w:rPr>
                <w:rFonts w:ascii="Arial" w:cs="Arial" w:eastAsia="Arial" w:hAnsi="Arial"/>
                <w:sz w:val="10"/>
                <w:szCs w:val="10"/>
                <w:b w:val="1"/>
                <w:bCs w:val="1"/>
                <w:color w:val="auto"/>
                <w:w w:val="97"/>
              </w:rPr>
              <w:t>Other</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392"/>
              <w:spacing w:after="0"/>
              <w:rPr>
                <w:sz w:val="20"/>
                <w:szCs w:val="20"/>
                <w:color w:val="auto"/>
              </w:rPr>
            </w:pPr>
            <w:r>
              <w:rPr>
                <w:rFonts w:ascii="Arial" w:cs="Arial" w:eastAsia="Arial" w:hAnsi="Arial"/>
                <w:sz w:val="10"/>
                <w:szCs w:val="10"/>
                <w:b w:val="1"/>
                <w:bCs w:val="1"/>
                <w:color w:val="auto"/>
                <w:w w:val="95"/>
              </w:rPr>
              <w:t>Interest and</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Net Sales</w:t>
            </w:r>
          </w:p>
        </w:tc>
        <w:tc>
          <w:tcPr>
            <w:tcW w:w="380" w:type="dxa"/>
            <w:vAlign w:val="bottom"/>
          </w:tcPr>
          <w:p>
            <w:pPr>
              <w:spacing w:after="0"/>
              <w:rPr>
                <w:sz w:val="7"/>
                <w:szCs w:val="7"/>
                <w:color w:val="auto"/>
              </w:rPr>
            </w:pPr>
          </w:p>
        </w:tc>
        <w:tc>
          <w:tcPr>
            <w:tcW w:w="820" w:type="dxa"/>
            <w:vAlign w:val="bottom"/>
          </w:tcPr>
          <w:p>
            <w:pPr>
              <w:jc w:val="center"/>
              <w:ind w:left="152"/>
              <w:spacing w:after="0" w:line="90" w:lineRule="exact"/>
              <w:rPr>
                <w:sz w:val="20"/>
                <w:szCs w:val="20"/>
                <w:color w:val="auto"/>
              </w:rPr>
            </w:pPr>
            <w:r>
              <w:rPr>
                <w:rFonts w:ascii="Arial" w:cs="Arial" w:eastAsia="Arial" w:hAnsi="Arial"/>
                <w:sz w:val="10"/>
                <w:szCs w:val="10"/>
                <w:b w:val="1"/>
                <w:bCs w:val="1"/>
                <w:color w:val="auto"/>
                <w:w w:val="96"/>
              </w:rPr>
              <w:t>Products</w:t>
            </w:r>
          </w:p>
        </w:tc>
        <w:tc>
          <w:tcPr>
            <w:tcW w:w="400" w:type="dxa"/>
            <w:vAlign w:val="bottom"/>
          </w:tcPr>
          <w:p>
            <w:pPr>
              <w:spacing w:after="0"/>
              <w:rPr>
                <w:sz w:val="7"/>
                <w:szCs w:val="7"/>
                <w:color w:val="auto"/>
              </w:rPr>
            </w:pPr>
          </w:p>
        </w:tc>
        <w:tc>
          <w:tcPr>
            <w:tcW w:w="840" w:type="dxa"/>
            <w:vAlign w:val="bottom"/>
          </w:tcPr>
          <w:p>
            <w:pPr>
              <w:jc w:val="center"/>
              <w:ind w:left="152"/>
              <w:spacing w:after="0" w:line="90" w:lineRule="exact"/>
              <w:rPr>
                <w:sz w:val="20"/>
                <w:szCs w:val="20"/>
                <w:color w:val="auto"/>
              </w:rPr>
            </w:pPr>
            <w:r>
              <w:rPr>
                <w:rFonts w:ascii="Arial" w:cs="Arial" w:eastAsia="Arial" w:hAnsi="Arial"/>
                <w:sz w:val="10"/>
                <w:szCs w:val="10"/>
                <w:b w:val="1"/>
                <w:bCs w:val="1"/>
                <w:color w:val="auto"/>
                <w:w w:val="97"/>
              </w:rPr>
              <w:t>Services</w:t>
            </w:r>
          </w:p>
        </w:tc>
        <w:tc>
          <w:tcPr>
            <w:tcW w:w="3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jc w:val="center"/>
              <w:ind w:left="112"/>
              <w:spacing w:after="0" w:line="90" w:lineRule="exact"/>
              <w:rPr>
                <w:sz w:val="20"/>
                <w:szCs w:val="20"/>
                <w:color w:val="auto"/>
              </w:rPr>
            </w:pPr>
            <w:r>
              <w:rPr>
                <w:rFonts w:ascii="Arial" w:cs="Arial" w:eastAsia="Arial" w:hAnsi="Arial"/>
                <w:sz w:val="10"/>
                <w:szCs w:val="10"/>
                <w:b w:val="1"/>
                <w:bCs w:val="1"/>
                <w:color w:val="auto"/>
                <w:w w:val="95"/>
              </w:rPr>
              <w:t>(Income)</w:t>
            </w:r>
          </w:p>
        </w:tc>
        <w:tc>
          <w:tcPr>
            <w:tcW w:w="420" w:type="dxa"/>
            <w:vAlign w:val="bottom"/>
          </w:tcPr>
          <w:p>
            <w:pPr>
              <w:spacing w:after="0"/>
              <w:rPr>
                <w:sz w:val="7"/>
                <w:szCs w:val="7"/>
                <w:color w:val="auto"/>
              </w:rPr>
            </w:pPr>
          </w:p>
        </w:tc>
        <w:tc>
          <w:tcPr>
            <w:tcW w:w="1240" w:type="dxa"/>
            <w:vAlign w:val="bottom"/>
            <w:gridSpan w:val="2"/>
          </w:tcPr>
          <w:p>
            <w:pPr>
              <w:jc w:val="center"/>
              <w:ind w:right="172"/>
              <w:spacing w:after="0" w:line="90" w:lineRule="exact"/>
              <w:rPr>
                <w:sz w:val="20"/>
                <w:szCs w:val="20"/>
                <w:color w:val="auto"/>
              </w:rPr>
            </w:pPr>
            <w:r>
              <w:rPr>
                <w:rFonts w:ascii="Arial" w:cs="Arial" w:eastAsia="Arial" w:hAnsi="Arial"/>
                <w:sz w:val="10"/>
                <w:szCs w:val="10"/>
                <w:b w:val="1"/>
                <w:bCs w:val="1"/>
                <w:color w:val="auto"/>
                <w:w w:val="96"/>
              </w:rPr>
              <w:t>Other Financial</w:t>
            </w:r>
          </w:p>
        </w:tc>
        <w:tc>
          <w:tcPr>
            <w:tcW w:w="280" w:type="dxa"/>
            <w:vAlign w:val="bottom"/>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66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vMerge w:val="continue"/>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center"/>
              <w:ind w:left="132"/>
              <w:spacing w:after="0"/>
              <w:rPr>
                <w:sz w:val="20"/>
                <w:szCs w:val="20"/>
                <w:color w:val="auto"/>
              </w:rPr>
            </w:pPr>
            <w:r>
              <w:rPr>
                <w:rFonts w:ascii="Arial" w:cs="Arial" w:eastAsia="Arial" w:hAnsi="Arial"/>
                <w:sz w:val="10"/>
                <w:szCs w:val="10"/>
                <w:b w:val="1"/>
                <w:bCs w:val="1"/>
                <w:color w:val="auto"/>
                <w:w w:val="92"/>
              </w:rPr>
              <w:t>Sold</w:t>
            </w:r>
          </w:p>
        </w:tc>
        <w:tc>
          <w:tcPr>
            <w:tcW w:w="40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center"/>
              <w:ind w:left="152"/>
              <w:spacing w:after="0"/>
              <w:rPr>
                <w:sz w:val="20"/>
                <w:szCs w:val="20"/>
                <w:color w:val="auto"/>
              </w:rPr>
            </w:pPr>
            <w:r>
              <w:rPr>
                <w:rFonts w:ascii="Arial" w:cs="Arial" w:eastAsia="Arial" w:hAnsi="Arial"/>
                <w:sz w:val="10"/>
                <w:szCs w:val="10"/>
                <w:b w:val="1"/>
                <w:bCs w:val="1"/>
                <w:color w:val="auto"/>
                <w:w w:val="92"/>
              </w:rPr>
              <w:t>Sold</w:t>
            </w:r>
          </w:p>
        </w:tc>
        <w:tc>
          <w:tcPr>
            <w:tcW w:w="32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gridSpan w:val="2"/>
          </w:tcPr>
          <w:p>
            <w:pPr>
              <w:jc w:val="center"/>
              <w:ind w:right="132"/>
              <w:spacing w:after="0"/>
              <w:rPr>
                <w:sz w:val="20"/>
                <w:szCs w:val="20"/>
                <w:color w:val="auto"/>
              </w:rPr>
            </w:pPr>
            <w:r>
              <w:rPr>
                <w:rFonts w:ascii="Arial" w:cs="Arial" w:eastAsia="Arial" w:hAnsi="Arial"/>
                <w:sz w:val="10"/>
                <w:szCs w:val="10"/>
                <w:b w:val="1"/>
                <w:bCs w:val="1"/>
                <w:color w:val="auto"/>
                <w:w w:val="94"/>
              </w:rPr>
              <w:t>administrative expenses</w:t>
            </w:r>
          </w:p>
        </w:tc>
        <w:tc>
          <w:tcPr>
            <w:tcW w:w="760" w:type="dxa"/>
            <w:vAlign w:val="bottom"/>
            <w:tcBorders>
              <w:bottom w:val="single" w:sz="8" w:color="DC202E"/>
            </w:tcBorders>
          </w:tcPr>
          <w:p>
            <w:pPr>
              <w:jc w:val="center"/>
              <w:ind w:left="112"/>
              <w:spacing w:after="0"/>
              <w:rPr>
                <w:sz w:val="20"/>
                <w:szCs w:val="20"/>
                <w:color w:val="auto"/>
              </w:rPr>
            </w:pPr>
            <w:r>
              <w:rPr>
                <w:rFonts w:ascii="Arial" w:cs="Arial" w:eastAsia="Arial" w:hAnsi="Arial"/>
                <w:sz w:val="10"/>
                <w:szCs w:val="10"/>
                <w:b w:val="1"/>
                <w:bCs w:val="1"/>
                <w:color w:val="auto"/>
                <w:w w:val="97"/>
              </w:rPr>
              <w:t>Expense</w:t>
            </w: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center"/>
              <w:ind w:right="352"/>
              <w:spacing w:after="0"/>
              <w:rPr>
                <w:sz w:val="20"/>
                <w:szCs w:val="20"/>
                <w:color w:val="auto"/>
              </w:rPr>
            </w:pPr>
            <w:r>
              <w:rPr>
                <w:rFonts w:ascii="Arial" w:cs="Arial" w:eastAsia="Arial" w:hAnsi="Arial"/>
                <w:sz w:val="10"/>
                <w:szCs w:val="10"/>
                <w:b w:val="1"/>
                <w:bCs w:val="1"/>
                <w:color w:val="auto"/>
                <w:w w:val="94"/>
              </w:rPr>
              <w:t>Charges</w:t>
            </w:r>
          </w:p>
        </w:tc>
        <w:tc>
          <w:tcPr>
            <w:tcW w:w="280" w:type="dxa"/>
            <w:vAlign w:val="bottom"/>
            <w:tcBorders>
              <w:bottom w:val="single" w:sz="8" w:color="DC202E"/>
            </w:tcBorders>
          </w:tcPr>
          <w:p>
            <w:pPr>
              <w:spacing w:after="0"/>
              <w:rPr>
                <w:sz w:val="10"/>
                <w:szCs w:val="10"/>
                <w:color w:val="auto"/>
              </w:rPr>
            </w:pPr>
          </w:p>
        </w:tc>
        <w:tc>
          <w:tcPr>
            <w:tcW w:w="540" w:type="dxa"/>
            <w:vAlign w:val="bottom"/>
            <w:tcBorders>
              <w:bottom w:val="single" w:sz="8" w:color="DC202E"/>
            </w:tcBorders>
            <w:vMerge w:val="continue"/>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Amortization of Pension and Other Postretirement Items:</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Actuarial losses recognized</w:t>
            </w:r>
          </w:p>
        </w:tc>
        <w:tc>
          <w:tcPr>
            <w:tcW w:w="960" w:type="dxa"/>
            <w:vAlign w:val="bottom"/>
            <w:tcBorders>
              <w:bottom w:val="single" w:sz="8" w:color="939598"/>
            </w:tcBorders>
          </w:tcPr>
          <w:p>
            <w:pPr>
              <w:jc w:val="right"/>
              <w:ind w:right="63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59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jc w:val="right"/>
              <w:ind w:right="6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939598"/>
            </w:tcBorders>
          </w:tcPr>
          <w:p>
            <w:pPr>
              <w:jc w:val="right"/>
              <w:ind w:right="7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w w:val="79"/>
              </w:rPr>
              <w:t>—</w:t>
            </w:r>
          </w:p>
        </w:tc>
        <w:tc>
          <w:tcPr>
            <w:tcW w:w="760" w:type="dxa"/>
            <w:vAlign w:val="bottom"/>
            <w:tcBorders>
              <w:bottom w:val="single" w:sz="8" w:color="939598"/>
            </w:tcBorders>
          </w:tcPr>
          <w:p>
            <w:pPr>
              <w:jc w:val="right"/>
              <w:ind w:right="59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center"/>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w w:val="79"/>
              </w:rPr>
              <w:t>—</w:t>
            </w: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(116)</w:t>
            </w:r>
          </w:p>
        </w:tc>
        <w:tc>
          <w:tcPr>
            <w:tcW w:w="22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Losses (gains) on cash flow hedges</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(5)</w:t>
            </w: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w:t>
            </w:r>
          </w:p>
        </w:tc>
        <w:tc>
          <w:tcPr>
            <w:tcW w:w="8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w:t>
            </w: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w w:val="97"/>
              </w:rPr>
              <w:t>(9)</w:t>
            </w: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91"/>
        </w:trPr>
        <w:tc>
          <w:tcPr>
            <w:tcW w:w="2660" w:type="dxa"/>
            <w:vAlign w:val="bottom"/>
          </w:tcPr>
          <w:p>
            <w:pPr>
              <w:spacing w:after="0" w:line="92" w:lineRule="exact"/>
              <w:rPr>
                <w:sz w:val="20"/>
                <w:szCs w:val="20"/>
                <w:color w:val="auto"/>
              </w:rPr>
            </w:pPr>
            <w:r>
              <w:rPr>
                <w:rFonts w:ascii="Arial" w:cs="Arial" w:eastAsia="Arial" w:hAnsi="Arial"/>
                <w:sz w:val="10"/>
                <w:szCs w:val="10"/>
                <w:color w:val="auto"/>
              </w:rPr>
              <w:t>Losses (gains) on excluded component of net investment</w:t>
            </w:r>
          </w:p>
        </w:tc>
        <w:tc>
          <w:tcPr>
            <w:tcW w:w="960" w:type="dxa"/>
            <w:vAlign w:val="bottom"/>
          </w:tcPr>
          <w:p>
            <w:pPr>
              <w:spacing w:after="0"/>
              <w:rPr>
                <w:sz w:val="7"/>
                <w:szCs w:val="7"/>
                <w:color w:val="auto"/>
              </w:rPr>
            </w:pPr>
          </w:p>
        </w:tc>
        <w:tc>
          <w:tcPr>
            <w:tcW w:w="38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4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840" w:type="dxa"/>
            <w:vAlign w:val="bottom"/>
          </w:tcPr>
          <w:p>
            <w:pPr>
              <w:spacing w:after="0"/>
              <w:rPr>
                <w:sz w:val="7"/>
                <w:szCs w:val="7"/>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1060" w:type="dxa"/>
            <w:vAlign w:val="bottom"/>
          </w:tcPr>
          <w:p>
            <w:pPr>
              <w:spacing w:after="0"/>
              <w:rPr>
                <w:sz w:val="7"/>
                <w:szCs w:val="7"/>
                <w:color w:val="auto"/>
              </w:rPr>
            </w:pPr>
          </w:p>
        </w:tc>
        <w:tc>
          <w:tcPr>
            <w:tcW w:w="300" w:type="dxa"/>
            <w:vAlign w:val="bottom"/>
            <w:vMerge w:val="restart"/>
          </w:tcPr>
          <w:p>
            <w:pPr>
              <w:jc w:val="right"/>
              <w:ind w:right="152"/>
              <w:spacing w:after="0"/>
              <w:rPr>
                <w:sz w:val="20"/>
                <w:szCs w:val="20"/>
                <w:color w:val="auto"/>
              </w:rPr>
            </w:pPr>
            <w:r>
              <w:rPr>
                <w:rFonts w:ascii="Arial" w:cs="Arial" w:eastAsia="Arial" w:hAnsi="Arial"/>
                <w:sz w:val="10"/>
                <w:szCs w:val="10"/>
                <w:color w:val="auto"/>
                <w:w w:val="79"/>
              </w:rPr>
              <w:t>—</w:t>
            </w:r>
          </w:p>
        </w:tc>
        <w:tc>
          <w:tcPr>
            <w:tcW w:w="760" w:type="dxa"/>
            <w:vAlign w:val="bottom"/>
          </w:tcPr>
          <w:p>
            <w:pPr>
              <w:spacing w:after="0"/>
              <w:rPr>
                <w:sz w:val="7"/>
                <w:szCs w:val="7"/>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7"/>
                <w:szCs w:val="7"/>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color w:val="auto"/>
              </w:rPr>
              <w:t>(16)</w:t>
            </w: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14"/>
        </w:trPr>
        <w:tc>
          <w:tcPr>
            <w:tcW w:w="2660" w:type="dxa"/>
            <w:vAlign w:val="bottom"/>
            <w:tcBorders>
              <w:bottom w:val="single" w:sz="8" w:color="DC202E"/>
            </w:tcBorders>
          </w:tcPr>
          <w:p>
            <w:pPr>
              <w:spacing w:after="0" w:line="114" w:lineRule="exact"/>
              <w:rPr>
                <w:sz w:val="20"/>
                <w:szCs w:val="20"/>
                <w:color w:val="auto"/>
              </w:rPr>
            </w:pPr>
            <w:r>
              <w:rPr>
                <w:rFonts w:ascii="Arial" w:cs="Arial" w:eastAsia="Arial" w:hAnsi="Arial"/>
                <w:sz w:val="10"/>
                <w:szCs w:val="10"/>
                <w:color w:val="auto"/>
              </w:rPr>
              <w:t>hedges</w:t>
            </w:r>
          </w:p>
        </w:tc>
        <w:tc>
          <w:tcPr>
            <w:tcW w:w="960" w:type="dxa"/>
            <w:vAlign w:val="bottom"/>
            <w:tcBorders>
              <w:bottom w:val="single" w:sz="8" w:color="DC202E"/>
            </w:tcBorders>
          </w:tcPr>
          <w:p>
            <w:pPr>
              <w:spacing w:after="0"/>
              <w:rPr>
                <w:sz w:val="9"/>
                <w:szCs w:val="9"/>
                <w:color w:val="auto"/>
              </w:rPr>
            </w:pPr>
          </w:p>
        </w:tc>
        <w:tc>
          <w:tcPr>
            <w:tcW w:w="380" w:type="dxa"/>
            <w:vAlign w:val="bottom"/>
            <w:tcBorders>
              <w:bottom w:val="single" w:sz="8" w:color="DC202E"/>
            </w:tcBorders>
            <w:vMerge w:val="continue"/>
          </w:tcPr>
          <w:p>
            <w:pPr>
              <w:spacing w:after="0"/>
              <w:rPr>
                <w:sz w:val="9"/>
                <w:szCs w:val="9"/>
                <w:color w:val="auto"/>
              </w:rPr>
            </w:pPr>
          </w:p>
        </w:tc>
        <w:tc>
          <w:tcPr>
            <w:tcW w:w="820" w:type="dxa"/>
            <w:vAlign w:val="bottom"/>
            <w:tcBorders>
              <w:bottom w:val="single" w:sz="8" w:color="DC202E"/>
            </w:tcBorders>
          </w:tcPr>
          <w:p>
            <w:pPr>
              <w:spacing w:after="0"/>
              <w:rPr>
                <w:sz w:val="9"/>
                <w:szCs w:val="9"/>
                <w:color w:val="auto"/>
              </w:rPr>
            </w:pPr>
          </w:p>
        </w:tc>
        <w:tc>
          <w:tcPr>
            <w:tcW w:w="400" w:type="dxa"/>
            <w:vAlign w:val="bottom"/>
            <w:tcBorders>
              <w:bottom w:val="single" w:sz="8" w:color="DC202E"/>
            </w:tcBorders>
            <w:vMerge w:val="continue"/>
          </w:tcPr>
          <w:p>
            <w:pPr>
              <w:spacing w:after="0"/>
              <w:rPr>
                <w:sz w:val="9"/>
                <w:szCs w:val="9"/>
                <w:color w:val="auto"/>
              </w:rPr>
            </w:pPr>
          </w:p>
        </w:tc>
        <w:tc>
          <w:tcPr>
            <w:tcW w:w="840" w:type="dxa"/>
            <w:vAlign w:val="bottom"/>
            <w:tcBorders>
              <w:bottom w:val="single" w:sz="8" w:color="DC202E"/>
            </w:tcBorders>
          </w:tcPr>
          <w:p>
            <w:pPr>
              <w:spacing w:after="0"/>
              <w:rPr>
                <w:sz w:val="9"/>
                <w:szCs w:val="9"/>
                <w:color w:val="auto"/>
              </w:rPr>
            </w:pPr>
          </w:p>
        </w:tc>
        <w:tc>
          <w:tcPr>
            <w:tcW w:w="320" w:type="dxa"/>
            <w:vAlign w:val="bottom"/>
            <w:tcBorders>
              <w:bottom w:val="single" w:sz="8" w:color="DC202E"/>
            </w:tcBorders>
            <w:vMerge w:val="continue"/>
          </w:tcPr>
          <w:p>
            <w:pPr>
              <w:spacing w:after="0"/>
              <w:rPr>
                <w:sz w:val="9"/>
                <w:szCs w:val="9"/>
                <w:color w:val="auto"/>
              </w:rPr>
            </w:pPr>
          </w:p>
        </w:tc>
        <w:tc>
          <w:tcPr>
            <w:tcW w:w="1060" w:type="dxa"/>
            <w:vAlign w:val="bottom"/>
            <w:tcBorders>
              <w:bottom w:val="single" w:sz="8" w:color="DC202E"/>
            </w:tcBorders>
          </w:tcPr>
          <w:p>
            <w:pPr>
              <w:spacing w:after="0"/>
              <w:rPr>
                <w:sz w:val="9"/>
                <w:szCs w:val="9"/>
                <w:color w:val="auto"/>
              </w:rPr>
            </w:pPr>
          </w:p>
        </w:tc>
        <w:tc>
          <w:tcPr>
            <w:tcW w:w="300" w:type="dxa"/>
            <w:vAlign w:val="bottom"/>
            <w:tcBorders>
              <w:bottom w:val="single" w:sz="8" w:color="DC202E"/>
            </w:tcBorders>
            <w:vMerge w:val="continue"/>
          </w:tcPr>
          <w:p>
            <w:pPr>
              <w:spacing w:after="0"/>
              <w:rPr>
                <w:sz w:val="9"/>
                <w:szCs w:val="9"/>
                <w:color w:val="auto"/>
              </w:rPr>
            </w:pPr>
          </w:p>
        </w:tc>
        <w:tc>
          <w:tcPr>
            <w:tcW w:w="760" w:type="dxa"/>
            <w:vAlign w:val="bottom"/>
            <w:tcBorders>
              <w:bottom w:val="single" w:sz="8" w:color="DC202E"/>
            </w:tcBorders>
          </w:tcPr>
          <w:p>
            <w:pPr>
              <w:spacing w:after="0"/>
              <w:rPr>
                <w:sz w:val="9"/>
                <w:szCs w:val="9"/>
                <w:color w:val="auto"/>
              </w:rPr>
            </w:pPr>
          </w:p>
        </w:tc>
        <w:tc>
          <w:tcPr>
            <w:tcW w:w="420" w:type="dxa"/>
            <w:vAlign w:val="bottom"/>
            <w:tcBorders>
              <w:bottom w:val="single" w:sz="8" w:color="DC202E"/>
            </w:tcBorders>
            <w:vMerge w:val="continue"/>
          </w:tcPr>
          <w:p>
            <w:pPr>
              <w:spacing w:after="0"/>
              <w:rPr>
                <w:sz w:val="9"/>
                <w:szCs w:val="9"/>
                <w:color w:val="auto"/>
              </w:rPr>
            </w:pPr>
          </w:p>
        </w:tc>
        <w:tc>
          <w:tcPr>
            <w:tcW w:w="220" w:type="dxa"/>
            <w:vAlign w:val="bottom"/>
            <w:tcBorders>
              <w:bottom w:val="single" w:sz="8" w:color="DC202E"/>
            </w:tcBorders>
          </w:tcPr>
          <w:p>
            <w:pPr>
              <w:spacing w:after="0"/>
              <w:rPr>
                <w:sz w:val="9"/>
                <w:szCs w:val="9"/>
                <w:color w:val="auto"/>
              </w:rPr>
            </w:pPr>
          </w:p>
        </w:tc>
        <w:tc>
          <w:tcPr>
            <w:tcW w:w="1020" w:type="dxa"/>
            <w:vAlign w:val="bottom"/>
            <w:tcBorders>
              <w:bottom w:val="single" w:sz="8" w:color="DC202E"/>
            </w:tcBorders>
            <w:vMerge w:val="continue"/>
          </w:tcPr>
          <w:p>
            <w:pPr>
              <w:spacing w:after="0"/>
              <w:rPr>
                <w:sz w:val="9"/>
                <w:szCs w:val="9"/>
                <w:color w:val="auto"/>
              </w:rPr>
            </w:pPr>
          </w:p>
        </w:tc>
        <w:tc>
          <w:tcPr>
            <w:tcW w:w="280" w:type="dxa"/>
            <w:vAlign w:val="bottom"/>
            <w:tcBorders>
              <w:bottom w:val="single" w:sz="8" w:color="DC202E"/>
            </w:tcBorders>
          </w:tcPr>
          <w:p>
            <w:pPr>
              <w:spacing w:after="0"/>
              <w:rPr>
                <w:sz w:val="9"/>
                <w:szCs w:val="9"/>
                <w:color w:val="auto"/>
              </w:rPr>
            </w:pPr>
          </w:p>
        </w:tc>
        <w:tc>
          <w:tcPr>
            <w:tcW w:w="540" w:type="dxa"/>
            <w:vAlign w:val="bottom"/>
            <w:tcBorders>
              <w:bottom w:val="single" w:sz="8" w:color="DC202E"/>
            </w:tcBorders>
          </w:tcPr>
          <w:p>
            <w:pPr>
              <w:spacing w:after="0"/>
              <w:rPr>
                <w:sz w:val="9"/>
                <w:szCs w:val="9"/>
                <w:color w:val="auto"/>
              </w:rPr>
            </w:pPr>
          </w:p>
        </w:tc>
        <w:tc>
          <w:tcPr>
            <w:tcW w:w="320" w:type="dxa"/>
            <w:vAlign w:val="bottom"/>
            <w:tcBorders>
              <w:bottom w:val="single" w:sz="8" w:color="DC202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before tax</w:t>
            </w:r>
          </w:p>
        </w:tc>
        <w:tc>
          <w:tcPr>
            <w:tcW w:w="960" w:type="dxa"/>
            <w:vAlign w:val="bottom"/>
            <w:tcBorders>
              <w:bottom w:val="single" w:sz="8" w:color="DC202E"/>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(5)</w:t>
            </w:r>
          </w:p>
        </w:tc>
        <w:tc>
          <w:tcPr>
            <w:tcW w:w="82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(8)</w:t>
            </w:r>
          </w:p>
        </w:tc>
        <w:tc>
          <w:tcPr>
            <w:tcW w:w="840" w:type="dxa"/>
            <w:vAlign w:val="bottom"/>
            <w:tcBorders>
              <w:bottom w:val="single" w:sz="8" w:color="DC202E"/>
            </w:tcBorders>
          </w:tcPr>
          <w:p>
            <w:pPr>
              <w:jc w:val="right"/>
              <w:ind w:right="61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w:t>
            </w:r>
          </w:p>
        </w:tc>
        <w:tc>
          <w:tcPr>
            <w:tcW w:w="1060" w:type="dxa"/>
            <w:vAlign w:val="bottom"/>
            <w:tcBorders>
              <w:bottom w:val="single" w:sz="8" w:color="DC202E"/>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7"/>
              </w:rPr>
              <w:t>(9)</w:t>
            </w:r>
          </w:p>
        </w:tc>
        <w:tc>
          <w:tcPr>
            <w:tcW w:w="76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(109)</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(16)</w:t>
            </w:r>
          </w:p>
        </w:tc>
        <w:tc>
          <w:tcPr>
            <w:tcW w:w="280" w:type="dxa"/>
            <w:vAlign w:val="bottom"/>
            <w:tcBorders>
              <w:bottom w:val="single" w:sz="8" w:color="DC202E"/>
            </w:tcBorders>
          </w:tcPr>
          <w:p>
            <w:pPr>
              <w:jc w:val="center"/>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(149)</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Tax expense (benefit)</w:t>
            </w: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5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35</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center"/>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(114)</w:t>
            </w:r>
          </w:p>
        </w:tc>
        <w:tc>
          <w:tcPr>
            <w:tcW w:w="0" w:type="dxa"/>
            <w:vAlign w:val="bottom"/>
          </w:tcPr>
          <w:p>
            <w:pPr>
              <w:spacing w:after="0"/>
              <w:rPr>
                <w:sz w:val="1"/>
                <w:szCs w:val="1"/>
                <w:color w:val="auto"/>
              </w:rPr>
            </w:pPr>
          </w:p>
        </w:tc>
      </w:tr>
      <w:tr>
        <w:trPr>
          <w:trHeight w:val="304"/>
        </w:trPr>
        <w:tc>
          <w:tcPr>
            <w:tcW w:w="2660" w:type="dxa"/>
            <w:vAlign w:val="bottom"/>
          </w:tcPr>
          <w:p>
            <w:pPr>
              <w:spacing w:after="0"/>
              <w:rPr>
                <w:sz w:val="24"/>
                <w:szCs w:val="24"/>
                <w:color w:val="auto"/>
              </w:rPr>
            </w:pPr>
          </w:p>
        </w:tc>
        <w:tc>
          <w:tcPr>
            <w:tcW w:w="960" w:type="dxa"/>
            <w:vAlign w:val="bottom"/>
            <w:tcBorders>
              <w:bottom w:val="single" w:sz="8" w:color="DC202E"/>
            </w:tcBorders>
          </w:tcPr>
          <w:p>
            <w:pPr>
              <w:spacing w:after="0"/>
              <w:rPr>
                <w:sz w:val="24"/>
                <w:szCs w:val="24"/>
                <w:color w:val="auto"/>
              </w:rPr>
            </w:pPr>
          </w:p>
        </w:tc>
        <w:tc>
          <w:tcPr>
            <w:tcW w:w="380" w:type="dxa"/>
            <w:vAlign w:val="bottom"/>
            <w:tcBorders>
              <w:bottom w:val="single" w:sz="8" w:color="DC202E"/>
            </w:tcBorders>
          </w:tcPr>
          <w:p>
            <w:pPr>
              <w:spacing w:after="0"/>
              <w:rPr>
                <w:sz w:val="24"/>
                <w:szCs w:val="24"/>
                <w:color w:val="auto"/>
              </w:rPr>
            </w:pPr>
          </w:p>
        </w:tc>
        <w:tc>
          <w:tcPr>
            <w:tcW w:w="820" w:type="dxa"/>
            <w:vAlign w:val="bottom"/>
            <w:tcBorders>
              <w:bottom w:val="single" w:sz="8" w:color="DC202E"/>
            </w:tcBorders>
          </w:tcPr>
          <w:p>
            <w:pPr>
              <w:spacing w:after="0"/>
              <w:rPr>
                <w:sz w:val="24"/>
                <w:szCs w:val="24"/>
                <w:color w:val="auto"/>
              </w:rPr>
            </w:pPr>
          </w:p>
        </w:tc>
        <w:tc>
          <w:tcPr>
            <w:tcW w:w="400" w:type="dxa"/>
            <w:vAlign w:val="bottom"/>
            <w:tcBorders>
              <w:bottom w:val="single" w:sz="8" w:color="DC202E"/>
            </w:tcBorders>
          </w:tcPr>
          <w:p>
            <w:pPr>
              <w:spacing w:after="0"/>
              <w:rPr>
                <w:sz w:val="24"/>
                <w:szCs w:val="24"/>
                <w:color w:val="auto"/>
              </w:rPr>
            </w:pPr>
          </w:p>
        </w:tc>
        <w:tc>
          <w:tcPr>
            <w:tcW w:w="840" w:type="dxa"/>
            <w:vAlign w:val="bottom"/>
            <w:tcBorders>
              <w:bottom w:val="single" w:sz="8" w:color="DC202E"/>
            </w:tcBorders>
          </w:tcPr>
          <w:p>
            <w:pPr>
              <w:spacing w:after="0"/>
              <w:rPr>
                <w:sz w:val="24"/>
                <w:szCs w:val="24"/>
                <w:color w:val="auto"/>
              </w:rPr>
            </w:pPr>
          </w:p>
        </w:tc>
        <w:tc>
          <w:tcPr>
            <w:tcW w:w="1680" w:type="dxa"/>
            <w:vAlign w:val="bottom"/>
            <w:tcBorders>
              <w:bottom w:val="single" w:sz="8" w:color="DC202E"/>
            </w:tcBorders>
            <w:gridSpan w:val="3"/>
          </w:tcPr>
          <w:p>
            <w:pPr>
              <w:jc w:val="center"/>
              <w:ind w:left="92"/>
              <w:spacing w:after="0"/>
              <w:rPr>
                <w:sz w:val="20"/>
                <w:szCs w:val="20"/>
                <w:color w:val="auto"/>
              </w:rPr>
            </w:pPr>
            <w:r>
              <w:rPr>
                <w:rFonts w:ascii="Arial" w:cs="Arial" w:eastAsia="Arial" w:hAnsi="Arial"/>
                <w:sz w:val="10"/>
                <w:szCs w:val="10"/>
                <w:b w:val="1"/>
                <w:bCs w:val="1"/>
                <w:color w:val="auto"/>
                <w:w w:val="96"/>
              </w:rPr>
              <w:t>Year Ended December 31, 2020</w:t>
            </w:r>
          </w:p>
        </w:tc>
        <w:tc>
          <w:tcPr>
            <w:tcW w:w="760" w:type="dxa"/>
            <w:vAlign w:val="bottom"/>
            <w:tcBorders>
              <w:bottom w:val="single" w:sz="8" w:color="DC202E"/>
            </w:tcBorders>
          </w:tcPr>
          <w:p>
            <w:pPr>
              <w:spacing w:after="0"/>
              <w:rPr>
                <w:sz w:val="24"/>
                <w:szCs w:val="24"/>
                <w:color w:val="auto"/>
              </w:rPr>
            </w:pPr>
          </w:p>
        </w:tc>
        <w:tc>
          <w:tcPr>
            <w:tcW w:w="420" w:type="dxa"/>
            <w:vAlign w:val="bottom"/>
            <w:tcBorders>
              <w:bottom w:val="single" w:sz="8" w:color="DC202E"/>
            </w:tcBorders>
          </w:tcPr>
          <w:p>
            <w:pPr>
              <w:spacing w:after="0"/>
              <w:rPr>
                <w:sz w:val="24"/>
                <w:szCs w:val="24"/>
                <w:color w:val="auto"/>
              </w:rPr>
            </w:pPr>
          </w:p>
        </w:tc>
        <w:tc>
          <w:tcPr>
            <w:tcW w:w="220" w:type="dxa"/>
            <w:vAlign w:val="bottom"/>
            <w:tcBorders>
              <w:bottom w:val="single" w:sz="8" w:color="DC202E"/>
            </w:tcBorders>
          </w:tcPr>
          <w:p>
            <w:pPr>
              <w:spacing w:after="0"/>
              <w:rPr>
                <w:sz w:val="24"/>
                <w:szCs w:val="24"/>
                <w:color w:val="auto"/>
              </w:rPr>
            </w:pPr>
          </w:p>
        </w:tc>
        <w:tc>
          <w:tcPr>
            <w:tcW w:w="1020" w:type="dxa"/>
            <w:vAlign w:val="bottom"/>
            <w:tcBorders>
              <w:bottom w:val="single" w:sz="8" w:color="DC202E"/>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c>
          <w:tcPr>
            <w:tcW w:w="540" w:type="dxa"/>
            <w:vAlign w:val="bottom"/>
            <w:tcBorders>
              <w:bottom w:val="single" w:sz="8" w:color="DC202E"/>
            </w:tcBorders>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80" w:type="dxa"/>
            <w:vAlign w:val="bottom"/>
            <w:gridSpan w:val="5"/>
          </w:tcPr>
          <w:p>
            <w:pPr>
              <w:jc w:val="center"/>
              <w:ind w:left="172"/>
              <w:spacing w:after="0"/>
              <w:rPr>
                <w:sz w:val="20"/>
                <w:szCs w:val="20"/>
                <w:color w:val="auto"/>
              </w:rPr>
            </w:pPr>
            <w:r>
              <w:rPr>
                <w:rFonts w:ascii="Arial" w:cs="Arial" w:eastAsia="Arial" w:hAnsi="Arial"/>
                <w:sz w:val="10"/>
                <w:szCs w:val="10"/>
                <w:b w:val="1"/>
                <w:bCs w:val="1"/>
                <w:color w:val="auto"/>
                <w:w w:val="95"/>
              </w:rPr>
              <w:t>Affected Line in the Consolidated Statement of Operations</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960" w:type="dxa"/>
            <w:vAlign w:val="bottom"/>
            <w:tcBorders>
              <w:bottom w:val="single" w:sz="8" w:color="DC202E"/>
            </w:tcBorders>
          </w:tcPr>
          <w:p>
            <w:pPr>
              <w:spacing w:after="0"/>
              <w:rPr>
                <w:sz w:val="2"/>
                <w:szCs w:val="2"/>
                <w:color w:val="auto"/>
              </w:rPr>
            </w:pPr>
          </w:p>
        </w:tc>
        <w:tc>
          <w:tcPr>
            <w:tcW w:w="380" w:type="dxa"/>
            <w:vAlign w:val="bottom"/>
            <w:tcBorders>
              <w:bottom w:val="single" w:sz="8" w:color="DC202E"/>
            </w:tcBorders>
          </w:tcPr>
          <w:p>
            <w:pPr>
              <w:spacing w:after="0"/>
              <w:rPr>
                <w:sz w:val="2"/>
                <w:szCs w:val="2"/>
                <w:color w:val="auto"/>
              </w:rPr>
            </w:pPr>
          </w:p>
        </w:tc>
        <w:tc>
          <w:tcPr>
            <w:tcW w:w="820" w:type="dxa"/>
            <w:vAlign w:val="bottom"/>
            <w:tcBorders>
              <w:bottom w:val="single" w:sz="8" w:color="DC202E"/>
            </w:tcBorders>
          </w:tcPr>
          <w:p>
            <w:pPr>
              <w:spacing w:after="0"/>
              <w:rPr>
                <w:sz w:val="2"/>
                <w:szCs w:val="2"/>
                <w:color w:val="auto"/>
              </w:rPr>
            </w:pPr>
          </w:p>
        </w:tc>
        <w:tc>
          <w:tcPr>
            <w:tcW w:w="400" w:type="dxa"/>
            <w:vAlign w:val="bottom"/>
            <w:tcBorders>
              <w:bottom w:val="single" w:sz="8" w:color="DC202E"/>
            </w:tcBorders>
          </w:tcPr>
          <w:p>
            <w:pPr>
              <w:spacing w:after="0"/>
              <w:rPr>
                <w:sz w:val="2"/>
                <w:szCs w:val="2"/>
                <w:color w:val="auto"/>
              </w:rPr>
            </w:pPr>
          </w:p>
        </w:tc>
        <w:tc>
          <w:tcPr>
            <w:tcW w:w="840" w:type="dxa"/>
            <w:vAlign w:val="bottom"/>
            <w:tcBorders>
              <w:bottom w:val="single" w:sz="8" w:color="DC202E"/>
            </w:tcBorders>
          </w:tcPr>
          <w:p>
            <w:pPr>
              <w:spacing w:after="0"/>
              <w:rPr>
                <w:sz w:val="2"/>
                <w:szCs w:val="2"/>
                <w:color w:val="auto"/>
              </w:rPr>
            </w:pPr>
          </w:p>
        </w:tc>
        <w:tc>
          <w:tcPr>
            <w:tcW w:w="320" w:type="dxa"/>
            <w:vAlign w:val="bottom"/>
            <w:tcBorders>
              <w:bottom w:val="single" w:sz="8" w:color="DC202E"/>
            </w:tcBorders>
          </w:tcPr>
          <w:p>
            <w:pPr>
              <w:spacing w:after="0"/>
              <w:rPr>
                <w:sz w:val="2"/>
                <w:szCs w:val="2"/>
                <w:color w:val="auto"/>
              </w:rPr>
            </w:pPr>
          </w:p>
        </w:tc>
        <w:tc>
          <w:tcPr>
            <w:tcW w:w="1060" w:type="dxa"/>
            <w:vAlign w:val="bottom"/>
            <w:tcBorders>
              <w:bottom w:val="single" w:sz="8" w:color="DC202E"/>
            </w:tcBorders>
          </w:tcPr>
          <w:p>
            <w:pPr>
              <w:spacing w:after="0"/>
              <w:rPr>
                <w:sz w:val="2"/>
                <w:szCs w:val="2"/>
                <w:color w:val="auto"/>
              </w:rPr>
            </w:pPr>
          </w:p>
        </w:tc>
        <w:tc>
          <w:tcPr>
            <w:tcW w:w="300" w:type="dxa"/>
            <w:vAlign w:val="bottom"/>
            <w:tcBorders>
              <w:bottom w:val="single" w:sz="8" w:color="DC202E"/>
            </w:tcBorders>
          </w:tcPr>
          <w:p>
            <w:pPr>
              <w:spacing w:after="0"/>
              <w:rPr>
                <w:sz w:val="2"/>
                <w:szCs w:val="2"/>
                <w:color w:val="auto"/>
              </w:rPr>
            </w:pPr>
          </w:p>
        </w:tc>
        <w:tc>
          <w:tcPr>
            <w:tcW w:w="760" w:type="dxa"/>
            <w:vAlign w:val="bottom"/>
            <w:tcBorders>
              <w:bottom w:val="single" w:sz="8" w:color="DC202E"/>
            </w:tcBorders>
          </w:tcPr>
          <w:p>
            <w:pPr>
              <w:spacing w:after="0"/>
              <w:rPr>
                <w:sz w:val="2"/>
                <w:szCs w:val="2"/>
                <w:color w:val="auto"/>
              </w:rPr>
            </w:pPr>
          </w:p>
        </w:tc>
        <w:tc>
          <w:tcPr>
            <w:tcW w:w="420" w:type="dxa"/>
            <w:vAlign w:val="bottom"/>
            <w:tcBorders>
              <w:bottom w:val="single" w:sz="8" w:color="DC202E"/>
            </w:tcBorders>
          </w:tcPr>
          <w:p>
            <w:pPr>
              <w:spacing w:after="0"/>
              <w:rPr>
                <w:sz w:val="2"/>
                <w:szCs w:val="2"/>
                <w:color w:val="auto"/>
              </w:rPr>
            </w:pPr>
          </w:p>
        </w:tc>
        <w:tc>
          <w:tcPr>
            <w:tcW w:w="220" w:type="dxa"/>
            <w:vAlign w:val="bottom"/>
            <w:tcBorders>
              <w:bottom w:val="single" w:sz="8" w:color="DC202E"/>
            </w:tcBorders>
          </w:tcPr>
          <w:p>
            <w:pPr>
              <w:spacing w:after="0"/>
              <w:rPr>
                <w:sz w:val="2"/>
                <w:szCs w:val="2"/>
                <w:color w:val="auto"/>
              </w:rPr>
            </w:pPr>
          </w:p>
        </w:tc>
        <w:tc>
          <w:tcPr>
            <w:tcW w:w="1020" w:type="dxa"/>
            <w:vAlign w:val="bottom"/>
            <w:tcBorders>
              <w:bottom w:val="single" w:sz="8" w:color="DC202E"/>
            </w:tcBorders>
          </w:tcPr>
          <w:p>
            <w:pPr>
              <w:spacing w:after="0"/>
              <w:rPr>
                <w:sz w:val="2"/>
                <w:szCs w:val="2"/>
                <w:color w:val="auto"/>
              </w:rPr>
            </w:pPr>
          </w:p>
        </w:tc>
        <w:tc>
          <w:tcPr>
            <w:tcW w:w="280" w:type="dxa"/>
            <w:vAlign w:val="bottom"/>
            <w:tcBorders>
              <w:bottom w:val="single" w:sz="8" w:color="DC202E"/>
            </w:tcBorders>
          </w:tcPr>
          <w:p>
            <w:pPr>
              <w:spacing w:after="0"/>
              <w:rPr>
                <w:sz w:val="2"/>
                <w:szCs w:val="2"/>
                <w:color w:val="auto"/>
              </w:rPr>
            </w:pPr>
          </w:p>
        </w:tc>
        <w:tc>
          <w:tcPr>
            <w:tcW w:w="540" w:type="dxa"/>
            <w:vAlign w:val="bottom"/>
            <w:tcBorders>
              <w:bottom w:val="single" w:sz="8" w:color="DC202E"/>
            </w:tcBorders>
          </w:tcPr>
          <w:p>
            <w:pPr>
              <w:spacing w:after="0"/>
              <w:rPr>
                <w:sz w:val="2"/>
                <w:szCs w:val="2"/>
                <w:color w:val="auto"/>
              </w:rPr>
            </w:pPr>
          </w:p>
        </w:tc>
        <w:tc>
          <w:tcPr>
            <w:tcW w:w="320" w:type="dxa"/>
            <w:vAlign w:val="bottom"/>
            <w:tcBorders>
              <w:bottom w:val="single" w:sz="8" w:color="DC202E"/>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center"/>
              <w:ind w:left="152"/>
              <w:spacing w:after="0"/>
              <w:rPr>
                <w:sz w:val="20"/>
                <w:szCs w:val="20"/>
                <w:color w:val="auto"/>
              </w:rPr>
            </w:pPr>
            <w:r>
              <w:rPr>
                <w:rFonts w:ascii="Arial" w:cs="Arial" w:eastAsia="Arial" w:hAnsi="Arial"/>
                <w:sz w:val="10"/>
                <w:szCs w:val="10"/>
                <w:b w:val="1"/>
                <w:bCs w:val="1"/>
                <w:color w:val="auto"/>
                <w:w w:val="98"/>
              </w:rPr>
              <w:t>Cost of</w:t>
            </w:r>
          </w:p>
        </w:tc>
        <w:tc>
          <w:tcPr>
            <w:tcW w:w="400" w:type="dxa"/>
            <w:vAlign w:val="bottom"/>
          </w:tcPr>
          <w:p>
            <w:pPr>
              <w:spacing w:after="0"/>
              <w:rPr>
                <w:sz w:val="10"/>
                <w:szCs w:val="10"/>
                <w:color w:val="auto"/>
              </w:rPr>
            </w:pPr>
          </w:p>
        </w:tc>
        <w:tc>
          <w:tcPr>
            <w:tcW w:w="840" w:type="dxa"/>
            <w:vAlign w:val="bottom"/>
            <w:vMerge w:val="restart"/>
          </w:tcPr>
          <w:p>
            <w:pPr>
              <w:jc w:val="center"/>
              <w:ind w:left="152"/>
              <w:spacing w:after="0"/>
              <w:rPr>
                <w:sz w:val="20"/>
                <w:szCs w:val="20"/>
                <w:color w:val="auto"/>
              </w:rPr>
            </w:pPr>
            <w:r>
              <w:rPr>
                <w:rFonts w:ascii="Arial" w:cs="Arial" w:eastAsia="Arial" w:hAnsi="Arial"/>
                <w:sz w:val="10"/>
                <w:szCs w:val="10"/>
                <w:b w:val="1"/>
                <w:bCs w:val="1"/>
                <w:color w:val="auto"/>
                <w:w w:val="92"/>
              </w:rPr>
              <w:t>Cost of</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center"/>
              <w:ind w:left="132"/>
              <w:spacing w:after="0"/>
              <w:rPr>
                <w:sz w:val="20"/>
                <w:szCs w:val="20"/>
                <w:color w:val="auto"/>
              </w:rPr>
            </w:pPr>
            <w:r>
              <w:rPr>
                <w:rFonts w:ascii="Arial" w:cs="Arial" w:eastAsia="Arial" w:hAnsi="Arial"/>
                <w:sz w:val="10"/>
                <w:szCs w:val="10"/>
                <w:b w:val="1"/>
                <w:bCs w:val="1"/>
                <w:color w:val="auto"/>
                <w:w w:val="97"/>
              </w:rPr>
              <w:t>Other</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ind w:right="392"/>
              <w:spacing w:after="0"/>
              <w:rPr>
                <w:sz w:val="20"/>
                <w:szCs w:val="20"/>
                <w:color w:val="auto"/>
              </w:rPr>
            </w:pPr>
            <w:r>
              <w:rPr>
                <w:rFonts w:ascii="Arial" w:cs="Arial" w:eastAsia="Arial" w:hAnsi="Arial"/>
                <w:sz w:val="10"/>
                <w:szCs w:val="10"/>
                <w:b w:val="1"/>
                <w:bCs w:val="1"/>
                <w:color w:val="auto"/>
                <w:w w:val="93"/>
              </w:rPr>
              <w:t>Interest</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restart"/>
          </w:tcPr>
          <w:p>
            <w:pPr>
              <w:jc w:val="center"/>
              <w:ind w:left="72"/>
              <w:spacing w:after="0"/>
              <w:rPr>
                <w:sz w:val="20"/>
                <w:szCs w:val="20"/>
                <w:color w:val="auto"/>
              </w:rPr>
            </w:pPr>
            <w:r>
              <w:rPr>
                <w:rFonts w:ascii="Arial" w:cs="Arial" w:eastAsia="Arial" w:hAnsi="Arial"/>
                <w:sz w:val="10"/>
                <w:szCs w:val="10"/>
                <w:b w:val="1"/>
                <w:bCs w:val="1"/>
                <w:color w:val="auto"/>
                <w:w w:val="95"/>
              </w:rPr>
              <w:t>Selling, general and</w:t>
            </w: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jc w:val="center"/>
              <w:ind w:right="372"/>
              <w:spacing w:after="0" w:line="90" w:lineRule="exact"/>
              <w:rPr>
                <w:sz w:val="20"/>
                <w:szCs w:val="20"/>
                <w:color w:val="auto"/>
              </w:rPr>
            </w:pPr>
            <w:r>
              <w:rPr>
                <w:rFonts w:ascii="Arial" w:cs="Arial" w:eastAsia="Arial" w:hAnsi="Arial"/>
                <w:sz w:val="10"/>
                <w:szCs w:val="10"/>
                <w:b w:val="1"/>
                <w:bCs w:val="1"/>
                <w:color w:val="auto"/>
                <w:w w:val="93"/>
              </w:rPr>
              <w:t>and Other</w:t>
            </w: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Net Sales</w:t>
            </w:r>
          </w:p>
        </w:tc>
        <w:tc>
          <w:tcPr>
            <w:tcW w:w="380" w:type="dxa"/>
            <w:vAlign w:val="bottom"/>
          </w:tcPr>
          <w:p>
            <w:pPr>
              <w:spacing w:after="0"/>
              <w:rPr>
                <w:sz w:val="7"/>
                <w:szCs w:val="7"/>
                <w:color w:val="auto"/>
              </w:rPr>
            </w:pPr>
          </w:p>
        </w:tc>
        <w:tc>
          <w:tcPr>
            <w:tcW w:w="820" w:type="dxa"/>
            <w:vAlign w:val="bottom"/>
          </w:tcPr>
          <w:p>
            <w:pPr>
              <w:jc w:val="center"/>
              <w:ind w:left="152"/>
              <w:spacing w:after="0" w:line="90" w:lineRule="exact"/>
              <w:rPr>
                <w:sz w:val="20"/>
                <w:szCs w:val="20"/>
                <w:color w:val="auto"/>
              </w:rPr>
            </w:pPr>
            <w:r>
              <w:rPr>
                <w:rFonts w:ascii="Arial" w:cs="Arial" w:eastAsia="Arial" w:hAnsi="Arial"/>
                <w:sz w:val="10"/>
                <w:szCs w:val="10"/>
                <w:b w:val="1"/>
                <w:bCs w:val="1"/>
                <w:color w:val="auto"/>
                <w:w w:val="96"/>
              </w:rPr>
              <w:t>Products</w:t>
            </w:r>
          </w:p>
        </w:tc>
        <w:tc>
          <w:tcPr>
            <w:tcW w:w="400" w:type="dxa"/>
            <w:vAlign w:val="bottom"/>
          </w:tcPr>
          <w:p>
            <w:pPr>
              <w:spacing w:after="0"/>
              <w:rPr>
                <w:sz w:val="7"/>
                <w:szCs w:val="7"/>
                <w:color w:val="auto"/>
              </w:rPr>
            </w:pPr>
          </w:p>
        </w:tc>
        <w:tc>
          <w:tcPr>
            <w:tcW w:w="840" w:type="dxa"/>
            <w:vAlign w:val="bottom"/>
          </w:tcPr>
          <w:p>
            <w:pPr>
              <w:jc w:val="center"/>
              <w:ind w:left="152"/>
              <w:spacing w:after="0" w:line="90" w:lineRule="exact"/>
              <w:rPr>
                <w:sz w:val="20"/>
                <w:szCs w:val="20"/>
                <w:color w:val="auto"/>
              </w:rPr>
            </w:pPr>
            <w:r>
              <w:rPr>
                <w:rFonts w:ascii="Arial" w:cs="Arial" w:eastAsia="Arial" w:hAnsi="Arial"/>
                <w:sz w:val="10"/>
                <w:szCs w:val="10"/>
                <w:b w:val="1"/>
                <w:bCs w:val="1"/>
                <w:color w:val="auto"/>
                <w:w w:val="97"/>
              </w:rPr>
              <w:t>Services</w:t>
            </w:r>
          </w:p>
        </w:tc>
        <w:tc>
          <w:tcPr>
            <w:tcW w:w="3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jc w:val="center"/>
              <w:ind w:left="112"/>
              <w:spacing w:after="0" w:line="90" w:lineRule="exact"/>
              <w:rPr>
                <w:sz w:val="20"/>
                <w:szCs w:val="20"/>
                <w:color w:val="auto"/>
              </w:rPr>
            </w:pPr>
            <w:r>
              <w:rPr>
                <w:rFonts w:ascii="Arial" w:cs="Arial" w:eastAsia="Arial" w:hAnsi="Arial"/>
                <w:sz w:val="10"/>
                <w:szCs w:val="10"/>
                <w:b w:val="1"/>
                <w:bCs w:val="1"/>
                <w:color w:val="auto"/>
                <w:w w:val="95"/>
              </w:rPr>
              <w:t>(Income)</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jc w:val="center"/>
              <w:ind w:right="352"/>
              <w:spacing w:after="0" w:line="90" w:lineRule="exact"/>
              <w:rPr>
                <w:sz w:val="20"/>
                <w:szCs w:val="20"/>
                <w:color w:val="auto"/>
              </w:rPr>
            </w:pPr>
            <w:r>
              <w:rPr>
                <w:rFonts w:ascii="Arial" w:cs="Arial" w:eastAsia="Arial" w:hAnsi="Arial"/>
                <w:sz w:val="10"/>
                <w:szCs w:val="10"/>
                <w:b w:val="1"/>
                <w:bCs w:val="1"/>
                <w:color w:val="auto"/>
                <w:w w:val="96"/>
              </w:rPr>
              <w:t>Financial</w:t>
            </w:r>
          </w:p>
        </w:tc>
        <w:tc>
          <w:tcPr>
            <w:tcW w:w="280" w:type="dxa"/>
            <w:vAlign w:val="bottom"/>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66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vMerge w:val="continue"/>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center"/>
              <w:ind w:left="132"/>
              <w:spacing w:after="0"/>
              <w:rPr>
                <w:sz w:val="20"/>
                <w:szCs w:val="20"/>
                <w:color w:val="auto"/>
              </w:rPr>
            </w:pPr>
            <w:r>
              <w:rPr>
                <w:rFonts w:ascii="Arial" w:cs="Arial" w:eastAsia="Arial" w:hAnsi="Arial"/>
                <w:sz w:val="10"/>
                <w:szCs w:val="10"/>
                <w:b w:val="1"/>
                <w:bCs w:val="1"/>
                <w:color w:val="auto"/>
                <w:w w:val="92"/>
              </w:rPr>
              <w:t>Sold</w:t>
            </w:r>
          </w:p>
        </w:tc>
        <w:tc>
          <w:tcPr>
            <w:tcW w:w="40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center"/>
              <w:ind w:left="152"/>
              <w:spacing w:after="0"/>
              <w:rPr>
                <w:sz w:val="20"/>
                <w:szCs w:val="20"/>
                <w:color w:val="auto"/>
              </w:rPr>
            </w:pPr>
            <w:r>
              <w:rPr>
                <w:rFonts w:ascii="Arial" w:cs="Arial" w:eastAsia="Arial" w:hAnsi="Arial"/>
                <w:sz w:val="10"/>
                <w:szCs w:val="10"/>
                <w:b w:val="1"/>
                <w:bCs w:val="1"/>
                <w:color w:val="auto"/>
                <w:w w:val="92"/>
              </w:rPr>
              <w:t>Sold</w:t>
            </w:r>
          </w:p>
        </w:tc>
        <w:tc>
          <w:tcPr>
            <w:tcW w:w="32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gridSpan w:val="2"/>
          </w:tcPr>
          <w:p>
            <w:pPr>
              <w:jc w:val="center"/>
              <w:ind w:right="132"/>
              <w:spacing w:after="0"/>
              <w:rPr>
                <w:sz w:val="20"/>
                <w:szCs w:val="20"/>
                <w:color w:val="auto"/>
              </w:rPr>
            </w:pPr>
            <w:r>
              <w:rPr>
                <w:rFonts w:ascii="Arial" w:cs="Arial" w:eastAsia="Arial" w:hAnsi="Arial"/>
                <w:sz w:val="10"/>
                <w:szCs w:val="10"/>
                <w:b w:val="1"/>
                <w:bCs w:val="1"/>
                <w:color w:val="auto"/>
                <w:w w:val="94"/>
              </w:rPr>
              <w:t>administrative expenses</w:t>
            </w:r>
          </w:p>
        </w:tc>
        <w:tc>
          <w:tcPr>
            <w:tcW w:w="760" w:type="dxa"/>
            <w:vAlign w:val="bottom"/>
            <w:tcBorders>
              <w:bottom w:val="single" w:sz="8" w:color="DC202E"/>
            </w:tcBorders>
          </w:tcPr>
          <w:p>
            <w:pPr>
              <w:jc w:val="center"/>
              <w:ind w:left="112"/>
              <w:spacing w:after="0"/>
              <w:rPr>
                <w:sz w:val="20"/>
                <w:szCs w:val="20"/>
                <w:color w:val="auto"/>
              </w:rPr>
            </w:pPr>
            <w:r>
              <w:rPr>
                <w:rFonts w:ascii="Arial" w:cs="Arial" w:eastAsia="Arial" w:hAnsi="Arial"/>
                <w:sz w:val="10"/>
                <w:szCs w:val="10"/>
                <w:b w:val="1"/>
                <w:bCs w:val="1"/>
                <w:color w:val="auto"/>
                <w:w w:val="97"/>
              </w:rPr>
              <w:t>Expense</w:t>
            </w: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center"/>
              <w:ind w:right="352"/>
              <w:spacing w:after="0"/>
              <w:rPr>
                <w:sz w:val="20"/>
                <w:szCs w:val="20"/>
                <w:color w:val="auto"/>
              </w:rPr>
            </w:pPr>
            <w:r>
              <w:rPr>
                <w:rFonts w:ascii="Arial" w:cs="Arial" w:eastAsia="Arial" w:hAnsi="Arial"/>
                <w:sz w:val="10"/>
                <w:szCs w:val="10"/>
                <w:b w:val="1"/>
                <w:bCs w:val="1"/>
                <w:color w:val="auto"/>
                <w:w w:val="94"/>
              </w:rPr>
              <w:t>Charges</w:t>
            </w:r>
          </w:p>
        </w:tc>
        <w:tc>
          <w:tcPr>
            <w:tcW w:w="280" w:type="dxa"/>
            <w:vAlign w:val="bottom"/>
            <w:tcBorders>
              <w:bottom w:val="single" w:sz="8" w:color="DC202E"/>
            </w:tcBorders>
          </w:tcPr>
          <w:p>
            <w:pPr>
              <w:spacing w:after="0"/>
              <w:rPr>
                <w:sz w:val="10"/>
                <w:szCs w:val="10"/>
                <w:color w:val="auto"/>
              </w:rPr>
            </w:pPr>
          </w:p>
        </w:tc>
        <w:tc>
          <w:tcPr>
            <w:tcW w:w="540" w:type="dxa"/>
            <w:vAlign w:val="bottom"/>
            <w:tcBorders>
              <w:bottom w:val="single" w:sz="8" w:color="DC202E"/>
            </w:tcBorders>
            <w:vMerge w:val="continue"/>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Amortization of Pension and Other Postretirement Items:</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Actuarial losses recognized</w:t>
            </w:r>
          </w:p>
        </w:tc>
        <w:tc>
          <w:tcPr>
            <w:tcW w:w="960" w:type="dxa"/>
            <w:vAlign w:val="bottom"/>
            <w:tcBorders>
              <w:bottom w:val="single" w:sz="8" w:color="939598"/>
            </w:tcBorders>
          </w:tcPr>
          <w:p>
            <w:pPr>
              <w:jc w:val="right"/>
              <w:ind w:right="63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59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jc w:val="right"/>
              <w:ind w:right="6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939598"/>
            </w:tcBorders>
          </w:tcPr>
          <w:p>
            <w:pPr>
              <w:jc w:val="right"/>
              <w:ind w:right="7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w w:val="79"/>
              </w:rPr>
              <w:t>—</w:t>
            </w:r>
          </w:p>
        </w:tc>
        <w:tc>
          <w:tcPr>
            <w:tcW w:w="760" w:type="dxa"/>
            <w:vAlign w:val="bottom"/>
            <w:tcBorders>
              <w:bottom w:val="single" w:sz="8" w:color="939598"/>
            </w:tcBorders>
          </w:tcPr>
          <w:p>
            <w:pPr>
              <w:jc w:val="right"/>
              <w:ind w:right="59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57</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center"/>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w w:val="79"/>
              </w:rPr>
              <w:t>—</w:t>
            </w: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(108)</w:t>
            </w:r>
          </w:p>
        </w:tc>
        <w:tc>
          <w:tcPr>
            <w:tcW w:w="22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(108)</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Losses (gains) on cash flow hedges</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w:t>
            </w: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(43)</w:t>
            </w:r>
          </w:p>
        </w:tc>
        <w:tc>
          <w:tcPr>
            <w:tcW w:w="8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w:t>
            </w: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w:t>
            </w: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(28)</w:t>
            </w:r>
          </w:p>
        </w:tc>
        <w:tc>
          <w:tcPr>
            <w:tcW w:w="220" w:type="dxa"/>
            <w:vAlign w:val="bottom"/>
            <w:tcBorders>
              <w:bottom w:val="single" w:sz="8" w:color="939598"/>
            </w:tcBorders>
          </w:tcPr>
          <w:p>
            <w:pPr>
              <w:spacing w:after="0"/>
              <w:rPr>
                <w:sz w:val="10"/>
                <w:szCs w:val="10"/>
                <w:color w:val="auto"/>
              </w:rPr>
            </w:pPr>
          </w:p>
        </w:tc>
        <w:tc>
          <w:tcPr>
            <w:tcW w:w="10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spacing w:after="0"/>
              <w:rPr>
                <w:sz w:val="10"/>
                <w:szCs w:val="10"/>
                <w:color w:val="auto"/>
              </w:rPr>
            </w:pPr>
          </w:p>
        </w:tc>
        <w:tc>
          <w:tcPr>
            <w:tcW w:w="5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91"/>
        </w:trPr>
        <w:tc>
          <w:tcPr>
            <w:tcW w:w="2660" w:type="dxa"/>
            <w:vAlign w:val="bottom"/>
          </w:tcPr>
          <w:p>
            <w:pPr>
              <w:spacing w:after="0" w:line="92" w:lineRule="exact"/>
              <w:rPr>
                <w:sz w:val="20"/>
                <w:szCs w:val="20"/>
                <w:color w:val="auto"/>
              </w:rPr>
            </w:pPr>
            <w:r>
              <w:rPr>
                <w:rFonts w:ascii="Arial" w:cs="Arial" w:eastAsia="Arial" w:hAnsi="Arial"/>
                <w:sz w:val="10"/>
                <w:szCs w:val="10"/>
                <w:color w:val="auto"/>
              </w:rPr>
              <w:t>Losses (gains) on excluded component of net investment</w:t>
            </w:r>
          </w:p>
        </w:tc>
        <w:tc>
          <w:tcPr>
            <w:tcW w:w="960" w:type="dxa"/>
            <w:vAlign w:val="bottom"/>
          </w:tcPr>
          <w:p>
            <w:pPr>
              <w:spacing w:after="0"/>
              <w:rPr>
                <w:sz w:val="7"/>
                <w:szCs w:val="7"/>
                <w:color w:val="auto"/>
              </w:rPr>
            </w:pPr>
          </w:p>
        </w:tc>
        <w:tc>
          <w:tcPr>
            <w:tcW w:w="38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4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840" w:type="dxa"/>
            <w:vAlign w:val="bottom"/>
          </w:tcPr>
          <w:p>
            <w:pPr>
              <w:spacing w:after="0"/>
              <w:rPr>
                <w:sz w:val="7"/>
                <w:szCs w:val="7"/>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1060" w:type="dxa"/>
            <w:vAlign w:val="bottom"/>
          </w:tcPr>
          <w:p>
            <w:pPr>
              <w:spacing w:after="0"/>
              <w:rPr>
                <w:sz w:val="7"/>
                <w:szCs w:val="7"/>
                <w:color w:val="auto"/>
              </w:rPr>
            </w:pPr>
          </w:p>
        </w:tc>
        <w:tc>
          <w:tcPr>
            <w:tcW w:w="300" w:type="dxa"/>
            <w:vAlign w:val="bottom"/>
            <w:vMerge w:val="restart"/>
          </w:tcPr>
          <w:p>
            <w:pPr>
              <w:jc w:val="right"/>
              <w:ind w:right="152"/>
              <w:spacing w:after="0"/>
              <w:rPr>
                <w:sz w:val="20"/>
                <w:szCs w:val="20"/>
                <w:color w:val="auto"/>
              </w:rPr>
            </w:pPr>
            <w:r>
              <w:rPr>
                <w:rFonts w:ascii="Arial" w:cs="Arial" w:eastAsia="Arial" w:hAnsi="Arial"/>
                <w:sz w:val="10"/>
                <w:szCs w:val="10"/>
                <w:color w:val="auto"/>
                <w:w w:val="79"/>
              </w:rPr>
              <w:t>—</w:t>
            </w:r>
          </w:p>
        </w:tc>
        <w:tc>
          <w:tcPr>
            <w:tcW w:w="760" w:type="dxa"/>
            <w:vAlign w:val="bottom"/>
          </w:tcPr>
          <w:p>
            <w:pPr>
              <w:spacing w:after="0"/>
              <w:rPr>
                <w:sz w:val="7"/>
                <w:szCs w:val="7"/>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7"/>
                <w:szCs w:val="7"/>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0"/>
                <w:szCs w:val="10"/>
                <w:color w:val="auto"/>
              </w:rPr>
              <w:t>(18)</w:t>
            </w: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14"/>
        </w:trPr>
        <w:tc>
          <w:tcPr>
            <w:tcW w:w="2660" w:type="dxa"/>
            <w:vAlign w:val="bottom"/>
            <w:tcBorders>
              <w:bottom w:val="single" w:sz="8" w:color="DC202E"/>
            </w:tcBorders>
          </w:tcPr>
          <w:p>
            <w:pPr>
              <w:spacing w:after="0" w:line="114" w:lineRule="exact"/>
              <w:rPr>
                <w:sz w:val="20"/>
                <w:szCs w:val="20"/>
                <w:color w:val="auto"/>
              </w:rPr>
            </w:pPr>
            <w:r>
              <w:rPr>
                <w:rFonts w:ascii="Arial" w:cs="Arial" w:eastAsia="Arial" w:hAnsi="Arial"/>
                <w:sz w:val="10"/>
                <w:szCs w:val="10"/>
                <w:color w:val="auto"/>
              </w:rPr>
              <w:t>hedges</w:t>
            </w:r>
          </w:p>
        </w:tc>
        <w:tc>
          <w:tcPr>
            <w:tcW w:w="960" w:type="dxa"/>
            <w:vAlign w:val="bottom"/>
            <w:tcBorders>
              <w:bottom w:val="single" w:sz="8" w:color="DC202E"/>
            </w:tcBorders>
          </w:tcPr>
          <w:p>
            <w:pPr>
              <w:spacing w:after="0"/>
              <w:rPr>
                <w:sz w:val="9"/>
                <w:szCs w:val="9"/>
                <w:color w:val="auto"/>
              </w:rPr>
            </w:pPr>
          </w:p>
        </w:tc>
        <w:tc>
          <w:tcPr>
            <w:tcW w:w="380" w:type="dxa"/>
            <w:vAlign w:val="bottom"/>
            <w:tcBorders>
              <w:bottom w:val="single" w:sz="8" w:color="DC202E"/>
            </w:tcBorders>
            <w:vMerge w:val="continue"/>
          </w:tcPr>
          <w:p>
            <w:pPr>
              <w:spacing w:after="0"/>
              <w:rPr>
                <w:sz w:val="9"/>
                <w:szCs w:val="9"/>
                <w:color w:val="auto"/>
              </w:rPr>
            </w:pPr>
          </w:p>
        </w:tc>
        <w:tc>
          <w:tcPr>
            <w:tcW w:w="820" w:type="dxa"/>
            <w:vAlign w:val="bottom"/>
            <w:tcBorders>
              <w:bottom w:val="single" w:sz="8" w:color="DC202E"/>
            </w:tcBorders>
          </w:tcPr>
          <w:p>
            <w:pPr>
              <w:spacing w:after="0"/>
              <w:rPr>
                <w:sz w:val="9"/>
                <w:szCs w:val="9"/>
                <w:color w:val="auto"/>
              </w:rPr>
            </w:pPr>
          </w:p>
        </w:tc>
        <w:tc>
          <w:tcPr>
            <w:tcW w:w="400" w:type="dxa"/>
            <w:vAlign w:val="bottom"/>
            <w:tcBorders>
              <w:bottom w:val="single" w:sz="8" w:color="DC202E"/>
            </w:tcBorders>
            <w:vMerge w:val="continue"/>
          </w:tcPr>
          <w:p>
            <w:pPr>
              <w:spacing w:after="0"/>
              <w:rPr>
                <w:sz w:val="9"/>
                <w:szCs w:val="9"/>
                <w:color w:val="auto"/>
              </w:rPr>
            </w:pPr>
          </w:p>
        </w:tc>
        <w:tc>
          <w:tcPr>
            <w:tcW w:w="840" w:type="dxa"/>
            <w:vAlign w:val="bottom"/>
            <w:tcBorders>
              <w:bottom w:val="single" w:sz="8" w:color="DC202E"/>
            </w:tcBorders>
          </w:tcPr>
          <w:p>
            <w:pPr>
              <w:spacing w:after="0"/>
              <w:rPr>
                <w:sz w:val="9"/>
                <w:szCs w:val="9"/>
                <w:color w:val="auto"/>
              </w:rPr>
            </w:pPr>
          </w:p>
        </w:tc>
        <w:tc>
          <w:tcPr>
            <w:tcW w:w="320" w:type="dxa"/>
            <w:vAlign w:val="bottom"/>
            <w:tcBorders>
              <w:bottom w:val="single" w:sz="8" w:color="DC202E"/>
            </w:tcBorders>
            <w:vMerge w:val="continue"/>
          </w:tcPr>
          <w:p>
            <w:pPr>
              <w:spacing w:after="0"/>
              <w:rPr>
                <w:sz w:val="9"/>
                <w:szCs w:val="9"/>
                <w:color w:val="auto"/>
              </w:rPr>
            </w:pPr>
          </w:p>
        </w:tc>
        <w:tc>
          <w:tcPr>
            <w:tcW w:w="1060" w:type="dxa"/>
            <w:vAlign w:val="bottom"/>
            <w:tcBorders>
              <w:bottom w:val="single" w:sz="8" w:color="DC202E"/>
            </w:tcBorders>
          </w:tcPr>
          <w:p>
            <w:pPr>
              <w:spacing w:after="0"/>
              <w:rPr>
                <w:sz w:val="9"/>
                <w:szCs w:val="9"/>
                <w:color w:val="auto"/>
              </w:rPr>
            </w:pPr>
          </w:p>
        </w:tc>
        <w:tc>
          <w:tcPr>
            <w:tcW w:w="300" w:type="dxa"/>
            <w:vAlign w:val="bottom"/>
            <w:tcBorders>
              <w:bottom w:val="single" w:sz="8" w:color="DC202E"/>
            </w:tcBorders>
            <w:vMerge w:val="continue"/>
          </w:tcPr>
          <w:p>
            <w:pPr>
              <w:spacing w:after="0"/>
              <w:rPr>
                <w:sz w:val="9"/>
                <w:szCs w:val="9"/>
                <w:color w:val="auto"/>
              </w:rPr>
            </w:pPr>
          </w:p>
        </w:tc>
        <w:tc>
          <w:tcPr>
            <w:tcW w:w="760" w:type="dxa"/>
            <w:vAlign w:val="bottom"/>
            <w:tcBorders>
              <w:bottom w:val="single" w:sz="8" w:color="DC202E"/>
            </w:tcBorders>
          </w:tcPr>
          <w:p>
            <w:pPr>
              <w:spacing w:after="0"/>
              <w:rPr>
                <w:sz w:val="9"/>
                <w:szCs w:val="9"/>
                <w:color w:val="auto"/>
              </w:rPr>
            </w:pPr>
          </w:p>
        </w:tc>
        <w:tc>
          <w:tcPr>
            <w:tcW w:w="420" w:type="dxa"/>
            <w:vAlign w:val="bottom"/>
            <w:tcBorders>
              <w:bottom w:val="single" w:sz="8" w:color="DC202E"/>
            </w:tcBorders>
            <w:vMerge w:val="continue"/>
          </w:tcPr>
          <w:p>
            <w:pPr>
              <w:spacing w:after="0"/>
              <w:rPr>
                <w:sz w:val="9"/>
                <w:szCs w:val="9"/>
                <w:color w:val="auto"/>
              </w:rPr>
            </w:pPr>
          </w:p>
        </w:tc>
        <w:tc>
          <w:tcPr>
            <w:tcW w:w="220" w:type="dxa"/>
            <w:vAlign w:val="bottom"/>
            <w:tcBorders>
              <w:bottom w:val="single" w:sz="8" w:color="DC202E"/>
            </w:tcBorders>
          </w:tcPr>
          <w:p>
            <w:pPr>
              <w:spacing w:after="0"/>
              <w:rPr>
                <w:sz w:val="9"/>
                <w:szCs w:val="9"/>
                <w:color w:val="auto"/>
              </w:rPr>
            </w:pPr>
          </w:p>
        </w:tc>
        <w:tc>
          <w:tcPr>
            <w:tcW w:w="1020" w:type="dxa"/>
            <w:vAlign w:val="bottom"/>
            <w:tcBorders>
              <w:bottom w:val="single" w:sz="8" w:color="DC202E"/>
            </w:tcBorders>
            <w:vMerge w:val="continue"/>
          </w:tcPr>
          <w:p>
            <w:pPr>
              <w:spacing w:after="0"/>
              <w:rPr>
                <w:sz w:val="9"/>
                <w:szCs w:val="9"/>
                <w:color w:val="auto"/>
              </w:rPr>
            </w:pPr>
          </w:p>
        </w:tc>
        <w:tc>
          <w:tcPr>
            <w:tcW w:w="280" w:type="dxa"/>
            <w:vAlign w:val="bottom"/>
            <w:tcBorders>
              <w:bottom w:val="single" w:sz="8" w:color="DC202E"/>
            </w:tcBorders>
          </w:tcPr>
          <w:p>
            <w:pPr>
              <w:spacing w:after="0"/>
              <w:rPr>
                <w:sz w:val="9"/>
                <w:szCs w:val="9"/>
                <w:color w:val="auto"/>
              </w:rPr>
            </w:pPr>
          </w:p>
        </w:tc>
        <w:tc>
          <w:tcPr>
            <w:tcW w:w="540" w:type="dxa"/>
            <w:vAlign w:val="bottom"/>
            <w:tcBorders>
              <w:bottom w:val="single" w:sz="8" w:color="DC202E"/>
            </w:tcBorders>
          </w:tcPr>
          <w:p>
            <w:pPr>
              <w:spacing w:after="0"/>
              <w:rPr>
                <w:sz w:val="9"/>
                <w:szCs w:val="9"/>
                <w:color w:val="auto"/>
              </w:rPr>
            </w:pPr>
          </w:p>
        </w:tc>
        <w:tc>
          <w:tcPr>
            <w:tcW w:w="320" w:type="dxa"/>
            <w:vAlign w:val="bottom"/>
            <w:tcBorders>
              <w:bottom w:val="single" w:sz="8" w:color="DC202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before tax</w:t>
            </w:r>
          </w:p>
        </w:tc>
        <w:tc>
          <w:tcPr>
            <w:tcW w:w="960" w:type="dxa"/>
            <w:vAlign w:val="bottom"/>
            <w:tcBorders>
              <w:bottom w:val="single" w:sz="8" w:color="DC202E"/>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3</w:t>
            </w:r>
          </w:p>
        </w:tc>
        <w:tc>
          <w:tcPr>
            <w:tcW w:w="82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(43)</w:t>
            </w:r>
          </w:p>
        </w:tc>
        <w:tc>
          <w:tcPr>
            <w:tcW w:w="840" w:type="dxa"/>
            <w:vAlign w:val="bottom"/>
            <w:tcBorders>
              <w:bottom w:val="single" w:sz="8" w:color="DC202E"/>
            </w:tcBorders>
          </w:tcPr>
          <w:p>
            <w:pPr>
              <w:jc w:val="right"/>
              <w:ind w:right="61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(11)</w:t>
            </w:r>
          </w:p>
        </w:tc>
        <w:tc>
          <w:tcPr>
            <w:tcW w:w="1060" w:type="dxa"/>
            <w:vAlign w:val="bottom"/>
            <w:tcBorders>
              <w:bottom w:val="single" w:sz="8" w:color="DC202E"/>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4</w:t>
            </w:r>
          </w:p>
        </w:tc>
        <w:tc>
          <w:tcPr>
            <w:tcW w:w="76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(79)</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(18)</w:t>
            </w:r>
          </w:p>
        </w:tc>
        <w:tc>
          <w:tcPr>
            <w:tcW w:w="280" w:type="dxa"/>
            <w:vAlign w:val="bottom"/>
            <w:tcBorders>
              <w:bottom w:val="single" w:sz="8" w:color="DC202E"/>
            </w:tcBorders>
          </w:tcPr>
          <w:p>
            <w:pPr>
              <w:jc w:val="center"/>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(144)</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Tax expense (benefit)</w:t>
            </w: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5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36</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center"/>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(108)</w:t>
            </w:r>
          </w:p>
        </w:tc>
        <w:tc>
          <w:tcPr>
            <w:tcW w:w="0" w:type="dxa"/>
            <w:vAlign w:val="bottom"/>
          </w:tcPr>
          <w:p>
            <w:pPr>
              <w:spacing w:after="0"/>
              <w:rPr>
                <w:sz w:val="1"/>
                <w:szCs w:val="1"/>
                <w:color w:val="auto"/>
              </w:rPr>
            </w:pPr>
          </w:p>
        </w:tc>
      </w:tr>
      <w:tr>
        <w:trPr>
          <w:trHeight w:val="484"/>
        </w:trPr>
        <w:tc>
          <w:tcPr>
            <w:tcW w:w="2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3"/>
          </w:tcPr>
          <w:p>
            <w:pPr>
              <w:jc w:val="center"/>
              <w:ind w:left="452"/>
              <w:spacing w:after="0"/>
              <w:rPr>
                <w:sz w:val="20"/>
                <w:szCs w:val="20"/>
                <w:color w:val="auto"/>
              </w:rPr>
            </w:pPr>
            <w:r>
              <w:rPr>
                <w:rFonts w:ascii="Arial" w:cs="Arial" w:eastAsia="Arial" w:hAnsi="Arial"/>
                <w:sz w:val="10"/>
                <w:szCs w:val="10"/>
                <w:color w:val="auto"/>
                <w:w w:val="96"/>
              </w:rPr>
              <w:t>Honeywell International Inc.</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D7282F"/>
              </w:rPr>
              <w:t>91</w:t>
            </w:r>
          </w:p>
        </w:tc>
        <w:tc>
          <w:tcPr>
            <w:tcW w:w="0" w:type="dxa"/>
            <w:vAlign w:val="bottom"/>
          </w:tcPr>
          <w:p>
            <w:pPr>
              <w:spacing w:after="0"/>
              <w:rPr>
                <w:sz w:val="1"/>
                <w:szCs w:val="1"/>
                <w:color w:val="auto"/>
              </w:rPr>
            </w:pPr>
          </w:p>
        </w:tc>
      </w:tr>
      <w:tr>
        <w:trPr>
          <w:trHeight w:val="144"/>
        </w:trPr>
        <w:tc>
          <w:tcPr>
            <w:tcW w:w="26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3" w:name="page94"/>
    <w:bookmarkEnd w:id="93"/>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spacing w:after="0"/>
              <w:rPr>
                <w:sz w:val="10"/>
                <w:szCs w:val="10"/>
                <w:color w:val="auto"/>
              </w:rPr>
            </w:pPr>
          </w:p>
        </w:tc>
        <w:tc>
          <w:tcPr>
            <w:tcW w:w="1660" w:type="dxa"/>
            <w:vAlign w:val="bottom"/>
            <w:tcBorders>
              <w:bottom w:val="single" w:sz="8" w:color="DC202E"/>
            </w:tcBorders>
            <w:gridSpan w:val="3"/>
          </w:tcPr>
          <w:p>
            <w:pPr>
              <w:jc w:val="center"/>
              <w:ind w:left="72"/>
              <w:spacing w:after="0"/>
              <w:rPr>
                <w:sz w:val="20"/>
                <w:szCs w:val="20"/>
                <w:color w:val="auto"/>
              </w:rPr>
            </w:pPr>
            <w:r>
              <w:rPr>
                <w:rFonts w:ascii="Arial" w:cs="Arial" w:eastAsia="Arial" w:hAnsi="Arial"/>
                <w:sz w:val="10"/>
                <w:szCs w:val="10"/>
                <w:b w:val="1"/>
                <w:bCs w:val="1"/>
                <w:color w:val="auto"/>
                <w:w w:val="96"/>
              </w:rPr>
              <w:t>Year Ended December 31, 2019</w:t>
            </w: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80" w:type="dxa"/>
            <w:vAlign w:val="bottom"/>
            <w:gridSpan w:val="5"/>
          </w:tcPr>
          <w:p>
            <w:pPr>
              <w:jc w:val="center"/>
              <w:ind w:left="172"/>
              <w:spacing w:after="0"/>
              <w:rPr>
                <w:sz w:val="20"/>
                <w:szCs w:val="20"/>
                <w:color w:val="auto"/>
              </w:rPr>
            </w:pPr>
            <w:r>
              <w:rPr>
                <w:rFonts w:ascii="Arial" w:cs="Arial" w:eastAsia="Arial" w:hAnsi="Arial"/>
                <w:sz w:val="10"/>
                <w:szCs w:val="10"/>
                <w:b w:val="1"/>
                <w:bCs w:val="1"/>
                <w:color w:val="auto"/>
                <w:w w:val="95"/>
              </w:rPr>
              <w:t>Affected Line in the Consolidated Statement of Operations</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960" w:type="dxa"/>
            <w:vAlign w:val="bottom"/>
            <w:tcBorders>
              <w:bottom w:val="single" w:sz="8" w:color="DC202E"/>
            </w:tcBorders>
          </w:tcPr>
          <w:p>
            <w:pPr>
              <w:spacing w:after="0"/>
              <w:rPr>
                <w:sz w:val="2"/>
                <w:szCs w:val="2"/>
                <w:color w:val="auto"/>
              </w:rPr>
            </w:pPr>
          </w:p>
        </w:tc>
        <w:tc>
          <w:tcPr>
            <w:tcW w:w="380" w:type="dxa"/>
            <w:vAlign w:val="bottom"/>
            <w:tcBorders>
              <w:bottom w:val="single" w:sz="8" w:color="DC202E"/>
            </w:tcBorders>
          </w:tcPr>
          <w:p>
            <w:pPr>
              <w:spacing w:after="0"/>
              <w:rPr>
                <w:sz w:val="2"/>
                <w:szCs w:val="2"/>
                <w:color w:val="auto"/>
              </w:rPr>
            </w:pPr>
          </w:p>
        </w:tc>
        <w:tc>
          <w:tcPr>
            <w:tcW w:w="820" w:type="dxa"/>
            <w:vAlign w:val="bottom"/>
            <w:tcBorders>
              <w:bottom w:val="single" w:sz="8" w:color="DC202E"/>
            </w:tcBorders>
          </w:tcPr>
          <w:p>
            <w:pPr>
              <w:spacing w:after="0"/>
              <w:rPr>
                <w:sz w:val="2"/>
                <w:szCs w:val="2"/>
                <w:color w:val="auto"/>
              </w:rPr>
            </w:pPr>
          </w:p>
        </w:tc>
        <w:tc>
          <w:tcPr>
            <w:tcW w:w="400" w:type="dxa"/>
            <w:vAlign w:val="bottom"/>
            <w:tcBorders>
              <w:bottom w:val="single" w:sz="8" w:color="DC202E"/>
            </w:tcBorders>
          </w:tcPr>
          <w:p>
            <w:pPr>
              <w:spacing w:after="0"/>
              <w:rPr>
                <w:sz w:val="2"/>
                <w:szCs w:val="2"/>
                <w:color w:val="auto"/>
              </w:rPr>
            </w:pPr>
          </w:p>
        </w:tc>
        <w:tc>
          <w:tcPr>
            <w:tcW w:w="860" w:type="dxa"/>
            <w:vAlign w:val="bottom"/>
            <w:tcBorders>
              <w:bottom w:val="single" w:sz="8" w:color="DC202E"/>
            </w:tcBorders>
          </w:tcPr>
          <w:p>
            <w:pPr>
              <w:spacing w:after="0"/>
              <w:rPr>
                <w:sz w:val="2"/>
                <w:szCs w:val="2"/>
                <w:color w:val="auto"/>
              </w:rPr>
            </w:pPr>
          </w:p>
        </w:tc>
        <w:tc>
          <w:tcPr>
            <w:tcW w:w="300" w:type="dxa"/>
            <w:vAlign w:val="bottom"/>
            <w:tcBorders>
              <w:bottom w:val="single" w:sz="8" w:color="DC202E"/>
            </w:tcBorders>
          </w:tcPr>
          <w:p>
            <w:pPr>
              <w:spacing w:after="0"/>
              <w:rPr>
                <w:sz w:val="2"/>
                <w:szCs w:val="2"/>
                <w:color w:val="auto"/>
              </w:rPr>
            </w:pPr>
          </w:p>
        </w:tc>
        <w:tc>
          <w:tcPr>
            <w:tcW w:w="1060" w:type="dxa"/>
            <w:vAlign w:val="bottom"/>
            <w:tcBorders>
              <w:bottom w:val="single" w:sz="8" w:color="DC202E"/>
            </w:tcBorders>
          </w:tcPr>
          <w:p>
            <w:pPr>
              <w:spacing w:after="0"/>
              <w:rPr>
                <w:sz w:val="2"/>
                <w:szCs w:val="2"/>
                <w:color w:val="auto"/>
              </w:rPr>
            </w:pPr>
          </w:p>
        </w:tc>
        <w:tc>
          <w:tcPr>
            <w:tcW w:w="300" w:type="dxa"/>
            <w:vAlign w:val="bottom"/>
            <w:tcBorders>
              <w:bottom w:val="single" w:sz="8" w:color="DC202E"/>
            </w:tcBorders>
          </w:tcPr>
          <w:p>
            <w:pPr>
              <w:spacing w:after="0"/>
              <w:rPr>
                <w:sz w:val="2"/>
                <w:szCs w:val="2"/>
                <w:color w:val="auto"/>
              </w:rPr>
            </w:pPr>
          </w:p>
        </w:tc>
        <w:tc>
          <w:tcPr>
            <w:tcW w:w="760" w:type="dxa"/>
            <w:vAlign w:val="bottom"/>
            <w:tcBorders>
              <w:bottom w:val="single" w:sz="8" w:color="DC202E"/>
            </w:tcBorders>
          </w:tcPr>
          <w:p>
            <w:pPr>
              <w:spacing w:after="0"/>
              <w:rPr>
                <w:sz w:val="2"/>
                <w:szCs w:val="2"/>
                <w:color w:val="auto"/>
              </w:rPr>
            </w:pPr>
          </w:p>
        </w:tc>
        <w:tc>
          <w:tcPr>
            <w:tcW w:w="420" w:type="dxa"/>
            <w:vAlign w:val="bottom"/>
            <w:tcBorders>
              <w:bottom w:val="single" w:sz="8" w:color="DC202E"/>
            </w:tcBorders>
          </w:tcPr>
          <w:p>
            <w:pPr>
              <w:spacing w:after="0"/>
              <w:rPr>
                <w:sz w:val="2"/>
                <w:szCs w:val="2"/>
                <w:color w:val="auto"/>
              </w:rPr>
            </w:pPr>
          </w:p>
        </w:tc>
        <w:tc>
          <w:tcPr>
            <w:tcW w:w="240" w:type="dxa"/>
            <w:vAlign w:val="bottom"/>
            <w:tcBorders>
              <w:bottom w:val="single" w:sz="8" w:color="DC202E"/>
            </w:tcBorders>
          </w:tcPr>
          <w:p>
            <w:pPr>
              <w:spacing w:after="0"/>
              <w:rPr>
                <w:sz w:val="2"/>
                <w:szCs w:val="2"/>
                <w:color w:val="auto"/>
              </w:rPr>
            </w:pPr>
          </w:p>
        </w:tc>
        <w:tc>
          <w:tcPr>
            <w:tcW w:w="1000" w:type="dxa"/>
            <w:vAlign w:val="bottom"/>
            <w:tcBorders>
              <w:bottom w:val="single" w:sz="8" w:color="DC202E"/>
            </w:tcBorders>
          </w:tcPr>
          <w:p>
            <w:pPr>
              <w:spacing w:after="0"/>
              <w:rPr>
                <w:sz w:val="2"/>
                <w:szCs w:val="2"/>
                <w:color w:val="auto"/>
              </w:rPr>
            </w:pPr>
          </w:p>
        </w:tc>
        <w:tc>
          <w:tcPr>
            <w:tcW w:w="280" w:type="dxa"/>
            <w:vAlign w:val="bottom"/>
            <w:tcBorders>
              <w:bottom w:val="single" w:sz="8" w:color="DC202E"/>
            </w:tcBorders>
          </w:tcPr>
          <w:p>
            <w:pPr>
              <w:spacing w:after="0"/>
              <w:rPr>
                <w:sz w:val="2"/>
                <w:szCs w:val="2"/>
                <w:color w:val="auto"/>
              </w:rPr>
            </w:pPr>
          </w:p>
        </w:tc>
        <w:tc>
          <w:tcPr>
            <w:tcW w:w="860" w:type="dxa"/>
            <w:vAlign w:val="bottom"/>
            <w:tcBorders>
              <w:bottom w:val="single" w:sz="8" w:color="DC202E"/>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center"/>
              <w:ind w:left="152"/>
              <w:spacing w:after="0"/>
              <w:rPr>
                <w:sz w:val="20"/>
                <w:szCs w:val="20"/>
                <w:color w:val="auto"/>
              </w:rPr>
            </w:pPr>
            <w:r>
              <w:rPr>
                <w:rFonts w:ascii="Arial" w:cs="Arial" w:eastAsia="Arial" w:hAnsi="Arial"/>
                <w:sz w:val="10"/>
                <w:szCs w:val="10"/>
                <w:b w:val="1"/>
                <w:bCs w:val="1"/>
                <w:color w:val="auto"/>
                <w:w w:val="98"/>
              </w:rPr>
              <w:t>Cost of</w:t>
            </w:r>
          </w:p>
        </w:tc>
        <w:tc>
          <w:tcPr>
            <w:tcW w:w="400" w:type="dxa"/>
            <w:vAlign w:val="bottom"/>
          </w:tcPr>
          <w:p>
            <w:pPr>
              <w:spacing w:after="0"/>
              <w:rPr>
                <w:sz w:val="10"/>
                <w:szCs w:val="10"/>
                <w:color w:val="auto"/>
              </w:rPr>
            </w:pPr>
          </w:p>
        </w:tc>
        <w:tc>
          <w:tcPr>
            <w:tcW w:w="860" w:type="dxa"/>
            <w:vAlign w:val="bottom"/>
            <w:vMerge w:val="restart"/>
          </w:tcPr>
          <w:p>
            <w:pPr>
              <w:jc w:val="center"/>
              <w:ind w:left="132"/>
              <w:spacing w:after="0"/>
              <w:rPr>
                <w:sz w:val="20"/>
                <w:szCs w:val="20"/>
                <w:color w:val="auto"/>
              </w:rPr>
            </w:pPr>
            <w:r>
              <w:rPr>
                <w:rFonts w:ascii="Arial" w:cs="Arial" w:eastAsia="Arial" w:hAnsi="Arial"/>
                <w:sz w:val="10"/>
                <w:szCs w:val="10"/>
                <w:b w:val="1"/>
                <w:bCs w:val="1"/>
                <w:color w:val="auto"/>
                <w:w w:val="92"/>
              </w:rPr>
              <w:t>Cost of</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jc w:val="center"/>
              <w:ind w:left="132"/>
              <w:spacing w:after="0"/>
              <w:rPr>
                <w:sz w:val="20"/>
                <w:szCs w:val="20"/>
                <w:color w:val="auto"/>
              </w:rPr>
            </w:pPr>
            <w:r>
              <w:rPr>
                <w:rFonts w:ascii="Arial" w:cs="Arial" w:eastAsia="Arial" w:hAnsi="Arial"/>
                <w:sz w:val="10"/>
                <w:szCs w:val="10"/>
                <w:b w:val="1"/>
                <w:bCs w:val="1"/>
                <w:color w:val="auto"/>
                <w:w w:val="97"/>
              </w:rPr>
              <w:t>Other</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ind w:left="100"/>
              <w:spacing w:after="0"/>
              <w:rPr>
                <w:sz w:val="20"/>
                <w:szCs w:val="20"/>
                <w:color w:val="auto"/>
              </w:rPr>
            </w:pPr>
            <w:r>
              <w:rPr>
                <w:rFonts w:ascii="Arial" w:cs="Arial" w:eastAsia="Arial" w:hAnsi="Arial"/>
                <w:sz w:val="10"/>
                <w:szCs w:val="10"/>
                <w:b w:val="1"/>
                <w:bCs w:val="1"/>
                <w:color w:val="auto"/>
              </w:rPr>
              <w:t>Interest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center"/>
              <w:ind w:left="72"/>
              <w:spacing w:after="0"/>
              <w:rPr>
                <w:sz w:val="20"/>
                <w:szCs w:val="20"/>
                <w:color w:val="auto"/>
              </w:rPr>
            </w:pPr>
            <w:r>
              <w:rPr>
                <w:rFonts w:ascii="Arial" w:cs="Arial" w:eastAsia="Arial" w:hAnsi="Arial"/>
                <w:sz w:val="10"/>
                <w:szCs w:val="10"/>
                <w:b w:val="1"/>
                <w:bCs w:val="1"/>
                <w:color w:val="auto"/>
                <w:w w:val="95"/>
              </w:rPr>
              <w:t>Selling, general and</w:t>
            </w: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jc w:val="right"/>
              <w:ind w:right="452"/>
              <w:spacing w:after="0" w:line="90" w:lineRule="exact"/>
              <w:rPr>
                <w:sz w:val="20"/>
                <w:szCs w:val="20"/>
                <w:color w:val="auto"/>
              </w:rPr>
            </w:pPr>
            <w:r>
              <w:rPr>
                <w:rFonts w:ascii="Arial" w:cs="Arial" w:eastAsia="Arial" w:hAnsi="Arial"/>
                <w:sz w:val="10"/>
                <w:szCs w:val="10"/>
                <w:b w:val="1"/>
                <w:bCs w:val="1"/>
                <w:color w:val="auto"/>
              </w:rPr>
              <w:t>and Other</w:t>
            </w: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Net Sales</w:t>
            </w:r>
          </w:p>
        </w:tc>
        <w:tc>
          <w:tcPr>
            <w:tcW w:w="380" w:type="dxa"/>
            <w:vAlign w:val="bottom"/>
          </w:tcPr>
          <w:p>
            <w:pPr>
              <w:spacing w:after="0"/>
              <w:rPr>
                <w:sz w:val="7"/>
                <w:szCs w:val="7"/>
                <w:color w:val="auto"/>
              </w:rPr>
            </w:pPr>
          </w:p>
        </w:tc>
        <w:tc>
          <w:tcPr>
            <w:tcW w:w="820" w:type="dxa"/>
            <w:vAlign w:val="bottom"/>
          </w:tcPr>
          <w:p>
            <w:pPr>
              <w:jc w:val="center"/>
              <w:ind w:left="152"/>
              <w:spacing w:after="0" w:line="90" w:lineRule="exact"/>
              <w:rPr>
                <w:sz w:val="20"/>
                <w:szCs w:val="20"/>
                <w:color w:val="auto"/>
              </w:rPr>
            </w:pPr>
            <w:r>
              <w:rPr>
                <w:rFonts w:ascii="Arial" w:cs="Arial" w:eastAsia="Arial" w:hAnsi="Arial"/>
                <w:sz w:val="10"/>
                <w:szCs w:val="10"/>
                <w:b w:val="1"/>
                <w:bCs w:val="1"/>
                <w:color w:val="auto"/>
                <w:w w:val="96"/>
              </w:rPr>
              <w:t>Products</w:t>
            </w:r>
          </w:p>
        </w:tc>
        <w:tc>
          <w:tcPr>
            <w:tcW w:w="400" w:type="dxa"/>
            <w:vAlign w:val="bottom"/>
          </w:tcPr>
          <w:p>
            <w:pPr>
              <w:spacing w:after="0"/>
              <w:rPr>
                <w:sz w:val="7"/>
                <w:szCs w:val="7"/>
                <w:color w:val="auto"/>
              </w:rPr>
            </w:pPr>
          </w:p>
        </w:tc>
        <w:tc>
          <w:tcPr>
            <w:tcW w:w="860" w:type="dxa"/>
            <w:vAlign w:val="bottom"/>
          </w:tcPr>
          <w:p>
            <w:pPr>
              <w:jc w:val="center"/>
              <w:ind w:left="132"/>
              <w:spacing w:after="0" w:line="90" w:lineRule="exact"/>
              <w:rPr>
                <w:sz w:val="20"/>
                <w:szCs w:val="20"/>
                <w:color w:val="auto"/>
              </w:rPr>
            </w:pPr>
            <w:r>
              <w:rPr>
                <w:rFonts w:ascii="Arial" w:cs="Arial" w:eastAsia="Arial" w:hAnsi="Arial"/>
                <w:sz w:val="10"/>
                <w:szCs w:val="10"/>
                <w:b w:val="1"/>
                <w:bCs w:val="1"/>
                <w:color w:val="auto"/>
                <w:w w:val="97"/>
              </w:rPr>
              <w:t>Services</w:t>
            </w:r>
          </w:p>
        </w:tc>
        <w:tc>
          <w:tcPr>
            <w:tcW w:w="3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jc w:val="center"/>
              <w:ind w:left="112"/>
              <w:spacing w:after="0" w:line="90" w:lineRule="exact"/>
              <w:rPr>
                <w:sz w:val="20"/>
                <w:szCs w:val="20"/>
                <w:color w:val="auto"/>
              </w:rPr>
            </w:pPr>
            <w:r>
              <w:rPr>
                <w:rFonts w:ascii="Arial" w:cs="Arial" w:eastAsia="Arial" w:hAnsi="Arial"/>
                <w:sz w:val="10"/>
                <w:szCs w:val="10"/>
                <w:b w:val="1"/>
                <w:bCs w:val="1"/>
                <w:color w:val="auto"/>
                <w:w w:val="95"/>
              </w:rPr>
              <w:t>(Income)</w:t>
            </w: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Financial</w:t>
            </w:r>
          </w:p>
        </w:tc>
        <w:tc>
          <w:tcPr>
            <w:tcW w:w="280" w:type="dxa"/>
            <w:vAlign w:val="bottom"/>
          </w:tcPr>
          <w:p>
            <w:pPr>
              <w:spacing w:after="0"/>
              <w:rPr>
                <w:sz w:val="7"/>
                <w:szCs w:val="7"/>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266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vMerge w:val="continue"/>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center"/>
              <w:ind w:left="132"/>
              <w:spacing w:after="0"/>
              <w:rPr>
                <w:sz w:val="20"/>
                <w:szCs w:val="20"/>
                <w:color w:val="auto"/>
              </w:rPr>
            </w:pPr>
            <w:r>
              <w:rPr>
                <w:rFonts w:ascii="Arial" w:cs="Arial" w:eastAsia="Arial" w:hAnsi="Arial"/>
                <w:sz w:val="10"/>
                <w:szCs w:val="10"/>
                <w:b w:val="1"/>
                <w:bCs w:val="1"/>
                <w:color w:val="auto"/>
                <w:w w:val="92"/>
              </w:rPr>
              <w:t>Sold</w:t>
            </w:r>
          </w:p>
        </w:tc>
        <w:tc>
          <w:tcPr>
            <w:tcW w:w="40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center"/>
              <w:ind w:left="132"/>
              <w:spacing w:after="0"/>
              <w:rPr>
                <w:sz w:val="20"/>
                <w:szCs w:val="20"/>
                <w:color w:val="auto"/>
              </w:rPr>
            </w:pPr>
            <w:r>
              <w:rPr>
                <w:rFonts w:ascii="Arial" w:cs="Arial" w:eastAsia="Arial" w:hAnsi="Arial"/>
                <w:sz w:val="10"/>
                <w:szCs w:val="10"/>
                <w:b w:val="1"/>
                <w:bCs w:val="1"/>
                <w:color w:val="auto"/>
                <w:w w:val="92"/>
              </w:rPr>
              <w:t>Sold</w:t>
            </w:r>
          </w:p>
        </w:tc>
        <w:tc>
          <w:tcPr>
            <w:tcW w:w="30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gridSpan w:val="2"/>
          </w:tcPr>
          <w:p>
            <w:pPr>
              <w:jc w:val="center"/>
              <w:ind w:right="132"/>
              <w:spacing w:after="0"/>
              <w:rPr>
                <w:sz w:val="20"/>
                <w:szCs w:val="20"/>
                <w:color w:val="auto"/>
              </w:rPr>
            </w:pPr>
            <w:r>
              <w:rPr>
                <w:rFonts w:ascii="Arial" w:cs="Arial" w:eastAsia="Arial" w:hAnsi="Arial"/>
                <w:sz w:val="10"/>
                <w:szCs w:val="10"/>
                <w:b w:val="1"/>
                <w:bCs w:val="1"/>
                <w:color w:val="auto"/>
                <w:w w:val="94"/>
              </w:rPr>
              <w:t>administrative expenses</w:t>
            </w:r>
          </w:p>
        </w:tc>
        <w:tc>
          <w:tcPr>
            <w:tcW w:w="760" w:type="dxa"/>
            <w:vAlign w:val="bottom"/>
            <w:tcBorders>
              <w:bottom w:val="single" w:sz="8" w:color="DC202E"/>
            </w:tcBorders>
          </w:tcPr>
          <w:p>
            <w:pPr>
              <w:jc w:val="center"/>
              <w:ind w:left="112"/>
              <w:spacing w:after="0"/>
              <w:rPr>
                <w:sz w:val="20"/>
                <w:szCs w:val="20"/>
                <w:color w:val="auto"/>
              </w:rPr>
            </w:pPr>
            <w:r>
              <w:rPr>
                <w:rFonts w:ascii="Arial" w:cs="Arial" w:eastAsia="Arial" w:hAnsi="Arial"/>
                <w:sz w:val="10"/>
                <w:szCs w:val="10"/>
                <w:b w:val="1"/>
                <w:bCs w:val="1"/>
                <w:color w:val="auto"/>
                <w:w w:val="97"/>
              </w:rPr>
              <w:t>Expense</w:t>
            </w:r>
          </w:p>
        </w:tc>
        <w:tc>
          <w:tcPr>
            <w:tcW w:w="4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ind w:left="100"/>
              <w:spacing w:after="0"/>
              <w:rPr>
                <w:sz w:val="20"/>
                <w:szCs w:val="20"/>
                <w:color w:val="auto"/>
              </w:rPr>
            </w:pPr>
            <w:r>
              <w:rPr>
                <w:rFonts w:ascii="Arial" w:cs="Arial" w:eastAsia="Arial" w:hAnsi="Arial"/>
                <w:sz w:val="10"/>
                <w:szCs w:val="10"/>
                <w:b w:val="1"/>
                <w:bCs w:val="1"/>
                <w:color w:val="auto"/>
              </w:rPr>
              <w:t>Charges</w:t>
            </w:r>
          </w:p>
        </w:tc>
        <w:tc>
          <w:tcPr>
            <w:tcW w:w="28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Amortization of Pension and Other Postretirement Items:</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Actuarial losses recognized</w:t>
            </w:r>
          </w:p>
        </w:tc>
        <w:tc>
          <w:tcPr>
            <w:tcW w:w="960" w:type="dxa"/>
            <w:vAlign w:val="bottom"/>
            <w:tcBorders>
              <w:bottom w:val="single" w:sz="8" w:color="939598"/>
            </w:tcBorders>
          </w:tcPr>
          <w:p>
            <w:pPr>
              <w:jc w:val="right"/>
              <w:ind w:right="63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ind w:lef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59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939598"/>
            </w:tcBorders>
          </w:tcPr>
          <w:p>
            <w:pPr>
              <w:jc w:val="right"/>
              <w:ind w:right="63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939598"/>
            </w:tcBorders>
          </w:tcPr>
          <w:p>
            <w:pPr>
              <w:jc w:val="right"/>
              <w:ind w:right="7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jc w:val="right"/>
              <w:ind w:right="59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135</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ind w:left="12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(104)</w:t>
            </w:r>
          </w:p>
        </w:tc>
        <w:tc>
          <w:tcPr>
            <w:tcW w:w="24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(104)</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Losses (gains) on cash flow hedges</w:t>
            </w:r>
          </w:p>
        </w:tc>
        <w:tc>
          <w:tcPr>
            <w:tcW w:w="96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(3)</w:t>
            </w:r>
          </w:p>
        </w:tc>
        <w:tc>
          <w:tcPr>
            <w:tcW w:w="8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(35)</w:t>
            </w:r>
          </w:p>
        </w:tc>
        <w:tc>
          <w:tcPr>
            <w:tcW w:w="8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(9)</w:t>
            </w:r>
          </w:p>
        </w:tc>
        <w:tc>
          <w:tcPr>
            <w:tcW w:w="106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(1)</w:t>
            </w:r>
          </w:p>
        </w:tc>
        <w:tc>
          <w:tcPr>
            <w:tcW w:w="76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(73)</w:t>
            </w:r>
          </w:p>
        </w:tc>
        <w:tc>
          <w:tcPr>
            <w:tcW w:w="240" w:type="dxa"/>
            <w:vAlign w:val="bottom"/>
            <w:tcBorders>
              <w:bottom w:val="single" w:sz="8" w:color="939598"/>
            </w:tcBorders>
          </w:tcPr>
          <w:p>
            <w:pPr>
              <w:spacing w:after="0"/>
              <w:rPr>
                <w:sz w:val="10"/>
                <w:szCs w:val="10"/>
                <w:color w:val="auto"/>
              </w:rPr>
            </w:pPr>
          </w:p>
        </w:tc>
        <w:tc>
          <w:tcPr>
            <w:tcW w:w="10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91"/>
        </w:trPr>
        <w:tc>
          <w:tcPr>
            <w:tcW w:w="2660" w:type="dxa"/>
            <w:vAlign w:val="bottom"/>
          </w:tcPr>
          <w:p>
            <w:pPr>
              <w:spacing w:after="0" w:line="92" w:lineRule="exact"/>
              <w:rPr>
                <w:sz w:val="20"/>
                <w:szCs w:val="20"/>
                <w:color w:val="auto"/>
              </w:rPr>
            </w:pPr>
            <w:r>
              <w:rPr>
                <w:rFonts w:ascii="Arial" w:cs="Arial" w:eastAsia="Arial" w:hAnsi="Arial"/>
                <w:sz w:val="10"/>
                <w:szCs w:val="10"/>
                <w:color w:val="auto"/>
              </w:rPr>
              <w:t>Losses (gains) on excluded component of net investment</w:t>
            </w:r>
          </w:p>
        </w:tc>
        <w:tc>
          <w:tcPr>
            <w:tcW w:w="960" w:type="dxa"/>
            <w:vAlign w:val="bottom"/>
          </w:tcPr>
          <w:p>
            <w:pPr>
              <w:spacing w:after="0"/>
              <w:rPr>
                <w:sz w:val="7"/>
                <w:szCs w:val="7"/>
                <w:color w:val="auto"/>
              </w:rPr>
            </w:pPr>
          </w:p>
        </w:tc>
        <w:tc>
          <w:tcPr>
            <w:tcW w:w="380" w:type="dxa"/>
            <w:vAlign w:val="bottom"/>
            <w:vMerge w:val="restart"/>
          </w:tcPr>
          <w:p>
            <w:pPr>
              <w:ind w:left="12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4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860" w:type="dxa"/>
            <w:vAlign w:val="bottom"/>
          </w:tcPr>
          <w:p>
            <w:pPr>
              <w:spacing w:after="0"/>
              <w:rPr>
                <w:sz w:val="7"/>
                <w:szCs w:val="7"/>
                <w:color w:val="auto"/>
              </w:rPr>
            </w:pPr>
          </w:p>
        </w:tc>
        <w:tc>
          <w:tcPr>
            <w:tcW w:w="300" w:type="dxa"/>
            <w:vAlign w:val="bottom"/>
            <w:vMerge w:val="restart"/>
          </w:tcPr>
          <w:p>
            <w:pPr>
              <w:ind w:left="140"/>
              <w:spacing w:after="0"/>
              <w:rPr>
                <w:sz w:val="20"/>
                <w:szCs w:val="20"/>
                <w:color w:val="auto"/>
              </w:rPr>
            </w:pPr>
            <w:r>
              <w:rPr>
                <w:rFonts w:ascii="Arial" w:cs="Arial" w:eastAsia="Arial" w:hAnsi="Arial"/>
                <w:sz w:val="10"/>
                <w:szCs w:val="10"/>
                <w:color w:val="auto"/>
              </w:rPr>
              <w:t>—</w:t>
            </w:r>
          </w:p>
        </w:tc>
        <w:tc>
          <w:tcPr>
            <w:tcW w:w="1060" w:type="dxa"/>
            <w:vAlign w:val="bottom"/>
          </w:tcPr>
          <w:p>
            <w:pPr>
              <w:spacing w:after="0"/>
              <w:rPr>
                <w:sz w:val="7"/>
                <w:szCs w:val="7"/>
                <w:color w:val="auto"/>
              </w:rPr>
            </w:pPr>
          </w:p>
        </w:tc>
        <w:tc>
          <w:tcPr>
            <w:tcW w:w="300" w:type="dxa"/>
            <w:vAlign w:val="bottom"/>
            <w:vMerge w:val="restart"/>
          </w:tcPr>
          <w:p>
            <w:pPr>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7"/>
                <w:szCs w:val="7"/>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0"/>
                <w:szCs w:val="10"/>
                <w:color w:val="auto"/>
              </w:rPr>
              <w:t>(19)</w:t>
            </w:r>
          </w:p>
        </w:tc>
        <w:tc>
          <w:tcPr>
            <w:tcW w:w="2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14"/>
        </w:trPr>
        <w:tc>
          <w:tcPr>
            <w:tcW w:w="2660" w:type="dxa"/>
            <w:vAlign w:val="bottom"/>
            <w:tcBorders>
              <w:bottom w:val="single" w:sz="8" w:color="DC202E"/>
            </w:tcBorders>
          </w:tcPr>
          <w:p>
            <w:pPr>
              <w:spacing w:after="0" w:line="114" w:lineRule="exact"/>
              <w:rPr>
                <w:sz w:val="20"/>
                <w:szCs w:val="20"/>
                <w:color w:val="auto"/>
              </w:rPr>
            </w:pPr>
            <w:r>
              <w:rPr>
                <w:rFonts w:ascii="Arial" w:cs="Arial" w:eastAsia="Arial" w:hAnsi="Arial"/>
                <w:sz w:val="10"/>
                <w:szCs w:val="10"/>
                <w:color w:val="auto"/>
              </w:rPr>
              <w:t>hedges</w:t>
            </w:r>
          </w:p>
        </w:tc>
        <w:tc>
          <w:tcPr>
            <w:tcW w:w="960" w:type="dxa"/>
            <w:vAlign w:val="bottom"/>
            <w:tcBorders>
              <w:bottom w:val="single" w:sz="8" w:color="DC202E"/>
            </w:tcBorders>
          </w:tcPr>
          <w:p>
            <w:pPr>
              <w:spacing w:after="0"/>
              <w:rPr>
                <w:sz w:val="9"/>
                <w:szCs w:val="9"/>
                <w:color w:val="auto"/>
              </w:rPr>
            </w:pPr>
          </w:p>
        </w:tc>
        <w:tc>
          <w:tcPr>
            <w:tcW w:w="380" w:type="dxa"/>
            <w:vAlign w:val="bottom"/>
            <w:tcBorders>
              <w:bottom w:val="single" w:sz="8" w:color="DC202E"/>
            </w:tcBorders>
            <w:vMerge w:val="continue"/>
          </w:tcPr>
          <w:p>
            <w:pPr>
              <w:spacing w:after="0"/>
              <w:rPr>
                <w:sz w:val="9"/>
                <w:szCs w:val="9"/>
                <w:color w:val="auto"/>
              </w:rPr>
            </w:pPr>
          </w:p>
        </w:tc>
        <w:tc>
          <w:tcPr>
            <w:tcW w:w="820" w:type="dxa"/>
            <w:vAlign w:val="bottom"/>
            <w:tcBorders>
              <w:bottom w:val="single" w:sz="8" w:color="DC202E"/>
            </w:tcBorders>
          </w:tcPr>
          <w:p>
            <w:pPr>
              <w:spacing w:after="0"/>
              <w:rPr>
                <w:sz w:val="9"/>
                <w:szCs w:val="9"/>
                <w:color w:val="auto"/>
              </w:rPr>
            </w:pPr>
          </w:p>
        </w:tc>
        <w:tc>
          <w:tcPr>
            <w:tcW w:w="400" w:type="dxa"/>
            <w:vAlign w:val="bottom"/>
            <w:tcBorders>
              <w:bottom w:val="single" w:sz="8" w:color="DC202E"/>
            </w:tcBorders>
            <w:vMerge w:val="continue"/>
          </w:tcPr>
          <w:p>
            <w:pPr>
              <w:spacing w:after="0"/>
              <w:rPr>
                <w:sz w:val="9"/>
                <w:szCs w:val="9"/>
                <w:color w:val="auto"/>
              </w:rPr>
            </w:pPr>
          </w:p>
        </w:tc>
        <w:tc>
          <w:tcPr>
            <w:tcW w:w="860" w:type="dxa"/>
            <w:vAlign w:val="bottom"/>
            <w:tcBorders>
              <w:bottom w:val="single" w:sz="8" w:color="DC202E"/>
            </w:tcBorders>
          </w:tcPr>
          <w:p>
            <w:pPr>
              <w:spacing w:after="0"/>
              <w:rPr>
                <w:sz w:val="9"/>
                <w:szCs w:val="9"/>
                <w:color w:val="auto"/>
              </w:rPr>
            </w:pPr>
          </w:p>
        </w:tc>
        <w:tc>
          <w:tcPr>
            <w:tcW w:w="300" w:type="dxa"/>
            <w:vAlign w:val="bottom"/>
            <w:tcBorders>
              <w:bottom w:val="single" w:sz="8" w:color="DC202E"/>
            </w:tcBorders>
            <w:vMerge w:val="continue"/>
          </w:tcPr>
          <w:p>
            <w:pPr>
              <w:spacing w:after="0"/>
              <w:rPr>
                <w:sz w:val="9"/>
                <w:szCs w:val="9"/>
                <w:color w:val="auto"/>
              </w:rPr>
            </w:pPr>
          </w:p>
        </w:tc>
        <w:tc>
          <w:tcPr>
            <w:tcW w:w="1060" w:type="dxa"/>
            <w:vAlign w:val="bottom"/>
            <w:tcBorders>
              <w:bottom w:val="single" w:sz="8" w:color="DC202E"/>
            </w:tcBorders>
          </w:tcPr>
          <w:p>
            <w:pPr>
              <w:spacing w:after="0"/>
              <w:rPr>
                <w:sz w:val="9"/>
                <w:szCs w:val="9"/>
                <w:color w:val="auto"/>
              </w:rPr>
            </w:pPr>
          </w:p>
        </w:tc>
        <w:tc>
          <w:tcPr>
            <w:tcW w:w="300" w:type="dxa"/>
            <w:vAlign w:val="bottom"/>
            <w:tcBorders>
              <w:bottom w:val="single" w:sz="8" w:color="DC202E"/>
            </w:tcBorders>
            <w:vMerge w:val="continue"/>
          </w:tcPr>
          <w:p>
            <w:pPr>
              <w:spacing w:after="0"/>
              <w:rPr>
                <w:sz w:val="9"/>
                <w:szCs w:val="9"/>
                <w:color w:val="auto"/>
              </w:rPr>
            </w:pPr>
          </w:p>
        </w:tc>
        <w:tc>
          <w:tcPr>
            <w:tcW w:w="760" w:type="dxa"/>
            <w:vAlign w:val="bottom"/>
            <w:tcBorders>
              <w:bottom w:val="single" w:sz="8" w:color="DC202E"/>
            </w:tcBorders>
          </w:tcPr>
          <w:p>
            <w:pPr>
              <w:spacing w:after="0"/>
              <w:rPr>
                <w:sz w:val="9"/>
                <w:szCs w:val="9"/>
                <w:color w:val="auto"/>
              </w:rPr>
            </w:pPr>
          </w:p>
        </w:tc>
        <w:tc>
          <w:tcPr>
            <w:tcW w:w="420" w:type="dxa"/>
            <w:vAlign w:val="bottom"/>
            <w:tcBorders>
              <w:bottom w:val="single" w:sz="8" w:color="DC202E"/>
            </w:tcBorders>
            <w:vMerge w:val="continue"/>
          </w:tcPr>
          <w:p>
            <w:pPr>
              <w:spacing w:after="0"/>
              <w:rPr>
                <w:sz w:val="9"/>
                <w:szCs w:val="9"/>
                <w:color w:val="auto"/>
              </w:rPr>
            </w:pPr>
          </w:p>
        </w:tc>
        <w:tc>
          <w:tcPr>
            <w:tcW w:w="240" w:type="dxa"/>
            <w:vAlign w:val="bottom"/>
            <w:tcBorders>
              <w:bottom w:val="single" w:sz="8" w:color="DC202E"/>
            </w:tcBorders>
          </w:tcPr>
          <w:p>
            <w:pPr>
              <w:spacing w:after="0"/>
              <w:rPr>
                <w:sz w:val="9"/>
                <w:szCs w:val="9"/>
                <w:color w:val="auto"/>
              </w:rPr>
            </w:pPr>
          </w:p>
        </w:tc>
        <w:tc>
          <w:tcPr>
            <w:tcW w:w="1000" w:type="dxa"/>
            <w:vAlign w:val="bottom"/>
            <w:tcBorders>
              <w:bottom w:val="single" w:sz="8" w:color="DC202E"/>
            </w:tcBorders>
            <w:vMerge w:val="continue"/>
          </w:tcPr>
          <w:p>
            <w:pPr>
              <w:spacing w:after="0"/>
              <w:rPr>
                <w:sz w:val="9"/>
                <w:szCs w:val="9"/>
                <w:color w:val="auto"/>
              </w:rPr>
            </w:pPr>
          </w:p>
        </w:tc>
        <w:tc>
          <w:tcPr>
            <w:tcW w:w="280" w:type="dxa"/>
            <w:vAlign w:val="bottom"/>
            <w:tcBorders>
              <w:bottom w:val="single" w:sz="8" w:color="DC202E"/>
            </w:tcBorders>
          </w:tcPr>
          <w:p>
            <w:pPr>
              <w:spacing w:after="0"/>
              <w:rPr>
                <w:sz w:val="9"/>
                <w:szCs w:val="9"/>
                <w:color w:val="auto"/>
              </w:rPr>
            </w:pPr>
          </w:p>
        </w:tc>
        <w:tc>
          <w:tcPr>
            <w:tcW w:w="860" w:type="dxa"/>
            <w:vAlign w:val="bottom"/>
            <w:tcBorders>
              <w:bottom w:val="single" w:sz="8" w:color="DC202E"/>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before tax</w:t>
            </w:r>
          </w:p>
        </w:tc>
        <w:tc>
          <w:tcPr>
            <w:tcW w:w="960" w:type="dxa"/>
            <w:vAlign w:val="bottom"/>
            <w:tcBorders>
              <w:bottom w:val="single" w:sz="8" w:color="DC202E"/>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(3)</w:t>
            </w:r>
          </w:p>
        </w:tc>
        <w:tc>
          <w:tcPr>
            <w:tcW w:w="82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(35)</w:t>
            </w:r>
          </w:p>
        </w:tc>
        <w:tc>
          <w:tcPr>
            <w:tcW w:w="860" w:type="dxa"/>
            <w:vAlign w:val="bottom"/>
            <w:tcBorders>
              <w:bottom w:val="single" w:sz="8" w:color="DC202E"/>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(9)</w:t>
            </w:r>
          </w:p>
        </w:tc>
        <w:tc>
          <w:tcPr>
            <w:tcW w:w="1060" w:type="dxa"/>
            <w:vAlign w:val="bottom"/>
            <w:tcBorders>
              <w:bottom w:val="single" w:sz="8" w:color="DC202E"/>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C202E"/>
            </w:tcBorders>
          </w:tcPr>
          <w:p>
            <w:pPr>
              <w:ind w:left="20"/>
              <w:spacing w:after="0"/>
              <w:rPr>
                <w:sz w:val="20"/>
                <w:szCs w:val="20"/>
                <w:color w:val="auto"/>
              </w:rPr>
            </w:pPr>
            <w:r>
              <w:rPr>
                <w:rFonts w:ascii="Arial" w:cs="Arial" w:eastAsia="Arial" w:hAnsi="Arial"/>
                <w:sz w:val="10"/>
                <w:szCs w:val="10"/>
                <w:b w:val="1"/>
                <w:bCs w:val="1"/>
                <w:color w:val="auto"/>
              </w:rPr>
              <w:t>(1)</w:t>
            </w:r>
          </w:p>
        </w:tc>
        <w:tc>
          <w:tcPr>
            <w:tcW w:w="760" w:type="dxa"/>
            <w:vAlign w:val="bottom"/>
            <w:tcBorders>
              <w:bottom w:val="single" w:sz="8" w:color="DC202E"/>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(42)</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(19)</w:t>
            </w:r>
          </w:p>
        </w:tc>
        <w:tc>
          <w:tcPr>
            <w:tcW w:w="2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(109)</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Tax expense (benefit)</w:t>
            </w: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(59)</w:t>
            </w:r>
          </w:p>
        </w:tc>
        <w:tc>
          <w:tcPr>
            <w:tcW w:w="0" w:type="dxa"/>
            <w:vAlign w:val="bottom"/>
          </w:tcPr>
          <w:p>
            <w:pPr>
              <w:spacing w:after="0"/>
              <w:rPr>
                <w:sz w:val="1"/>
                <w:szCs w:val="1"/>
                <w:color w:val="auto"/>
              </w:rPr>
            </w:pPr>
          </w:p>
        </w:tc>
      </w:tr>
      <w:tr>
        <w:trPr>
          <w:trHeight w:val="115"/>
        </w:trPr>
        <w:tc>
          <w:tcPr>
            <w:tcW w:w="26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96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(168)</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18. CAPITAL STOCK</w:t>
      </w:r>
    </w:p>
    <w:p>
      <w:pPr>
        <w:spacing w:after="0" w:line="155"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 is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the Company which are available for distribution to the common shareowners. Common shareowners do not have preemptive or conversion rights. Shares of common stock issued and outstanding or held in the treasury are not liable to further calls or assessments. There are no restrictions on the Company relative to dividends or the repurchase or redemption of common stock.</w:t>
      </w:r>
    </w:p>
    <w:p>
      <w:pPr>
        <w:spacing w:after="0" w:line="68"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In April 2019, the Board of Directors authorized the repurchase of up to a total of $10 billion of Honeywell common stock. On February 12, 2021 the Board of Directors authorized another repurchase of up to a total of $10 billion of Honeywell common stock, which included $2.8 billion remaining under, and replaced, the previously approved share repurchase authorization. Approximately $7.1 billion and $3.3 billion remained available as of December 31, 2021 and 2020, respectively, for additional share repurchases.</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color w:val="auto"/>
        </w:rPr>
        <w:t>Honeywell repurchased approximately 15.8 million and 20.7 million shares of its common stock during the years ended December 31, 2021 and 2020, for $3,380 million and $3,714 million.</w:t>
      </w:r>
    </w:p>
    <w:p>
      <w:pPr>
        <w:spacing w:after="0" w:line="72"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Company is authorized to issue up to 40,000,000 shares of preferred stock, without par value, and can determine the number of shares of each series, and the rights, preferences and limitations of each series. At December 31, 2021, there was no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8" w:hanging="468"/>
        <w:spacing w:after="0"/>
        <w:tabs>
          <w:tab w:leader="none" w:pos="468" w:val="left"/>
        </w:tabs>
        <w:numPr>
          <w:ilvl w:val="0"/>
          <w:numId w:val="9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94" w:name="page95"/>
    <w:bookmarkEnd w:id="94"/>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19. COMMITMENTS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1"/>
          <w:szCs w:val="11"/>
          <w:color w:val="auto"/>
        </w:rPr>
        <w:t>The Company is subject to various federal, state, local and foreign government requirements relating to the protection of the environment. The Company believes that, as a general matter, the Company's policies, practices, and procedures are properly designed to prevent unreasonable risk of environmental damage and personal injury and that the handling, manufacture, use, and disposal of hazardous substances are in accordance with environmental and safety laws and regulations. However, mainly because of past operations and operations of predecessor companies, the Company,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70" w:lineRule="exact"/>
        <w:rPr>
          <w:sz w:val="20"/>
          <w:szCs w:val="20"/>
          <w:color w:val="auto"/>
        </w:rPr>
      </w:pPr>
    </w:p>
    <w:p>
      <w:pPr>
        <w:jc w:val="both"/>
        <w:spacing w:after="0"/>
        <w:rPr>
          <w:sz w:val="20"/>
          <w:szCs w:val="20"/>
          <w:color w:val="auto"/>
        </w:rPr>
      </w:pPr>
      <w:r>
        <w:rPr>
          <w:rFonts w:ascii="Arial" w:cs="Arial" w:eastAsia="Arial" w:hAnsi="Arial"/>
          <w:sz w:val="11"/>
          <w:szCs w:val="11"/>
          <w:color w:val="auto"/>
        </w:rPr>
        <w:t>With respect to environmental matters involving site contamination, the Company continually conducts studies, individually or jointly with other potentially responsible parties, to determine the feasibility of various remedial techniques. It is the Company's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The Company expects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information concerning our recorded liabilities for environmental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380" w:type="dxa"/>
            <w:vAlign w:val="bottom"/>
          </w:tcPr>
          <w:p>
            <w:pPr>
              <w:spacing w:after="0"/>
              <w:rPr>
                <w:sz w:val="11"/>
                <w:szCs w:val="11"/>
                <w:color w:val="auto"/>
              </w:rPr>
            </w:pPr>
          </w:p>
        </w:tc>
        <w:tc>
          <w:tcPr>
            <w:tcW w:w="320" w:type="dxa"/>
            <w:vAlign w:val="bottom"/>
            <w:tcBorders>
              <w:bottom w:val="single" w:sz="8" w:color="DC202E"/>
            </w:tcBorders>
          </w:tcPr>
          <w:p>
            <w:pPr>
              <w:spacing w:after="0"/>
              <w:rPr>
                <w:sz w:val="11"/>
                <w:szCs w:val="11"/>
                <w:color w:val="auto"/>
              </w:rPr>
            </w:pPr>
          </w:p>
        </w:tc>
        <w:tc>
          <w:tcPr>
            <w:tcW w:w="18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60" w:type="dxa"/>
            <w:vAlign w:val="bottom"/>
            <w:tcBorders>
              <w:bottom w:val="single" w:sz="8" w:color="DC202E"/>
            </w:tcBorders>
          </w:tcPr>
          <w:p>
            <w:pPr>
              <w:spacing w:after="0"/>
              <w:rPr>
                <w:sz w:val="11"/>
                <w:szCs w:val="11"/>
                <w:color w:val="auto"/>
              </w:rPr>
            </w:pPr>
          </w:p>
        </w:tc>
        <w:tc>
          <w:tcPr>
            <w:tcW w:w="640" w:type="dxa"/>
            <w:vAlign w:val="bottom"/>
            <w:tcBorders>
              <w:bottom w:val="single" w:sz="8" w:color="DC202E"/>
            </w:tcBorders>
          </w:tcPr>
          <w:p>
            <w:pPr>
              <w:spacing w:after="0"/>
              <w:rPr>
                <w:sz w:val="11"/>
                <w:szCs w:val="11"/>
                <w:color w:val="auto"/>
              </w:rPr>
            </w:pPr>
          </w:p>
        </w:tc>
      </w:tr>
      <w:tr>
        <w:trPr>
          <w:trHeight w:val="151"/>
        </w:trPr>
        <w:tc>
          <w:tcPr>
            <w:tcW w:w="838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9"/>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Beginning of year</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660</w:t>
            </w: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709</w:t>
            </w:r>
          </w:p>
        </w:tc>
        <w:tc>
          <w:tcPr>
            <w:tcW w:w="1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755</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Accruals for environmental matters deemed probable and reasonably estimable</w:t>
            </w:r>
          </w:p>
        </w:tc>
        <w:tc>
          <w:tcPr>
            <w:tcW w:w="3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168</w:t>
            </w:r>
          </w:p>
        </w:tc>
        <w:tc>
          <w:tcPr>
            <w:tcW w:w="3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173</w:t>
            </w:r>
          </w:p>
        </w:tc>
        <w:tc>
          <w:tcPr>
            <w:tcW w:w="1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213</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Environmental liability payments</w:t>
            </w:r>
          </w:p>
        </w:tc>
        <w:tc>
          <w:tcPr>
            <w:tcW w:w="3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(210)</w:t>
            </w:r>
          </w:p>
        </w:tc>
        <w:tc>
          <w:tcPr>
            <w:tcW w:w="3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(216)</w:t>
            </w:r>
          </w:p>
        </w:tc>
        <w:tc>
          <w:tcPr>
            <w:tcW w:w="1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(256)</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w:t>
            </w:r>
          </w:p>
        </w:tc>
        <w:tc>
          <w:tcPr>
            <w:tcW w:w="3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(6)</w:t>
            </w:r>
          </w:p>
        </w:tc>
        <w:tc>
          <w:tcPr>
            <w:tcW w:w="1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End of year</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618</w:t>
            </w: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660</w:t>
            </w:r>
          </w:p>
        </w:tc>
        <w:tc>
          <w:tcPr>
            <w:tcW w:w="1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709</w:t>
            </w:r>
          </w:p>
        </w:tc>
      </w:tr>
      <w:tr>
        <w:trPr>
          <w:trHeight w:val="246"/>
        </w:trPr>
        <w:tc>
          <w:tcPr>
            <w:tcW w:w="8380" w:type="dxa"/>
            <w:vAlign w:val="bottom"/>
          </w:tcPr>
          <w:p>
            <w:pPr>
              <w:spacing w:after="0"/>
              <w:rPr>
                <w:sz w:val="20"/>
                <w:szCs w:val="20"/>
                <w:color w:val="auto"/>
              </w:rPr>
            </w:pPr>
            <w:r>
              <w:rPr>
                <w:rFonts w:ascii="Arial" w:cs="Arial" w:eastAsia="Arial" w:hAnsi="Arial"/>
                <w:sz w:val="11"/>
                <w:szCs w:val="11"/>
                <w:color w:val="auto"/>
              </w:rPr>
              <w:t>Environmental liabilities are included in the following balance sheet accounts:</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2"/>
        </w:trPr>
        <w:tc>
          <w:tcPr>
            <w:tcW w:w="8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Borders>
              <w:bottom w:val="single" w:sz="8" w:color="DC202E"/>
            </w:tcBorders>
          </w:tcPr>
          <w:p>
            <w:pPr>
              <w:spacing w:after="0"/>
              <w:rPr>
                <w:sz w:val="21"/>
                <w:szCs w:val="21"/>
                <w:color w:val="auto"/>
              </w:rPr>
            </w:pPr>
          </w:p>
        </w:tc>
        <w:tc>
          <w:tcPr>
            <w:tcW w:w="9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C202E"/>
            </w:tcBorders>
          </w:tcPr>
          <w:p>
            <w:pPr>
              <w:spacing w:after="0"/>
              <w:rPr>
                <w:sz w:val="21"/>
                <w:szCs w:val="21"/>
                <w:color w:val="auto"/>
              </w:rPr>
            </w:pPr>
          </w:p>
        </w:tc>
      </w:tr>
      <w:tr>
        <w:trPr>
          <w:trHeight w:val="151"/>
        </w:trPr>
        <w:tc>
          <w:tcPr>
            <w:tcW w:w="838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9"/>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Accrued liabilities</w:t>
            </w:r>
          </w:p>
        </w:tc>
        <w:tc>
          <w:tcPr>
            <w:tcW w:w="3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225</w:t>
            </w:r>
          </w:p>
        </w:tc>
        <w:tc>
          <w:tcPr>
            <w:tcW w:w="1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225</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liabilities</w:t>
            </w:r>
          </w:p>
        </w:tc>
        <w:tc>
          <w:tcPr>
            <w:tcW w:w="3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393</w:t>
            </w:r>
          </w:p>
        </w:tc>
        <w:tc>
          <w:tcPr>
            <w:tcW w:w="1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435</w:t>
            </w:r>
          </w:p>
        </w:tc>
      </w:tr>
      <w:tr>
        <w:trPr>
          <w:trHeight w:val="115"/>
        </w:trPr>
        <w:tc>
          <w:tcPr>
            <w:tcW w:w="838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618</w:t>
            </w:r>
          </w:p>
        </w:tc>
        <w:tc>
          <w:tcPr>
            <w:tcW w:w="1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660</w:t>
            </w:r>
          </w:p>
        </w:tc>
      </w:tr>
    </w:tbl>
    <w:p>
      <w:pPr>
        <w:spacing w:after="0" w:line="118"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59"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In conjunction with the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93</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5" w:name="page96"/>
    <w:bookmarkEnd w:id="95"/>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79" w:lineRule="exact"/>
        <w:rPr>
          <w:sz w:val="20"/>
          <w:szCs w:val="20"/>
          <w:color w:val="auto"/>
        </w:rPr>
      </w:pPr>
    </w:p>
    <w:p>
      <w:pPr>
        <w:jc w:val="both"/>
        <w:spacing w:after="0" w:line="226" w:lineRule="auto"/>
        <w:rPr>
          <w:sz w:val="20"/>
          <w:szCs w:val="20"/>
          <w:color w:val="auto"/>
        </w:rPr>
      </w:pPr>
      <w:r>
        <w:rPr>
          <w:rFonts w:ascii="Arial" w:cs="Arial" w:eastAsia="Arial" w:hAnsi="Arial"/>
          <w:sz w:val="11"/>
          <w:szCs w:val="11"/>
          <w:color w:val="auto"/>
        </w:rPr>
        <w:t>Reimbursements associated with this agreement are collected from Resideo quarterly and were $140 million in both 2021 and 2020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2021 and 2020 was $146 million and $146 million, respectively. As of December 31, 2021, Other current assets and Other assets included $140 million and $457 million, respectively, for the short-term and long-term portion of the receivable amount due from Resideo under the indemnification and reimbursement agreement. As of December 31, 2020, Other current assets and Other assets included $140 million and $451 million, respectively, for the short-term and long-term portion of the receivable amount due from Resideo under the indemnification and reimbursement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ASBESTOS RELATED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Honeywell is named in asbestos-related personal injury claims related to North American Refractories Company (NARCO), which was sold in 1986, and the Bendix Friction Materials (Bendix) business, which was sold in 2014.</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tables summarize information concerning NARCO and Bendix asbestos-related balances: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920" w:type="dxa"/>
            <w:vAlign w:val="bottom"/>
          </w:tcPr>
          <w:p>
            <w:pPr>
              <w:spacing w:after="0"/>
              <w:rPr>
                <w:sz w:val="11"/>
                <w:szCs w:val="11"/>
                <w:color w:val="auto"/>
              </w:rPr>
            </w:pPr>
          </w:p>
        </w:tc>
        <w:tc>
          <w:tcPr>
            <w:tcW w:w="280" w:type="dxa"/>
            <w:vAlign w:val="bottom"/>
            <w:tcBorders>
              <w:bottom w:val="single" w:sz="8" w:color="DC202E"/>
            </w:tcBorders>
          </w:tcPr>
          <w:p>
            <w:pPr>
              <w:spacing w:after="0"/>
              <w:rPr>
                <w:sz w:val="11"/>
                <w:szCs w:val="11"/>
                <w:color w:val="auto"/>
              </w:rPr>
            </w:pPr>
          </w:p>
        </w:tc>
        <w:tc>
          <w:tcPr>
            <w:tcW w:w="1800" w:type="dxa"/>
            <w:vAlign w:val="bottom"/>
            <w:tcBorders>
              <w:bottom w:val="single" w:sz="8" w:color="DC202E"/>
            </w:tcBorders>
            <w:gridSpan w:val="4"/>
          </w:tcPr>
          <w:p>
            <w:pPr>
              <w:jc w:val="right"/>
              <w:spacing w:after="0"/>
              <w:rPr>
                <w:sz w:val="20"/>
                <w:szCs w:val="20"/>
                <w:color w:val="auto"/>
              </w:rPr>
            </w:pPr>
            <w:r>
              <w:rPr>
                <w:rFonts w:ascii="Arial" w:cs="Arial" w:eastAsia="Arial" w:hAnsi="Arial"/>
                <w:sz w:val="10"/>
                <w:szCs w:val="10"/>
                <w:b w:val="1"/>
                <w:bCs w:val="1"/>
                <w:color w:val="auto"/>
              </w:rPr>
              <w:t>Year Ended December 31, 2021</w:t>
            </w:r>
          </w:p>
        </w:tc>
        <w:tc>
          <w:tcPr>
            <w:tcW w:w="580" w:type="dxa"/>
            <w:vAlign w:val="bottom"/>
            <w:tcBorders>
              <w:bottom w:val="single" w:sz="8" w:color="DC202E"/>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DC202E"/>
            </w:tcBorders>
          </w:tcPr>
          <w:p>
            <w:pPr>
              <w:spacing w:after="0"/>
              <w:rPr>
                <w:sz w:val="11"/>
                <w:szCs w:val="11"/>
                <w:color w:val="auto"/>
              </w:rPr>
            </w:pPr>
          </w:p>
        </w:tc>
        <w:tc>
          <w:tcPr>
            <w:tcW w:w="1800" w:type="dxa"/>
            <w:vAlign w:val="bottom"/>
            <w:tcBorders>
              <w:bottom w:val="single" w:sz="8" w:color="DC202E"/>
            </w:tcBorders>
            <w:gridSpan w:val="4"/>
          </w:tcPr>
          <w:p>
            <w:pPr>
              <w:jc w:val="right"/>
              <w:spacing w:after="0"/>
              <w:rPr>
                <w:sz w:val="20"/>
                <w:szCs w:val="20"/>
                <w:color w:val="auto"/>
              </w:rPr>
            </w:pPr>
            <w:r>
              <w:rPr>
                <w:rFonts w:ascii="Arial" w:cs="Arial" w:eastAsia="Arial" w:hAnsi="Arial"/>
                <w:sz w:val="10"/>
                <w:szCs w:val="10"/>
                <w:b w:val="1"/>
                <w:bCs w:val="1"/>
                <w:color w:val="auto"/>
              </w:rPr>
              <w:t>Year Ended December 31, 2020</w:t>
            </w:r>
          </w:p>
        </w:tc>
        <w:tc>
          <w:tcPr>
            <w:tcW w:w="580" w:type="dxa"/>
            <w:vAlign w:val="bottom"/>
            <w:tcBorders>
              <w:bottom w:val="single" w:sz="8" w:color="DC202E"/>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DC202E"/>
            </w:tcBorders>
          </w:tcPr>
          <w:p>
            <w:pPr>
              <w:spacing w:after="0"/>
              <w:rPr>
                <w:sz w:val="11"/>
                <w:szCs w:val="11"/>
                <w:color w:val="auto"/>
              </w:rPr>
            </w:pPr>
          </w:p>
        </w:tc>
        <w:tc>
          <w:tcPr>
            <w:tcW w:w="1780" w:type="dxa"/>
            <w:vAlign w:val="bottom"/>
            <w:tcBorders>
              <w:bottom w:val="single" w:sz="8" w:color="DC202E"/>
            </w:tcBorders>
            <w:gridSpan w:val="4"/>
          </w:tcPr>
          <w:p>
            <w:pPr>
              <w:jc w:val="right"/>
              <w:spacing w:after="0"/>
              <w:rPr>
                <w:sz w:val="20"/>
                <w:szCs w:val="20"/>
                <w:color w:val="auto"/>
              </w:rPr>
            </w:pPr>
            <w:r>
              <w:rPr>
                <w:rFonts w:ascii="Arial" w:cs="Arial" w:eastAsia="Arial" w:hAnsi="Arial"/>
                <w:sz w:val="10"/>
                <w:szCs w:val="10"/>
                <w:b w:val="1"/>
                <w:bCs w:val="1"/>
                <w:color w:val="auto"/>
              </w:rPr>
              <w:t>Year Ended December 31, 2019</w:t>
            </w:r>
          </w:p>
        </w:tc>
        <w:tc>
          <w:tcPr>
            <w:tcW w:w="580" w:type="dxa"/>
            <w:vAlign w:val="bottom"/>
            <w:tcBorders>
              <w:bottom w:val="single" w:sz="8" w:color="DC202E"/>
            </w:tcBorders>
          </w:tcPr>
          <w:p>
            <w:pPr>
              <w:spacing w:after="0"/>
              <w:rPr>
                <w:sz w:val="11"/>
                <w:szCs w:val="11"/>
                <w:color w:val="auto"/>
              </w:rPr>
            </w:pPr>
          </w:p>
        </w:tc>
      </w:tr>
      <w:tr>
        <w:trPr>
          <w:trHeight w:val="133"/>
        </w:trPr>
        <w:tc>
          <w:tcPr>
            <w:tcW w:w="2920" w:type="dxa"/>
            <w:vAlign w:val="bottom"/>
            <w:tcBorders>
              <w:bottom w:val="single" w:sz="8" w:color="DC202E"/>
            </w:tcBorders>
          </w:tcPr>
          <w:p>
            <w:pPr>
              <w:spacing w:after="0"/>
              <w:rPr>
                <w:sz w:val="11"/>
                <w:szCs w:val="11"/>
                <w:color w:val="auto"/>
              </w:rPr>
            </w:pPr>
          </w:p>
        </w:tc>
        <w:tc>
          <w:tcPr>
            <w:tcW w:w="280" w:type="dxa"/>
            <w:vAlign w:val="bottom"/>
            <w:tcBorders>
              <w:bottom w:val="single" w:sz="8" w:color="DC202E"/>
            </w:tcBorders>
          </w:tcPr>
          <w:p>
            <w:pPr>
              <w:spacing w:after="0"/>
              <w:rPr>
                <w:sz w:val="11"/>
                <w:szCs w:val="11"/>
                <w:color w:val="auto"/>
              </w:rPr>
            </w:pPr>
          </w:p>
        </w:tc>
        <w:tc>
          <w:tcPr>
            <w:tcW w:w="72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w w:val="89"/>
              </w:rPr>
              <w:t>Bendix</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NARCO</w:t>
            </w:r>
          </w:p>
        </w:tc>
        <w:tc>
          <w:tcPr>
            <w:tcW w:w="360" w:type="dxa"/>
            <w:vAlign w:val="bottom"/>
            <w:tcBorders>
              <w:bottom w:val="single" w:sz="8" w:color="DC202E"/>
            </w:tcBorders>
          </w:tcPr>
          <w:p>
            <w:pPr>
              <w:spacing w:after="0"/>
              <w:rPr>
                <w:sz w:val="11"/>
                <w:szCs w:val="11"/>
                <w:color w:val="auto"/>
              </w:rPr>
            </w:pPr>
          </w:p>
        </w:tc>
        <w:tc>
          <w:tcPr>
            <w:tcW w:w="200" w:type="dxa"/>
            <w:vAlign w:val="bottom"/>
            <w:tcBorders>
              <w:bottom w:val="single" w:sz="8" w:color="DC202E"/>
            </w:tcBorders>
          </w:tcPr>
          <w:p>
            <w:pPr>
              <w:spacing w:after="0"/>
              <w:rPr>
                <w:sz w:val="11"/>
                <w:szCs w:val="11"/>
                <w:color w:val="auto"/>
              </w:rPr>
            </w:pPr>
          </w:p>
        </w:tc>
        <w:tc>
          <w:tcPr>
            <w:tcW w:w="780" w:type="dxa"/>
            <w:vAlign w:val="bottom"/>
            <w:tcBorders>
              <w:bottom w:val="single" w:sz="8" w:color="DC202E"/>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280" w:type="dxa"/>
            <w:vAlign w:val="bottom"/>
            <w:tcBorders>
              <w:bottom w:val="single" w:sz="8" w:color="DC202E"/>
            </w:tcBorders>
          </w:tcPr>
          <w:p>
            <w:pPr>
              <w:spacing w:after="0"/>
              <w:rPr>
                <w:sz w:val="11"/>
                <w:szCs w:val="11"/>
                <w:color w:val="auto"/>
              </w:rPr>
            </w:pPr>
          </w:p>
        </w:tc>
        <w:tc>
          <w:tcPr>
            <w:tcW w:w="72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w w:val="89"/>
              </w:rPr>
              <w:t>Bendix</w:t>
            </w:r>
          </w:p>
        </w:tc>
        <w:tc>
          <w:tcPr>
            <w:tcW w:w="5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C202E"/>
            </w:tcBorders>
          </w:tcPr>
          <w:p>
            <w:pPr>
              <w:spacing w:after="0"/>
              <w:rPr>
                <w:sz w:val="11"/>
                <w:szCs w:val="11"/>
                <w:color w:val="auto"/>
              </w:rPr>
            </w:pPr>
          </w:p>
        </w:tc>
        <w:tc>
          <w:tcPr>
            <w:tcW w:w="200" w:type="dxa"/>
            <w:vAlign w:val="bottom"/>
            <w:tcBorders>
              <w:bottom w:val="single" w:sz="8" w:color="DC202E"/>
            </w:tcBorders>
          </w:tcPr>
          <w:p>
            <w:pPr>
              <w:spacing w:after="0"/>
              <w:rPr>
                <w:sz w:val="11"/>
                <w:szCs w:val="11"/>
                <w:color w:val="auto"/>
              </w:rPr>
            </w:pPr>
          </w:p>
        </w:tc>
        <w:tc>
          <w:tcPr>
            <w:tcW w:w="780" w:type="dxa"/>
            <w:vAlign w:val="bottom"/>
            <w:tcBorders>
              <w:bottom w:val="single" w:sz="8" w:color="DC202E"/>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DC202E"/>
            </w:tcBorders>
          </w:tcPr>
          <w:p>
            <w:pPr>
              <w:spacing w:after="0"/>
              <w:rPr>
                <w:sz w:val="11"/>
                <w:szCs w:val="11"/>
                <w:color w:val="auto"/>
              </w:rPr>
            </w:pPr>
          </w:p>
        </w:tc>
        <w:tc>
          <w:tcPr>
            <w:tcW w:w="70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89"/>
              </w:rPr>
              <w:t>Bendix</w:t>
            </w:r>
          </w:p>
        </w:tc>
        <w:tc>
          <w:tcPr>
            <w:tcW w:w="5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C202E"/>
            </w:tcBorders>
          </w:tcPr>
          <w:p>
            <w:pPr>
              <w:spacing w:after="0"/>
              <w:rPr>
                <w:sz w:val="11"/>
                <w:szCs w:val="11"/>
                <w:color w:val="auto"/>
              </w:rPr>
            </w:pPr>
          </w:p>
        </w:tc>
        <w:tc>
          <w:tcPr>
            <w:tcW w:w="200" w:type="dxa"/>
            <w:vAlign w:val="bottom"/>
            <w:tcBorders>
              <w:bottom w:val="single" w:sz="8" w:color="DC202E"/>
            </w:tcBorders>
          </w:tcPr>
          <w:p>
            <w:pPr>
              <w:spacing w:after="0"/>
              <w:rPr>
                <w:sz w:val="11"/>
                <w:szCs w:val="11"/>
                <w:color w:val="auto"/>
              </w:rPr>
            </w:pPr>
          </w:p>
        </w:tc>
        <w:tc>
          <w:tcPr>
            <w:tcW w:w="58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w w:val="91"/>
              </w:rPr>
              <w:t>Total</w:t>
            </w:r>
          </w:p>
        </w:tc>
      </w:tr>
      <w:tr>
        <w:trPr>
          <w:trHeight w:val="119"/>
        </w:trPr>
        <w:tc>
          <w:tcPr>
            <w:tcW w:w="29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Beginning of year</w:t>
            </w: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1,441</w:t>
            </w:r>
          </w:p>
        </w:tc>
        <w:tc>
          <w:tcPr>
            <w:tcW w:w="5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779</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2,220</w:t>
            </w:r>
          </w:p>
        </w:tc>
        <w:tc>
          <w:tcPr>
            <w:tcW w:w="2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1,499</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858</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2,357</w:t>
            </w: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1,623</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891</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2,514</w:t>
            </w:r>
          </w:p>
        </w:tc>
      </w:tr>
      <w:tr>
        <w:trPr>
          <w:trHeight w:val="115"/>
        </w:trPr>
        <w:tc>
          <w:tcPr>
            <w:tcW w:w="29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Accrual for update to estimated liability</w:t>
            </w: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64</w:t>
            </w:r>
          </w:p>
        </w:tc>
        <w:tc>
          <w:tcPr>
            <w:tcW w:w="5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31</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95</w:t>
            </w:r>
          </w:p>
        </w:tc>
        <w:tc>
          <w:tcPr>
            <w:tcW w:w="2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80</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18</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98</w:t>
            </w:r>
          </w:p>
        </w:tc>
        <w:tc>
          <w:tcPr>
            <w:tcW w:w="20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78</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22</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100</w:t>
            </w:r>
          </w:p>
        </w:tc>
      </w:tr>
      <w:tr>
        <w:trPr>
          <w:trHeight w:val="115"/>
        </w:trPr>
        <w:tc>
          <w:tcPr>
            <w:tcW w:w="29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Change in estimated cost of future claims</w:t>
            </w: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29</w:t>
            </w:r>
          </w:p>
        </w:tc>
        <w:tc>
          <w:tcPr>
            <w:tcW w:w="5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29</w:t>
            </w:r>
          </w:p>
        </w:tc>
        <w:tc>
          <w:tcPr>
            <w:tcW w:w="2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42</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42</w:t>
            </w:r>
          </w:p>
        </w:tc>
        <w:tc>
          <w:tcPr>
            <w:tcW w:w="20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(22)</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w:t>
            </w:r>
          </w:p>
        </w:tc>
      </w:tr>
      <w:tr>
        <w:trPr>
          <w:trHeight w:val="115"/>
        </w:trPr>
        <w:tc>
          <w:tcPr>
            <w:tcW w:w="29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Update of expected resolution values for pending claims</w:t>
            </w: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w:t>
            </w:r>
          </w:p>
        </w:tc>
        <w:tc>
          <w:tcPr>
            <w:tcW w:w="5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3</w:t>
            </w:r>
          </w:p>
        </w:tc>
        <w:tc>
          <w:tcPr>
            <w:tcW w:w="2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10</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10</w:t>
            </w:r>
          </w:p>
        </w:tc>
        <w:tc>
          <w:tcPr>
            <w:tcW w:w="20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w:t>
            </w:r>
          </w:p>
        </w:tc>
      </w:tr>
      <w:tr>
        <w:trPr>
          <w:trHeight w:val="115"/>
        </w:trPr>
        <w:tc>
          <w:tcPr>
            <w:tcW w:w="29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Asbestos related liability payments</w:t>
            </w:r>
          </w:p>
        </w:tc>
        <w:tc>
          <w:tcPr>
            <w:tcW w:w="280" w:type="dxa"/>
            <w:vAlign w:val="bottom"/>
            <w:tcBorders>
              <w:bottom w:val="single" w:sz="8" w:color="DC202E"/>
            </w:tcBorders>
          </w:tcPr>
          <w:p>
            <w:pPr>
              <w:spacing w:after="0"/>
              <w:rPr>
                <w:sz w:val="10"/>
                <w:szCs w:val="10"/>
                <w:color w:val="auto"/>
              </w:rPr>
            </w:pPr>
          </w:p>
        </w:tc>
        <w:tc>
          <w:tcPr>
            <w:tcW w:w="7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(165)</w:t>
            </w:r>
          </w:p>
        </w:tc>
        <w:tc>
          <w:tcPr>
            <w:tcW w:w="5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w w:val="94"/>
              </w:rPr>
              <w:t>(121)</w:t>
            </w:r>
          </w:p>
        </w:tc>
        <w:tc>
          <w:tcPr>
            <w:tcW w:w="2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(286)</w:t>
            </w:r>
          </w:p>
        </w:tc>
        <w:tc>
          <w:tcPr>
            <w:tcW w:w="2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7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(190)</w:t>
            </w:r>
          </w:p>
        </w:tc>
        <w:tc>
          <w:tcPr>
            <w:tcW w:w="5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(97)</w:t>
            </w:r>
          </w:p>
        </w:tc>
        <w:tc>
          <w:tcPr>
            <w:tcW w:w="2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(287)</w:t>
            </w: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(176)</w:t>
            </w:r>
          </w:p>
        </w:tc>
        <w:tc>
          <w:tcPr>
            <w:tcW w:w="5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(55)</w:t>
            </w:r>
          </w:p>
        </w:tc>
        <w:tc>
          <w:tcPr>
            <w:tcW w:w="2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(231)</w:t>
            </w:r>
          </w:p>
        </w:tc>
      </w:tr>
      <w:tr>
        <w:trPr>
          <w:trHeight w:val="115"/>
        </w:trPr>
        <w:tc>
          <w:tcPr>
            <w:tcW w:w="29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End of year</w:t>
            </w: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1,372</w:t>
            </w:r>
          </w:p>
        </w:tc>
        <w:tc>
          <w:tcPr>
            <w:tcW w:w="5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689</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2,061</w:t>
            </w:r>
          </w:p>
        </w:tc>
        <w:tc>
          <w:tcPr>
            <w:tcW w:w="2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1,441</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779</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2,220</w:t>
            </w: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1,499</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858</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2,357</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RECOVERIES FOR ASBESTOS RELATED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920" w:type="dxa"/>
            <w:vAlign w:val="bottom"/>
          </w:tcPr>
          <w:p>
            <w:pPr>
              <w:spacing w:after="0"/>
              <w:rPr>
                <w:sz w:val="11"/>
                <w:szCs w:val="11"/>
                <w:color w:val="auto"/>
              </w:rPr>
            </w:pPr>
          </w:p>
        </w:tc>
        <w:tc>
          <w:tcPr>
            <w:tcW w:w="620" w:type="dxa"/>
            <w:vAlign w:val="bottom"/>
            <w:tcBorders>
              <w:bottom w:val="single" w:sz="8" w:color="DC202E"/>
            </w:tcBorders>
          </w:tcPr>
          <w:p>
            <w:pPr>
              <w:spacing w:after="0"/>
              <w:rPr>
                <w:sz w:val="11"/>
                <w:szCs w:val="11"/>
                <w:color w:val="auto"/>
              </w:rPr>
            </w:pPr>
          </w:p>
        </w:tc>
        <w:tc>
          <w:tcPr>
            <w:tcW w:w="1460" w:type="dxa"/>
            <w:vAlign w:val="bottom"/>
            <w:tcBorders>
              <w:bottom w:val="single" w:sz="8" w:color="DC202E"/>
            </w:tcBorders>
            <w:gridSpan w:val="4"/>
          </w:tcPr>
          <w:p>
            <w:pPr>
              <w:jc w:val="right"/>
              <w:spacing w:after="0"/>
              <w:rPr>
                <w:sz w:val="20"/>
                <w:szCs w:val="20"/>
                <w:color w:val="auto"/>
              </w:rPr>
            </w:pPr>
            <w:r>
              <w:rPr>
                <w:rFonts w:ascii="Arial" w:cs="Arial" w:eastAsia="Arial" w:hAnsi="Arial"/>
                <w:sz w:val="10"/>
                <w:szCs w:val="10"/>
                <w:b w:val="1"/>
                <w:bCs w:val="1"/>
                <w:color w:val="auto"/>
                <w:w w:val="94"/>
              </w:rPr>
              <w:t>Year Ended December 31, 2021</w:t>
            </w:r>
          </w:p>
        </w:tc>
        <w:tc>
          <w:tcPr>
            <w:tcW w:w="580" w:type="dxa"/>
            <w:vAlign w:val="bottom"/>
            <w:tcBorders>
              <w:bottom w:val="single" w:sz="8" w:color="DC202E"/>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DC202E"/>
            </w:tcBorders>
          </w:tcPr>
          <w:p>
            <w:pPr>
              <w:spacing w:after="0"/>
              <w:rPr>
                <w:sz w:val="11"/>
                <w:szCs w:val="11"/>
                <w:color w:val="auto"/>
              </w:rPr>
            </w:pPr>
          </w:p>
        </w:tc>
        <w:tc>
          <w:tcPr>
            <w:tcW w:w="1800" w:type="dxa"/>
            <w:vAlign w:val="bottom"/>
            <w:tcBorders>
              <w:bottom w:val="single" w:sz="8" w:color="DC202E"/>
            </w:tcBorders>
            <w:gridSpan w:val="4"/>
          </w:tcPr>
          <w:p>
            <w:pPr>
              <w:jc w:val="right"/>
              <w:spacing w:after="0"/>
              <w:rPr>
                <w:sz w:val="20"/>
                <w:szCs w:val="20"/>
                <w:color w:val="auto"/>
              </w:rPr>
            </w:pPr>
            <w:r>
              <w:rPr>
                <w:rFonts w:ascii="Arial" w:cs="Arial" w:eastAsia="Arial" w:hAnsi="Arial"/>
                <w:sz w:val="10"/>
                <w:szCs w:val="10"/>
                <w:b w:val="1"/>
                <w:bCs w:val="1"/>
                <w:color w:val="auto"/>
              </w:rPr>
              <w:t>Year Ended December 31, 2020</w:t>
            </w:r>
          </w:p>
        </w:tc>
        <w:tc>
          <w:tcPr>
            <w:tcW w:w="580" w:type="dxa"/>
            <w:vAlign w:val="bottom"/>
            <w:tcBorders>
              <w:bottom w:val="single" w:sz="8" w:color="DC202E"/>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DC202E"/>
            </w:tcBorders>
          </w:tcPr>
          <w:p>
            <w:pPr>
              <w:spacing w:after="0"/>
              <w:rPr>
                <w:sz w:val="11"/>
                <w:szCs w:val="11"/>
                <w:color w:val="auto"/>
              </w:rPr>
            </w:pPr>
          </w:p>
        </w:tc>
        <w:tc>
          <w:tcPr>
            <w:tcW w:w="1780" w:type="dxa"/>
            <w:vAlign w:val="bottom"/>
            <w:tcBorders>
              <w:bottom w:val="single" w:sz="8" w:color="DC202E"/>
            </w:tcBorders>
            <w:gridSpan w:val="4"/>
          </w:tcPr>
          <w:p>
            <w:pPr>
              <w:jc w:val="right"/>
              <w:spacing w:after="0"/>
              <w:rPr>
                <w:sz w:val="20"/>
                <w:szCs w:val="20"/>
                <w:color w:val="auto"/>
              </w:rPr>
            </w:pPr>
            <w:r>
              <w:rPr>
                <w:rFonts w:ascii="Arial" w:cs="Arial" w:eastAsia="Arial" w:hAnsi="Arial"/>
                <w:sz w:val="10"/>
                <w:szCs w:val="10"/>
                <w:b w:val="1"/>
                <w:bCs w:val="1"/>
                <w:color w:val="auto"/>
              </w:rPr>
              <w:t>Year Ended December 31, 2019</w:t>
            </w:r>
          </w:p>
        </w:tc>
        <w:tc>
          <w:tcPr>
            <w:tcW w:w="580" w:type="dxa"/>
            <w:vAlign w:val="bottom"/>
            <w:tcBorders>
              <w:bottom w:val="single" w:sz="8" w:color="DC202E"/>
            </w:tcBorders>
          </w:tcPr>
          <w:p>
            <w:pPr>
              <w:spacing w:after="0"/>
              <w:rPr>
                <w:sz w:val="11"/>
                <w:szCs w:val="11"/>
                <w:color w:val="auto"/>
              </w:rPr>
            </w:pPr>
          </w:p>
        </w:tc>
      </w:tr>
      <w:tr>
        <w:trPr>
          <w:trHeight w:val="133"/>
        </w:trPr>
        <w:tc>
          <w:tcPr>
            <w:tcW w:w="2920" w:type="dxa"/>
            <w:vAlign w:val="bottom"/>
            <w:tcBorders>
              <w:bottom w:val="single" w:sz="8" w:color="DC202E"/>
            </w:tcBorders>
          </w:tcPr>
          <w:p>
            <w:pPr>
              <w:spacing w:after="0"/>
              <w:rPr>
                <w:sz w:val="11"/>
                <w:szCs w:val="11"/>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Bendix</w:t>
            </w:r>
          </w:p>
        </w:tc>
        <w:tc>
          <w:tcPr>
            <w:tcW w:w="380" w:type="dxa"/>
            <w:vAlign w:val="bottom"/>
            <w:tcBorders>
              <w:bottom w:val="single" w:sz="8" w:color="DC202E"/>
            </w:tcBorders>
          </w:tcPr>
          <w:p>
            <w:pPr>
              <w:spacing w:after="0"/>
              <w:rPr>
                <w:sz w:val="11"/>
                <w:szCs w:val="11"/>
                <w:color w:val="auto"/>
              </w:rPr>
            </w:pPr>
          </w:p>
        </w:tc>
        <w:tc>
          <w:tcPr>
            <w:tcW w:w="5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C202E"/>
            </w:tcBorders>
          </w:tcPr>
          <w:p>
            <w:pPr>
              <w:spacing w:after="0"/>
              <w:rPr>
                <w:sz w:val="11"/>
                <w:szCs w:val="11"/>
                <w:color w:val="auto"/>
              </w:rPr>
            </w:pPr>
          </w:p>
        </w:tc>
        <w:tc>
          <w:tcPr>
            <w:tcW w:w="200" w:type="dxa"/>
            <w:vAlign w:val="bottom"/>
            <w:tcBorders>
              <w:bottom w:val="single" w:sz="8" w:color="DC202E"/>
            </w:tcBorders>
          </w:tcPr>
          <w:p>
            <w:pPr>
              <w:spacing w:after="0"/>
              <w:rPr>
                <w:sz w:val="11"/>
                <w:szCs w:val="11"/>
                <w:color w:val="auto"/>
              </w:rPr>
            </w:pPr>
          </w:p>
        </w:tc>
        <w:tc>
          <w:tcPr>
            <w:tcW w:w="780" w:type="dxa"/>
            <w:vAlign w:val="bottom"/>
            <w:tcBorders>
              <w:bottom w:val="single" w:sz="8" w:color="DC202E"/>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280" w:type="dxa"/>
            <w:vAlign w:val="bottom"/>
            <w:tcBorders>
              <w:bottom w:val="single" w:sz="8" w:color="DC202E"/>
            </w:tcBorders>
          </w:tcPr>
          <w:p>
            <w:pPr>
              <w:spacing w:after="0"/>
              <w:rPr>
                <w:sz w:val="11"/>
                <w:szCs w:val="11"/>
                <w:color w:val="auto"/>
              </w:rPr>
            </w:pPr>
          </w:p>
        </w:tc>
        <w:tc>
          <w:tcPr>
            <w:tcW w:w="72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w w:val="89"/>
              </w:rPr>
              <w:t>Bendix</w:t>
            </w:r>
          </w:p>
        </w:tc>
        <w:tc>
          <w:tcPr>
            <w:tcW w:w="5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C202E"/>
            </w:tcBorders>
          </w:tcPr>
          <w:p>
            <w:pPr>
              <w:spacing w:after="0"/>
              <w:rPr>
                <w:sz w:val="11"/>
                <w:szCs w:val="11"/>
                <w:color w:val="auto"/>
              </w:rPr>
            </w:pPr>
          </w:p>
        </w:tc>
        <w:tc>
          <w:tcPr>
            <w:tcW w:w="200" w:type="dxa"/>
            <w:vAlign w:val="bottom"/>
            <w:tcBorders>
              <w:bottom w:val="single" w:sz="8" w:color="DC202E"/>
            </w:tcBorders>
          </w:tcPr>
          <w:p>
            <w:pPr>
              <w:spacing w:after="0"/>
              <w:rPr>
                <w:sz w:val="11"/>
                <w:szCs w:val="11"/>
                <w:color w:val="auto"/>
              </w:rPr>
            </w:pPr>
          </w:p>
        </w:tc>
        <w:tc>
          <w:tcPr>
            <w:tcW w:w="780" w:type="dxa"/>
            <w:vAlign w:val="bottom"/>
            <w:tcBorders>
              <w:bottom w:val="single" w:sz="8" w:color="DC202E"/>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DC202E"/>
            </w:tcBorders>
          </w:tcPr>
          <w:p>
            <w:pPr>
              <w:spacing w:after="0"/>
              <w:rPr>
                <w:sz w:val="11"/>
                <w:szCs w:val="11"/>
                <w:color w:val="auto"/>
              </w:rPr>
            </w:pPr>
          </w:p>
        </w:tc>
        <w:tc>
          <w:tcPr>
            <w:tcW w:w="70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89"/>
              </w:rPr>
              <w:t>Bendix</w:t>
            </w:r>
          </w:p>
        </w:tc>
        <w:tc>
          <w:tcPr>
            <w:tcW w:w="5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C202E"/>
            </w:tcBorders>
          </w:tcPr>
          <w:p>
            <w:pPr>
              <w:spacing w:after="0"/>
              <w:rPr>
                <w:sz w:val="11"/>
                <w:szCs w:val="11"/>
                <w:color w:val="auto"/>
              </w:rPr>
            </w:pPr>
          </w:p>
        </w:tc>
        <w:tc>
          <w:tcPr>
            <w:tcW w:w="200" w:type="dxa"/>
            <w:vAlign w:val="bottom"/>
            <w:tcBorders>
              <w:bottom w:val="single" w:sz="8" w:color="DC202E"/>
            </w:tcBorders>
          </w:tcPr>
          <w:p>
            <w:pPr>
              <w:spacing w:after="0"/>
              <w:rPr>
                <w:sz w:val="11"/>
                <w:szCs w:val="11"/>
                <w:color w:val="auto"/>
              </w:rPr>
            </w:pPr>
          </w:p>
        </w:tc>
        <w:tc>
          <w:tcPr>
            <w:tcW w:w="58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w w:val="91"/>
              </w:rPr>
              <w:t>Total</w:t>
            </w:r>
          </w:p>
        </w:tc>
      </w:tr>
      <w:tr>
        <w:trPr>
          <w:trHeight w:val="119"/>
        </w:trPr>
        <w:tc>
          <w:tcPr>
            <w:tcW w:w="29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Beginning of year</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148</w:t>
            </w:r>
          </w:p>
        </w:tc>
        <w:tc>
          <w:tcPr>
            <w:tcW w:w="5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254</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402</w:t>
            </w:r>
          </w:p>
        </w:tc>
        <w:tc>
          <w:tcPr>
            <w:tcW w:w="2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153</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281</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434</w:t>
            </w: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170</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307</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477</w:t>
            </w:r>
          </w:p>
        </w:tc>
      </w:tr>
      <w:tr>
        <w:trPr>
          <w:trHeight w:val="115"/>
        </w:trPr>
        <w:tc>
          <w:tcPr>
            <w:tcW w:w="29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Probable insurance recoveries related to estimated liability</w:t>
            </w:r>
          </w:p>
        </w:tc>
        <w:tc>
          <w:tcPr>
            <w:tcW w:w="62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7</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7</w:t>
            </w:r>
          </w:p>
        </w:tc>
        <w:tc>
          <w:tcPr>
            <w:tcW w:w="2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10</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10</w:t>
            </w:r>
          </w:p>
        </w:tc>
        <w:tc>
          <w:tcPr>
            <w:tcW w:w="20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w:t>
            </w:r>
          </w:p>
        </w:tc>
      </w:tr>
      <w:tr>
        <w:trPr>
          <w:trHeight w:val="115"/>
        </w:trPr>
        <w:tc>
          <w:tcPr>
            <w:tcW w:w="29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Insurance receipts for asbestos related liabilities</w:t>
            </w:r>
          </w:p>
        </w:tc>
        <w:tc>
          <w:tcPr>
            <w:tcW w:w="62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(13)</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(46)</w:t>
            </w:r>
          </w:p>
        </w:tc>
        <w:tc>
          <w:tcPr>
            <w:tcW w:w="2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(25)</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(58)</w:t>
            </w:r>
          </w:p>
        </w:tc>
        <w:tc>
          <w:tcPr>
            <w:tcW w:w="20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(39)</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(29)</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w:t>
            </w:r>
          </w:p>
        </w:tc>
      </w:tr>
      <w:tr>
        <w:trPr>
          <w:trHeight w:val="115"/>
        </w:trPr>
        <w:tc>
          <w:tcPr>
            <w:tcW w:w="29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Insurance receivables settlements and write offs</w:t>
            </w:r>
          </w:p>
        </w:tc>
        <w:tc>
          <w:tcPr>
            <w:tcW w:w="62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C202E"/>
            </w:tcBorders>
          </w:tcPr>
          <w:p>
            <w:pPr>
              <w:spacing w:after="0"/>
              <w:rPr>
                <w:sz w:val="10"/>
                <w:szCs w:val="10"/>
                <w:color w:val="auto"/>
              </w:rPr>
            </w:pPr>
          </w:p>
        </w:tc>
        <w:tc>
          <w:tcPr>
            <w:tcW w:w="7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18</w:t>
            </w:r>
          </w:p>
        </w:tc>
        <w:tc>
          <w:tcPr>
            <w:tcW w:w="5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w:t>
            </w:r>
          </w:p>
        </w:tc>
        <w:tc>
          <w:tcPr>
            <w:tcW w:w="2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16</w:t>
            </w: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19</w:t>
            </w:r>
          </w:p>
        </w:tc>
        <w:tc>
          <w:tcPr>
            <w:tcW w:w="5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3</w:t>
            </w:r>
          </w:p>
        </w:tc>
        <w:tc>
          <w:tcPr>
            <w:tcW w:w="2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22</w:t>
            </w:r>
          </w:p>
        </w:tc>
      </w:tr>
      <w:tr>
        <w:trPr>
          <w:trHeight w:val="115"/>
        </w:trPr>
        <w:tc>
          <w:tcPr>
            <w:tcW w:w="29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End of year</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142</w:t>
            </w:r>
          </w:p>
        </w:tc>
        <w:tc>
          <w:tcPr>
            <w:tcW w:w="5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221</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363</w:t>
            </w:r>
          </w:p>
        </w:tc>
        <w:tc>
          <w:tcPr>
            <w:tcW w:w="2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148</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254</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402</w:t>
            </w:r>
          </w:p>
        </w:tc>
        <w:tc>
          <w:tcPr>
            <w:tcW w:w="2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153</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281</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434</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NARCO and Bendix asbestos related balances are included in the following balance sheet accounts: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640" w:type="dxa"/>
            <w:vAlign w:val="bottom"/>
            <w:tcBorders>
              <w:bottom w:val="single" w:sz="8" w:color="DC202E"/>
            </w:tcBorders>
          </w:tcPr>
          <w:p>
            <w:pPr>
              <w:spacing w:after="0"/>
              <w:rPr>
                <w:sz w:val="11"/>
                <w:szCs w:val="11"/>
                <w:color w:val="auto"/>
              </w:rPr>
            </w:pPr>
          </w:p>
        </w:tc>
        <w:tc>
          <w:tcPr>
            <w:tcW w:w="6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40" w:type="dxa"/>
            <w:vAlign w:val="bottom"/>
            <w:tcBorders>
              <w:bottom w:val="single" w:sz="8" w:color="DC202E"/>
            </w:tcBorders>
          </w:tcPr>
          <w:p>
            <w:pPr>
              <w:spacing w:after="0"/>
              <w:rPr>
                <w:sz w:val="11"/>
                <w:szCs w:val="11"/>
                <w:color w:val="auto"/>
              </w:rPr>
            </w:pPr>
          </w:p>
        </w:tc>
      </w:tr>
      <w:tr>
        <w:trPr>
          <w:trHeight w:val="151"/>
        </w:trPr>
        <w:tc>
          <w:tcPr>
            <w:tcW w:w="300" w:type="dxa"/>
            <w:vAlign w:val="bottom"/>
            <w:tcBorders>
              <w:bottom w:val="single" w:sz="8" w:color="DC202E"/>
            </w:tcBorders>
          </w:tcPr>
          <w:p>
            <w:pPr>
              <w:spacing w:after="0"/>
              <w:rPr>
                <w:sz w:val="13"/>
                <w:szCs w:val="13"/>
                <w:color w:val="auto"/>
              </w:rPr>
            </w:pPr>
          </w:p>
        </w:tc>
        <w:tc>
          <w:tcPr>
            <w:tcW w:w="90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3"/>
                <w:szCs w:val="13"/>
                <w:color w:val="auto"/>
              </w:rPr>
            </w:pPr>
          </w:p>
        </w:tc>
        <w:tc>
          <w:tcPr>
            <w:tcW w:w="2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9"/>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Other current assets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41</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36</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Insurance recoveries for asbestos related liabilities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322</w:t>
            </w: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366</w:t>
            </w:r>
          </w:p>
        </w:tc>
      </w:tr>
      <w:tr>
        <w:trPr>
          <w:trHeight w:val="115"/>
        </w:trPr>
        <w:tc>
          <w:tcPr>
            <w:tcW w:w="300" w:type="dxa"/>
            <w:vAlign w:val="bottom"/>
            <w:tcBorders>
              <w:bottom w:val="single" w:sz="8" w:color="DC202E"/>
            </w:tcBorders>
          </w:tcPr>
          <w:p>
            <w:pPr>
              <w:spacing w:after="0"/>
              <w:rPr>
                <w:sz w:val="10"/>
                <w:szCs w:val="10"/>
                <w:color w:val="auto"/>
              </w:rPr>
            </w:pPr>
          </w:p>
        </w:tc>
        <w:tc>
          <w:tcPr>
            <w:tcW w:w="90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363</w:t>
            </w: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402</w:t>
            </w:r>
          </w:p>
        </w:tc>
      </w:tr>
      <w:tr>
        <w:trPr>
          <w:trHeight w:val="115"/>
        </w:trPr>
        <w:tc>
          <w:tcPr>
            <w:tcW w:w="934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Accrued liabilities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261</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300</w:t>
            </w:r>
          </w:p>
        </w:tc>
      </w:tr>
      <w:tr>
        <w:trPr>
          <w:trHeight w:val="115"/>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Asbestos related liabilities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1,800</w:t>
            </w: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1,920</w:t>
            </w:r>
          </w:p>
        </w:tc>
      </w:tr>
      <w:tr>
        <w:trPr>
          <w:trHeight w:val="115"/>
        </w:trPr>
        <w:tc>
          <w:tcPr>
            <w:tcW w:w="300" w:type="dxa"/>
            <w:vAlign w:val="bottom"/>
            <w:tcBorders>
              <w:bottom w:val="single" w:sz="8" w:color="DC202E"/>
            </w:tcBorders>
          </w:tcPr>
          <w:p>
            <w:pPr>
              <w:spacing w:after="0"/>
              <w:rPr>
                <w:sz w:val="10"/>
                <w:szCs w:val="10"/>
                <w:color w:val="auto"/>
              </w:rPr>
            </w:pPr>
          </w:p>
        </w:tc>
        <w:tc>
          <w:tcPr>
            <w:tcW w:w="90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2,061</w:t>
            </w: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2,220</w:t>
            </w:r>
          </w:p>
        </w:tc>
      </w:tr>
      <w:tr>
        <w:trPr>
          <w:trHeight w:val="475"/>
        </w:trPr>
        <w:tc>
          <w:tcPr>
            <w:tcW w:w="300" w:type="dxa"/>
            <w:vAlign w:val="bottom"/>
          </w:tcPr>
          <w:p>
            <w:pPr>
              <w:spacing w:after="0"/>
              <w:rPr>
                <w:sz w:val="20"/>
                <w:szCs w:val="20"/>
                <w:color w:val="auto"/>
              </w:rPr>
            </w:pPr>
            <w:r>
              <w:rPr>
                <w:rFonts w:ascii="Arial" w:cs="Arial" w:eastAsia="Arial" w:hAnsi="Arial"/>
                <w:sz w:val="12"/>
                <w:szCs w:val="12"/>
                <w:b w:val="1"/>
                <w:bCs w:val="1"/>
                <w:color w:val="D7282F"/>
              </w:rPr>
              <w:t>94</w:t>
            </w:r>
          </w:p>
        </w:tc>
        <w:tc>
          <w:tcPr>
            <w:tcW w:w="9040" w:type="dxa"/>
            <w:vAlign w:val="bottom"/>
          </w:tcPr>
          <w:p>
            <w:pPr>
              <w:ind w:left="160"/>
              <w:spacing w:after="0"/>
              <w:rPr>
                <w:sz w:val="20"/>
                <w:szCs w:val="20"/>
                <w:color w:val="auto"/>
              </w:rPr>
            </w:pPr>
            <w:r>
              <w:rPr>
                <w:rFonts w:ascii="Arial" w:cs="Arial" w:eastAsia="Arial" w:hAnsi="Arial"/>
                <w:sz w:val="10"/>
                <w:szCs w:val="10"/>
                <w:color w:val="auto"/>
              </w:rPr>
              <w:t>Honeywell International Inc.</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4"/>
        </w:trPr>
        <w:tc>
          <w:tcPr>
            <w:tcW w:w="300" w:type="dxa"/>
            <w:vAlign w:val="bottom"/>
            <w:tcBorders>
              <w:bottom w:val="single" w:sz="8" w:color="9A9A9A"/>
            </w:tcBorders>
          </w:tcPr>
          <w:p>
            <w:pPr>
              <w:spacing w:after="0"/>
              <w:rPr>
                <w:sz w:val="12"/>
                <w:szCs w:val="12"/>
                <w:color w:val="auto"/>
              </w:rPr>
            </w:pPr>
          </w:p>
        </w:tc>
        <w:tc>
          <w:tcPr>
            <w:tcW w:w="90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6" w:name="page97"/>
    <w:bookmarkEnd w:id="96"/>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76" w:lineRule="exact"/>
        <w:rPr>
          <w:sz w:val="20"/>
          <w:szCs w:val="20"/>
          <w:color w:val="auto"/>
        </w:rPr>
      </w:pPr>
    </w:p>
    <w:p>
      <w:pPr>
        <w:jc w:val="both"/>
        <w:spacing w:after="0" w:line="248" w:lineRule="auto"/>
        <w:rPr>
          <w:sz w:val="20"/>
          <w:szCs w:val="20"/>
          <w:color w:val="auto"/>
        </w:rPr>
      </w:pPr>
      <w:r>
        <w:rPr>
          <w:rFonts w:ascii="Arial" w:cs="Arial" w:eastAsia="Arial" w:hAnsi="Arial"/>
          <w:sz w:val="11"/>
          <w:szCs w:val="11"/>
          <w:b w:val="1"/>
          <w:bCs w:val="1"/>
          <w:i w:val="1"/>
          <w:iCs w:val="1"/>
          <w:color w:val="auto"/>
        </w:rPr>
        <w:t xml:space="preserve">NARCO Products </w:t>
      </w:r>
      <w:r>
        <w:rPr>
          <w:rFonts w:ascii="Arial" w:cs="Arial" w:eastAsia="Arial" w:hAnsi="Arial"/>
          <w:sz w:val="11"/>
          <w:szCs w:val="11"/>
          <w:color w:val="auto"/>
        </w:rPr>
        <w:t>– NARCO manufactured high-grade, heat-resistant, refractory products for various industries. Honeywell’s predecessor, Allied Corporation, owned NARCO from 1979 to 1986. Allied Corporation sold the NARCO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5"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The NARCO Trust Agreement (TA) and the NARCO Trust Distribution Procedures (TDP) set forth the structure and operating rules of the Trust, and established Honeywell’s evergreen funding obligations.</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11"/>
          <w:szCs w:val="11"/>
          <w:color w:val="auto"/>
        </w:rPr>
        <w:t>In accordance with the TA, the Trust is eligible to receive cash dividends from Harbison-Walker International Inc. (HWI), the reorganized and renamed entity that emerged from the NARCO bankruptcy. HWI cash dividends are required to be used to pay asbestos-related claims which qualify for payment under the TDP (Annual Contribution Claims) until those funds are exhausted, at which point Honeywell’s funding obligation, subject to an annual cap of $145 million, is triggered. The Trust received dividend payments from HWI in 2021.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 There is no annual funding cap relative to Pre-Established Unliquidated Claims.</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1"/>
          <w:szCs w:val="11"/>
          <w:color w:val="auto"/>
        </w:rPr>
        <w:t>The operating rules per the TDP define criteria claimants must meet for a claim to be considered valid and paid, which include adequate medical evidence of the claimant’s asbestos-related condition and credible evidence of exposure to a specific NARCO asbestos-containing product. The TDP allows Honeywell to audit claim support documents against these criteria. Once operational in 2014, the Trust began to receive, process and pay claims. The Company identified several issues with the way the Trust was adhering to the TDP in audits subsequent to the Trust becoming operational. The Company consistently raised with the Trust concern that the Trust adopted an improper practice of paying claimants who have not demonstrated the requisite exposure. The Trust refused to alter its practices for payment of claims, and in September 2021, Honeywell filed suit against the Trust in the United States Bankruptcy Court for the Western District of Pennsylvania (Bankruptcy Court) alleging that the Trust has breached its duties in managing the Trust, including breaches of certain provisions of the TA and TDP. Honeywell's lawsuit seeks appropriate relief preventing the Trust from continuing these practices. The Trust also filed suit against Honeywell, alleging Honeywell has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At this time, the Company cannot predict the outcome of these matters, or the potential impact on the asbestos-related liabilities.</w:t>
      </w:r>
    </w:p>
    <w:p>
      <w:pPr>
        <w:spacing w:after="0" w:line="72" w:lineRule="exact"/>
        <w:rPr>
          <w:sz w:val="20"/>
          <w:szCs w:val="20"/>
          <w:color w:val="auto"/>
        </w:rPr>
      </w:pPr>
    </w:p>
    <w:p>
      <w:pPr>
        <w:jc w:val="both"/>
        <w:ind w:right="20"/>
        <w:spacing w:after="0" w:line="241" w:lineRule="auto"/>
        <w:rPr>
          <w:sz w:val="20"/>
          <w:szCs w:val="20"/>
          <w:color w:val="auto"/>
        </w:rPr>
      </w:pPr>
      <w:r>
        <w:rPr>
          <w:rFonts w:ascii="Arial" w:cs="Arial" w:eastAsia="Arial" w:hAnsi="Arial"/>
          <w:sz w:val="11"/>
          <w:szCs w:val="11"/>
          <w:color w:val="auto"/>
        </w:rPr>
        <w:t>Due to the bankruptcy filing in 2002, claimants were not permitted to file additional claims until the Trust became operative in 2014. As a consequence, there was a large backlog of claims filed with the Trust upon it becoming operative in 2014 through December 31, 2017, the date by which these claims had to be filed or else be barred by the expiration of the statute of limitations. Therefore, the claims filing rate did not start to normalize until 2018 and thereafter. As a result, between 2002 and 2018, the Company lacked a history of sufficiently reliable claims data to derive a reasonable estimate of its NARCO asbestos-related liability, and the Company continued to update its original estimate, as appropriate, using all available information.</w:t>
      </w:r>
    </w:p>
    <w:p>
      <w:pPr>
        <w:spacing w:after="0" w:line="68"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Beginning in 2020, with three years of sufficiently reliable claims data, the Company updated its estimate of the NARCO asbestos-related liability. The estimate for the resolution of asserted Annual Contribution Claims and Pre-Established Unliquidated Claims uses average payment values for the relevant historical period. The estimate for unasserted claims is based on historic and anticipated claims filing experience and payment rates, disease classifications and type of claim, and average payment values by the Trust for the relevant historical period. The Company utilizes an asbestos liability valuation specialist to support the preparation of the NARCO asbestos-related liability estimates during the fourth quarter each year. The Company's estimates, which involve significant management judgment, and consider multiple scenarios, include all years of epidemiological disease projection through 2059.</w:t>
      </w:r>
    </w:p>
    <w:p>
      <w:pPr>
        <w:spacing w:after="0" w:line="68"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The NARCO asbestos-related liability reflects an estimate for the resolution of Annual Contribution Claims and Pre-Established Unliquidated Claims filed with the Trust, as well as for unasserted Annual Contribution Claims and Pre-Established Unliquidated Claims. The NARCO asbestos-related liability excludes the annual operating expenses of the Trust which are expensed as they are incurred.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95</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7" w:name="page98"/>
    <w:bookmarkEnd w:id="97"/>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Company's NARCO-related insurance receivable reflects coverage which reimburses Honeywell for portions of NARCO-related claims and defense costs. This coverage is provided by a large number of insurance policies written by dozens of insurance companies in both the domestic insurance market and the London excess market. Honeywell's NARCO-related insurance receivable is an estimate of the probable amount of insurance that is recoverable for asbestos claims. The Company's judgments related to the Company's insurance carriers and insurance coverages are reasonable and consistent with Honeywell's historical dealings and Honeywell's knowledge of any pertinent solvency issues surrounding insurers.</w:t>
      </w:r>
    </w:p>
    <w:p>
      <w:pPr>
        <w:spacing w:after="0" w:line="5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b w:val="1"/>
          <w:bCs w:val="1"/>
          <w:i w:val="1"/>
          <w:iCs w:val="1"/>
          <w:color w:val="auto"/>
        </w:rPr>
        <w:t xml:space="preserve">Bendix Products </w:t>
      </w:r>
      <w:r>
        <w:rPr>
          <w:rFonts w:ascii="Arial" w:cs="Arial" w:eastAsia="Arial" w:hAnsi="Arial"/>
          <w:sz w:val="11"/>
          <w:szCs w:val="11"/>
          <w:color w:val="auto"/>
        </w:rPr>
        <w:t>– Bendix manufactured automotive brake linings that contained chrysotile asbestos in an encapsulated form. Claimants consist largely of individuals who allege exposure to asbestos from brakes from either performing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or being in the vicinity of individuals who performed brake replacements. The following tables present information regarding Bendix related asbestos claims activity:</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6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DC202E"/>
            </w:tcBorders>
          </w:tcPr>
          <w:p>
            <w:pPr>
              <w:spacing w:after="0"/>
              <w:rPr>
                <w:sz w:val="11"/>
                <w:szCs w:val="11"/>
                <w:color w:val="auto"/>
              </w:rPr>
            </w:pPr>
          </w:p>
        </w:tc>
        <w:tc>
          <w:tcPr>
            <w:tcW w:w="140" w:type="dxa"/>
            <w:vAlign w:val="bottom"/>
            <w:tcBorders>
              <w:bottom w:val="single" w:sz="8" w:color="DC202E"/>
            </w:tcBorders>
          </w:tcPr>
          <w:p>
            <w:pPr>
              <w:spacing w:after="0"/>
              <w:rPr>
                <w:sz w:val="11"/>
                <w:szCs w:val="11"/>
                <w:color w:val="auto"/>
              </w:rPr>
            </w:pPr>
          </w:p>
        </w:tc>
        <w:tc>
          <w:tcPr>
            <w:tcW w:w="12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8"/>
              </w:rPr>
              <w:t>Years Ended December 31,</w:t>
            </w:r>
          </w:p>
        </w:tc>
        <w:tc>
          <w:tcPr>
            <w:tcW w:w="360" w:type="dxa"/>
            <w:vAlign w:val="bottom"/>
            <w:tcBorders>
              <w:bottom w:val="single" w:sz="8" w:color="DC202E"/>
            </w:tcBorders>
          </w:tcPr>
          <w:p>
            <w:pPr>
              <w:spacing w:after="0"/>
              <w:rPr>
                <w:sz w:val="11"/>
                <w:szCs w:val="11"/>
                <w:color w:val="auto"/>
              </w:rPr>
            </w:pPr>
          </w:p>
        </w:tc>
      </w:tr>
      <w:tr>
        <w:trPr>
          <w:trHeight w:val="151"/>
        </w:trPr>
        <w:tc>
          <w:tcPr>
            <w:tcW w:w="6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Claims Activity</w:t>
            </w:r>
          </w:p>
        </w:tc>
        <w:tc>
          <w:tcPr>
            <w:tcW w:w="32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spacing w:after="0"/>
              <w:rPr>
                <w:sz w:val="13"/>
                <w:szCs w:val="13"/>
                <w:color w:val="auto"/>
              </w:rPr>
            </w:pPr>
          </w:p>
        </w:tc>
        <w:tc>
          <w:tcPr>
            <w:tcW w:w="520" w:type="dxa"/>
            <w:vAlign w:val="bottom"/>
            <w:tcBorders>
              <w:bottom w:val="single" w:sz="8" w:color="DC202E"/>
            </w:tcBorders>
          </w:tcPr>
          <w:p>
            <w:pPr>
              <w:spacing w:after="0"/>
              <w:rPr>
                <w:sz w:val="13"/>
                <w:szCs w:val="13"/>
                <w:color w:val="auto"/>
              </w:rPr>
            </w:pPr>
          </w:p>
        </w:tc>
        <w:tc>
          <w:tcPr>
            <w:tcW w:w="440" w:type="dxa"/>
            <w:vAlign w:val="bottom"/>
            <w:tcBorders>
              <w:bottom w:val="single" w:sz="8" w:color="DC202E"/>
            </w:tcBorders>
          </w:tcPr>
          <w:p>
            <w:pPr>
              <w:spacing w:after="0"/>
              <w:rPr>
                <w:sz w:val="13"/>
                <w:szCs w:val="13"/>
                <w:color w:val="auto"/>
              </w:rPr>
            </w:pPr>
          </w:p>
        </w:tc>
        <w:tc>
          <w:tcPr>
            <w:tcW w:w="2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180" w:type="dxa"/>
            <w:vAlign w:val="bottom"/>
            <w:tcBorders>
              <w:bottom w:val="single" w:sz="8" w:color="DC202E"/>
            </w:tcBorders>
          </w:tcPr>
          <w:p>
            <w:pPr>
              <w:spacing w:after="0"/>
              <w:rPr>
                <w:sz w:val="13"/>
                <w:szCs w:val="13"/>
                <w:color w:val="auto"/>
              </w:rPr>
            </w:pPr>
          </w:p>
        </w:tc>
        <w:tc>
          <w:tcPr>
            <w:tcW w:w="14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DC202E"/>
            </w:tcBorders>
          </w:tcPr>
          <w:p>
            <w:pPr>
              <w:spacing w:after="0"/>
              <w:rPr>
                <w:sz w:val="13"/>
                <w:szCs w:val="13"/>
                <w:color w:val="auto"/>
              </w:rPr>
            </w:pPr>
          </w:p>
        </w:tc>
      </w:tr>
      <w:tr>
        <w:trPr>
          <w:trHeight w:val="119"/>
        </w:trPr>
        <w:tc>
          <w:tcPr>
            <w:tcW w:w="6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Claims Unresolved at the beginning of year</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6,242</w:t>
            </w:r>
          </w:p>
        </w:tc>
        <w:tc>
          <w:tcPr>
            <w:tcW w:w="5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6,480</w:t>
            </w:r>
          </w:p>
        </w:tc>
      </w:tr>
      <w:tr>
        <w:trPr>
          <w:trHeight w:val="115"/>
        </w:trPr>
        <w:tc>
          <w:tcPr>
            <w:tcW w:w="6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Claims Filed</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2,611</w:t>
            </w:r>
          </w:p>
        </w:tc>
        <w:tc>
          <w:tcPr>
            <w:tcW w:w="5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2,233</w:t>
            </w:r>
          </w:p>
        </w:tc>
      </w:tr>
      <w:tr>
        <w:trPr>
          <w:trHeight w:val="115"/>
        </w:trPr>
        <w:tc>
          <w:tcPr>
            <w:tcW w:w="6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Claims Resolved</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(2,452)</w:t>
            </w:r>
          </w:p>
        </w:tc>
        <w:tc>
          <w:tcPr>
            <w:tcW w:w="5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(2,471)</w:t>
            </w:r>
          </w:p>
        </w:tc>
      </w:tr>
      <w:tr>
        <w:trPr>
          <w:trHeight w:val="115"/>
        </w:trPr>
        <w:tc>
          <w:tcPr>
            <w:tcW w:w="6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Claims Unresolved at the end of year</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6,401</w:t>
            </w:r>
          </w:p>
        </w:tc>
        <w:tc>
          <w:tcPr>
            <w:tcW w:w="5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6,242</w:t>
            </w:r>
          </w:p>
        </w:tc>
      </w:tr>
      <w:tr>
        <w:trPr>
          <w:trHeight w:val="390"/>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DC202E"/>
            </w:tcBorders>
          </w:tcPr>
          <w:p>
            <w:pPr>
              <w:spacing w:after="0"/>
              <w:rPr>
                <w:sz w:val="24"/>
                <w:szCs w:val="24"/>
                <w:color w:val="auto"/>
              </w:rPr>
            </w:pPr>
          </w:p>
        </w:tc>
        <w:tc>
          <w:tcPr>
            <w:tcW w:w="140" w:type="dxa"/>
            <w:vAlign w:val="bottom"/>
            <w:tcBorders>
              <w:bottom w:val="single" w:sz="8" w:color="DC202E"/>
            </w:tcBorders>
          </w:tcPr>
          <w:p>
            <w:pPr>
              <w:spacing w:after="0"/>
              <w:rPr>
                <w:sz w:val="24"/>
                <w:szCs w:val="24"/>
                <w:color w:val="auto"/>
              </w:rPr>
            </w:pPr>
          </w:p>
        </w:tc>
        <w:tc>
          <w:tcPr>
            <w:tcW w:w="128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8"/>
              </w:rPr>
              <w:t>Years Ended December 31,</w:t>
            </w:r>
          </w:p>
        </w:tc>
        <w:tc>
          <w:tcPr>
            <w:tcW w:w="360" w:type="dxa"/>
            <w:vAlign w:val="bottom"/>
            <w:tcBorders>
              <w:bottom w:val="single" w:sz="8" w:color="DC202E"/>
            </w:tcBorders>
          </w:tcPr>
          <w:p>
            <w:pPr>
              <w:spacing w:after="0"/>
              <w:rPr>
                <w:sz w:val="24"/>
                <w:szCs w:val="24"/>
                <w:color w:val="auto"/>
              </w:rPr>
            </w:pPr>
          </w:p>
        </w:tc>
      </w:tr>
      <w:tr>
        <w:trPr>
          <w:trHeight w:val="151"/>
        </w:trPr>
        <w:tc>
          <w:tcPr>
            <w:tcW w:w="64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Disease Distribution of Unresolved Claims</w:t>
            </w:r>
          </w:p>
        </w:tc>
        <w:tc>
          <w:tcPr>
            <w:tcW w:w="320" w:type="dxa"/>
            <w:vAlign w:val="bottom"/>
            <w:tcBorders>
              <w:bottom w:val="single" w:sz="8" w:color="DC202E"/>
            </w:tcBorders>
          </w:tcPr>
          <w:p>
            <w:pPr>
              <w:spacing w:after="0"/>
              <w:rPr>
                <w:sz w:val="13"/>
                <w:szCs w:val="13"/>
                <w:color w:val="auto"/>
              </w:rPr>
            </w:pPr>
          </w:p>
        </w:tc>
        <w:tc>
          <w:tcPr>
            <w:tcW w:w="740" w:type="dxa"/>
            <w:vAlign w:val="bottom"/>
            <w:tcBorders>
              <w:bottom w:val="single" w:sz="8" w:color="DC202E"/>
            </w:tcBorders>
          </w:tcPr>
          <w:p>
            <w:pPr>
              <w:spacing w:after="0"/>
              <w:rPr>
                <w:sz w:val="13"/>
                <w:szCs w:val="13"/>
                <w:color w:val="auto"/>
              </w:rPr>
            </w:pPr>
          </w:p>
        </w:tc>
        <w:tc>
          <w:tcPr>
            <w:tcW w:w="520" w:type="dxa"/>
            <w:vAlign w:val="bottom"/>
            <w:tcBorders>
              <w:bottom w:val="single" w:sz="8" w:color="DC202E"/>
            </w:tcBorders>
          </w:tcPr>
          <w:p>
            <w:pPr>
              <w:spacing w:after="0"/>
              <w:rPr>
                <w:sz w:val="13"/>
                <w:szCs w:val="13"/>
                <w:color w:val="auto"/>
              </w:rPr>
            </w:pPr>
          </w:p>
        </w:tc>
        <w:tc>
          <w:tcPr>
            <w:tcW w:w="440" w:type="dxa"/>
            <w:vAlign w:val="bottom"/>
            <w:tcBorders>
              <w:bottom w:val="single" w:sz="8" w:color="DC202E"/>
            </w:tcBorders>
          </w:tcPr>
          <w:p>
            <w:pPr>
              <w:spacing w:after="0"/>
              <w:rPr>
                <w:sz w:val="13"/>
                <w:szCs w:val="13"/>
                <w:color w:val="auto"/>
              </w:rPr>
            </w:pPr>
          </w:p>
        </w:tc>
        <w:tc>
          <w:tcPr>
            <w:tcW w:w="2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180" w:type="dxa"/>
            <w:vAlign w:val="bottom"/>
            <w:tcBorders>
              <w:bottom w:val="single" w:sz="8" w:color="DC202E"/>
            </w:tcBorders>
          </w:tcPr>
          <w:p>
            <w:pPr>
              <w:spacing w:after="0"/>
              <w:rPr>
                <w:sz w:val="13"/>
                <w:szCs w:val="13"/>
                <w:color w:val="auto"/>
              </w:rPr>
            </w:pPr>
          </w:p>
        </w:tc>
        <w:tc>
          <w:tcPr>
            <w:tcW w:w="14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DC202E"/>
            </w:tcBorders>
          </w:tcPr>
          <w:p>
            <w:pPr>
              <w:spacing w:after="0"/>
              <w:rPr>
                <w:sz w:val="13"/>
                <w:szCs w:val="13"/>
                <w:color w:val="auto"/>
              </w:rPr>
            </w:pPr>
          </w:p>
        </w:tc>
      </w:tr>
      <w:tr>
        <w:trPr>
          <w:trHeight w:val="119"/>
        </w:trPr>
        <w:tc>
          <w:tcPr>
            <w:tcW w:w="6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Mesothelioma and Other Cancer Claims</w:t>
            </w:r>
          </w:p>
        </w:tc>
        <w:tc>
          <w:tcPr>
            <w:tcW w:w="32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18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3,760</w:t>
            </w:r>
          </w:p>
        </w:tc>
        <w:tc>
          <w:tcPr>
            <w:tcW w:w="5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3,422</w:t>
            </w:r>
          </w:p>
        </w:tc>
      </w:tr>
      <w:tr>
        <w:trPr>
          <w:trHeight w:val="115"/>
        </w:trPr>
        <w:tc>
          <w:tcPr>
            <w:tcW w:w="6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Nonmalignant Claims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2,641</w:t>
            </w:r>
          </w:p>
        </w:tc>
        <w:tc>
          <w:tcPr>
            <w:tcW w:w="5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2,820</w:t>
            </w:r>
          </w:p>
        </w:tc>
      </w:tr>
      <w:tr>
        <w:trPr>
          <w:trHeight w:val="115"/>
        </w:trPr>
        <w:tc>
          <w:tcPr>
            <w:tcW w:w="642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Total Claims</w:t>
            </w:r>
          </w:p>
        </w:tc>
        <w:tc>
          <w:tcPr>
            <w:tcW w:w="32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6,401</w:t>
            </w:r>
          </w:p>
        </w:tc>
        <w:tc>
          <w:tcPr>
            <w:tcW w:w="5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6,242</w:t>
            </w:r>
          </w:p>
        </w:tc>
      </w:tr>
      <w:tr>
        <w:trPr>
          <w:trHeight w:val="246"/>
        </w:trPr>
        <w:tc>
          <w:tcPr>
            <w:tcW w:w="6420" w:type="dxa"/>
            <w:vAlign w:val="bottom"/>
          </w:tcPr>
          <w:p>
            <w:pPr>
              <w:spacing w:after="0"/>
              <w:rPr>
                <w:sz w:val="20"/>
                <w:szCs w:val="20"/>
                <w:color w:val="auto"/>
              </w:rPr>
            </w:pPr>
            <w:r>
              <w:rPr>
                <w:rFonts w:ascii="Arial" w:cs="Arial" w:eastAsia="Arial" w:hAnsi="Arial"/>
                <w:sz w:val="11"/>
                <w:szCs w:val="11"/>
                <w:color w:val="auto"/>
              </w:rPr>
              <w:t>Honeywell has experienced average resolution values per claim excluding legal costs as follows:</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333"/>
        </w:trPr>
        <w:tc>
          <w:tcPr>
            <w:tcW w:w="6420" w:type="dxa"/>
            <w:vAlign w:val="bottom"/>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740" w:type="dxa"/>
            <w:vAlign w:val="bottom"/>
            <w:tcBorders>
              <w:bottom w:val="single" w:sz="8" w:color="DC202E"/>
            </w:tcBorders>
          </w:tcPr>
          <w:p>
            <w:pPr>
              <w:spacing w:after="0"/>
              <w:rPr>
                <w:sz w:val="24"/>
                <w:szCs w:val="24"/>
                <w:color w:val="auto"/>
              </w:rPr>
            </w:pPr>
          </w:p>
        </w:tc>
        <w:tc>
          <w:tcPr>
            <w:tcW w:w="520" w:type="dxa"/>
            <w:vAlign w:val="bottom"/>
            <w:tcBorders>
              <w:bottom w:val="single" w:sz="8" w:color="DC202E"/>
            </w:tcBorders>
          </w:tcPr>
          <w:p>
            <w:pPr>
              <w:spacing w:after="0"/>
              <w:rPr>
                <w:sz w:val="24"/>
                <w:szCs w:val="24"/>
                <w:color w:val="auto"/>
              </w:rPr>
            </w:pPr>
          </w:p>
        </w:tc>
        <w:tc>
          <w:tcPr>
            <w:tcW w:w="1520" w:type="dxa"/>
            <w:vAlign w:val="bottom"/>
            <w:tcBorders>
              <w:bottom w:val="single" w:sz="8" w:color="DC202E"/>
            </w:tcBorders>
            <w:gridSpan w:val="4"/>
          </w:tcPr>
          <w:p>
            <w:pPr>
              <w:ind w:left="240"/>
              <w:spacing w:after="0"/>
              <w:rPr>
                <w:sz w:val="20"/>
                <w:szCs w:val="20"/>
                <w:color w:val="auto"/>
              </w:rPr>
            </w:pPr>
            <w:r>
              <w:rPr>
                <w:rFonts w:ascii="Arial" w:cs="Arial" w:eastAsia="Arial" w:hAnsi="Arial"/>
                <w:sz w:val="10"/>
                <w:szCs w:val="10"/>
                <w:b w:val="1"/>
                <w:bCs w:val="1"/>
                <w:color w:val="auto"/>
                <w:w w:val="98"/>
              </w:rPr>
              <w:t>Years Ended December 31,</w:t>
            </w:r>
          </w:p>
        </w:tc>
        <w:tc>
          <w:tcPr>
            <w:tcW w:w="140" w:type="dxa"/>
            <w:vAlign w:val="bottom"/>
            <w:tcBorders>
              <w:bottom w:val="single" w:sz="8" w:color="DC202E"/>
            </w:tcBorders>
          </w:tcPr>
          <w:p>
            <w:pPr>
              <w:spacing w:after="0"/>
              <w:rPr>
                <w:sz w:val="24"/>
                <w:szCs w:val="24"/>
                <w:color w:val="auto"/>
              </w:rPr>
            </w:pPr>
          </w:p>
        </w:tc>
        <w:tc>
          <w:tcPr>
            <w:tcW w:w="760" w:type="dxa"/>
            <w:vAlign w:val="bottom"/>
            <w:tcBorders>
              <w:bottom w:val="single" w:sz="8" w:color="DC202E"/>
            </w:tcBorders>
          </w:tcPr>
          <w:p>
            <w:pPr>
              <w:spacing w:after="0"/>
              <w:rPr>
                <w:sz w:val="24"/>
                <w:szCs w:val="24"/>
                <w:color w:val="auto"/>
              </w:rPr>
            </w:pPr>
          </w:p>
        </w:tc>
        <w:tc>
          <w:tcPr>
            <w:tcW w:w="520" w:type="dxa"/>
            <w:vAlign w:val="bottom"/>
            <w:tcBorders>
              <w:bottom w:val="single" w:sz="8" w:color="DC202E"/>
            </w:tcBorders>
          </w:tcPr>
          <w:p>
            <w:pPr>
              <w:spacing w:after="0"/>
              <w:rPr>
                <w:sz w:val="24"/>
                <w:szCs w:val="24"/>
                <w:color w:val="auto"/>
              </w:rPr>
            </w:pPr>
          </w:p>
        </w:tc>
        <w:tc>
          <w:tcPr>
            <w:tcW w:w="360" w:type="dxa"/>
            <w:vAlign w:val="bottom"/>
            <w:tcBorders>
              <w:bottom w:val="single" w:sz="8" w:color="DC202E"/>
            </w:tcBorders>
          </w:tcPr>
          <w:p>
            <w:pPr>
              <w:spacing w:after="0"/>
              <w:rPr>
                <w:sz w:val="24"/>
                <w:szCs w:val="24"/>
                <w:color w:val="auto"/>
              </w:rPr>
            </w:pPr>
          </w:p>
        </w:tc>
      </w:tr>
      <w:tr>
        <w:trPr>
          <w:trHeight w:val="133"/>
        </w:trPr>
        <w:tc>
          <w:tcPr>
            <w:tcW w:w="6420" w:type="dxa"/>
            <w:vAlign w:val="bottom"/>
          </w:tcPr>
          <w:p>
            <w:pPr>
              <w:spacing w:after="0"/>
              <w:rPr>
                <w:sz w:val="11"/>
                <w:szCs w:val="11"/>
                <w:color w:val="auto"/>
              </w:rPr>
            </w:pPr>
          </w:p>
        </w:tc>
        <w:tc>
          <w:tcPr>
            <w:tcW w:w="320" w:type="dxa"/>
            <w:vAlign w:val="bottom"/>
            <w:tcBorders>
              <w:bottom w:val="single" w:sz="8" w:color="DC202E"/>
            </w:tcBorders>
          </w:tcPr>
          <w:p>
            <w:pPr>
              <w:spacing w:after="0"/>
              <w:rPr>
                <w:sz w:val="11"/>
                <w:szCs w:val="11"/>
                <w:color w:val="auto"/>
              </w:rPr>
            </w:pPr>
          </w:p>
        </w:tc>
        <w:tc>
          <w:tcPr>
            <w:tcW w:w="74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DC202E"/>
            </w:tcBorders>
          </w:tcPr>
          <w:p>
            <w:pPr>
              <w:spacing w:after="0"/>
              <w:rPr>
                <w:sz w:val="11"/>
                <w:szCs w:val="11"/>
                <w:color w:val="auto"/>
              </w:rPr>
            </w:pPr>
          </w:p>
        </w:tc>
        <w:tc>
          <w:tcPr>
            <w:tcW w:w="260" w:type="dxa"/>
            <w:vAlign w:val="bottom"/>
            <w:tcBorders>
              <w:bottom w:val="single" w:sz="8" w:color="DC202E"/>
            </w:tcBorders>
          </w:tcPr>
          <w:p>
            <w:pPr>
              <w:spacing w:after="0"/>
              <w:rPr>
                <w:sz w:val="11"/>
                <w:szCs w:val="11"/>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DC202E"/>
            </w:tcBorders>
          </w:tcPr>
          <w:p>
            <w:pPr>
              <w:spacing w:after="0"/>
              <w:rPr>
                <w:sz w:val="11"/>
                <w:szCs w:val="11"/>
                <w:color w:val="auto"/>
              </w:rPr>
            </w:pPr>
          </w:p>
        </w:tc>
        <w:tc>
          <w:tcPr>
            <w:tcW w:w="140" w:type="dxa"/>
            <w:vAlign w:val="bottom"/>
            <w:tcBorders>
              <w:bottom w:val="single" w:sz="8" w:color="DC202E"/>
            </w:tcBorders>
          </w:tcPr>
          <w:p>
            <w:pPr>
              <w:spacing w:after="0"/>
              <w:rPr>
                <w:sz w:val="11"/>
                <w:szCs w:val="11"/>
                <w:color w:val="auto"/>
              </w:rPr>
            </w:pPr>
          </w:p>
        </w:tc>
        <w:tc>
          <w:tcPr>
            <w:tcW w:w="76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2018</w:t>
            </w: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2017</w:t>
            </w:r>
          </w:p>
        </w:tc>
        <w:tc>
          <w:tcPr>
            <w:tcW w:w="360" w:type="dxa"/>
            <w:vAlign w:val="bottom"/>
            <w:tcBorders>
              <w:bottom w:val="single" w:sz="8" w:color="DC202E"/>
            </w:tcBorders>
          </w:tcPr>
          <w:p>
            <w:pPr>
              <w:spacing w:after="0"/>
              <w:rPr>
                <w:sz w:val="11"/>
                <w:szCs w:val="11"/>
                <w:color w:val="auto"/>
              </w:rPr>
            </w:pPr>
          </w:p>
        </w:tc>
      </w:tr>
      <w:tr>
        <w:trPr>
          <w:trHeight w:val="119"/>
        </w:trPr>
        <w:tc>
          <w:tcPr>
            <w:tcW w:w="6420" w:type="dxa"/>
            <w:vAlign w:val="bottom"/>
            <w:tcBorders>
              <w:bottom w:val="single" w:sz="8" w:color="DC202E"/>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gridSpan w:val="3"/>
          </w:tcPr>
          <w:p>
            <w:pPr>
              <w:ind w:left="140"/>
              <w:spacing w:after="0"/>
              <w:rPr>
                <w:sz w:val="20"/>
                <w:szCs w:val="20"/>
                <w:color w:val="auto"/>
              </w:rPr>
            </w:pPr>
            <w:r>
              <w:rPr>
                <w:rFonts w:ascii="Arial" w:cs="Arial" w:eastAsia="Arial" w:hAnsi="Arial"/>
                <w:sz w:val="10"/>
                <w:szCs w:val="10"/>
                <w:b w:val="1"/>
                <w:bCs w:val="1"/>
                <w:color w:val="auto"/>
              </w:rPr>
              <w:t>(in whole dollars)</w:t>
            </w:r>
          </w:p>
        </w:tc>
        <w:tc>
          <w:tcPr>
            <w:tcW w:w="14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r>
      <w:tr>
        <w:trPr>
          <w:trHeight w:val="115"/>
        </w:trPr>
        <w:tc>
          <w:tcPr>
            <w:tcW w:w="64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Malignant claims</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56,000</w:t>
            </w:r>
          </w:p>
        </w:tc>
        <w:tc>
          <w:tcPr>
            <w:tcW w:w="52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7"/>
              </w:rPr>
              <w:t>61,500</w:t>
            </w: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50,200</w:t>
            </w:r>
          </w:p>
        </w:tc>
        <w:tc>
          <w:tcPr>
            <w:tcW w:w="18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55,300</w:t>
            </w:r>
          </w:p>
        </w:tc>
        <w:tc>
          <w:tcPr>
            <w:tcW w:w="52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w w:val="91"/>
              </w:rPr>
              <w:t>56,000</w:t>
            </w:r>
          </w:p>
        </w:tc>
      </w:tr>
      <w:tr>
        <w:trPr>
          <w:trHeight w:val="115"/>
        </w:trPr>
        <w:tc>
          <w:tcPr>
            <w:tcW w:w="64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Nonmalignant claims</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400</w:t>
            </w:r>
          </w:p>
        </w:tc>
        <w:tc>
          <w:tcPr>
            <w:tcW w:w="52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550</w:t>
            </w: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3,900</w:t>
            </w:r>
          </w:p>
        </w:tc>
        <w:tc>
          <w:tcPr>
            <w:tcW w:w="180" w:type="dxa"/>
            <w:vAlign w:val="bottom"/>
            <w:tcBorders>
              <w:bottom w:val="single" w:sz="8" w:color="DC202E"/>
            </w:tcBorders>
          </w:tcPr>
          <w:p>
            <w:pPr>
              <w:spacing w:after="0"/>
              <w:rPr>
                <w:sz w:val="10"/>
                <w:szCs w:val="10"/>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4,700</w:t>
            </w:r>
          </w:p>
        </w:tc>
        <w:tc>
          <w:tcPr>
            <w:tcW w:w="52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2,800</w:t>
            </w:r>
          </w:p>
        </w:tc>
      </w:tr>
    </w:tbl>
    <w:p>
      <w:pPr>
        <w:spacing w:after="0" w:line="136" w:lineRule="exact"/>
        <w:rPr>
          <w:sz w:val="20"/>
          <w:szCs w:val="20"/>
          <w:color w:val="auto"/>
        </w:rPr>
      </w:pPr>
    </w:p>
    <w:p>
      <w:pPr>
        <w:ind w:left="8"/>
        <w:spacing w:after="0"/>
        <w:rPr>
          <w:sz w:val="20"/>
          <w:szCs w:val="20"/>
          <w:color w:val="auto"/>
        </w:rPr>
      </w:pPr>
      <w:r>
        <w:rPr>
          <w:rFonts w:ascii="Arial" w:cs="Arial" w:eastAsia="Arial" w:hAnsi="Arial"/>
          <w:sz w:val="11"/>
          <w:szCs w:val="11"/>
          <w:color w:val="auto"/>
        </w:rPr>
        <w:t>It is not possible to predict whether resolution values for Bendix-related asbestos claims will increase, decrease or stabilize in the future.</w:t>
      </w:r>
    </w:p>
    <w:p>
      <w:pPr>
        <w:spacing w:after="0" w:line="72"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66"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has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67"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81" w:lineRule="exact"/>
        <w:rPr>
          <w:sz w:val="20"/>
          <w:szCs w:val="20"/>
          <w:color w:val="auto"/>
        </w:rPr>
      </w:pPr>
    </w:p>
    <w:p>
      <w:pPr>
        <w:ind w:left="468" w:hanging="468"/>
        <w:spacing w:after="0"/>
        <w:tabs>
          <w:tab w:leader="none" w:pos="468" w:val="left"/>
        </w:tabs>
        <w:numPr>
          <w:ilvl w:val="0"/>
          <w:numId w:val="9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98" w:name="page99"/>
    <w:bookmarkEnd w:id="98"/>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7" w:lineRule="exact"/>
        <w:rPr>
          <w:sz w:val="20"/>
          <w:szCs w:val="20"/>
          <w:color w:val="auto"/>
        </w:rPr>
      </w:pPr>
    </w:p>
    <w:p>
      <w:pPr>
        <w:jc w:val="both"/>
        <w:ind w:left="8"/>
        <w:spacing w:after="0" w:line="226" w:lineRule="auto"/>
        <w:rPr>
          <w:sz w:val="20"/>
          <w:szCs w:val="20"/>
          <w:color w:val="auto"/>
        </w:rPr>
      </w:pPr>
      <w:r>
        <w:rPr>
          <w:rFonts w:ascii="Arial" w:cs="Arial" w:eastAsia="Arial" w:hAnsi="Arial"/>
          <w:sz w:val="11"/>
          <w:szCs w:val="11"/>
          <w:color w:val="auto"/>
        </w:rPr>
        <w:t>On October 31, 2018, David Kanefsky (Plaintiff), a Honeywell shareholder, filed a putative class action complaint in the U.S. District Court for the District of New Jersey (the Court) alleging violations of the Securities Exchange Act of 1934 and Rule 10b-5 related to the prior accounting for Bendix asbestos claims. An Amended Complaint was filed on December 30, 2019, and on February 7, 2020, the Company filed a Motion to Dismiss. On May 18, 2020, the Court denied the Motion to Dismiss. On December 7, 2021, the parties filed a Stipulation of Settlement (Settlement Agreement) and Plaintiff filed a motion for preliminary approval of the Settlement Agreement, which includes payment by Honeywell of $10 million to settle the claims in dispute. Honeywell continues to believe the claims lack merit and denies wrongdoing as well as any liability for the claims made against Honeywell in the action. The Settlement Agreement remains subject to final court approval and other conditions.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GARRETT LITIGATION AND BANKRUPTCY PROCEEDINGS</w:t>
      </w:r>
    </w:p>
    <w:p>
      <w:pPr>
        <w:spacing w:after="0" w:line="95" w:lineRule="exact"/>
        <w:rPr>
          <w:sz w:val="20"/>
          <w:szCs w:val="20"/>
          <w:color w:val="auto"/>
        </w:rPr>
      </w:pPr>
    </w:p>
    <w:p>
      <w:pPr>
        <w:jc w:val="both"/>
        <w:ind w:left="8" w:right="20"/>
        <w:spacing w:after="0" w:line="241" w:lineRule="auto"/>
        <w:rPr>
          <w:sz w:val="20"/>
          <w:szCs w:val="20"/>
          <w:color w:val="auto"/>
        </w:rPr>
      </w:pPr>
      <w:r>
        <w:rPr>
          <w:rFonts w:ascii="Arial" w:cs="Arial" w:eastAsia="Arial" w:hAnsi="Arial"/>
          <w:sz w:val="11"/>
          <w:szCs w:val="11"/>
          <w:color w:val="auto"/>
        </w:rPr>
        <w:t>In conjunction with the Garrett spin-off, the Company entered into a binding indemnification and reimbursement agreement (Garrett Indemnity) and a binding tax matters agreement (Tax Matters Agreement) with Garrett and a Garrett subsidiary. On December 2, 2019, Garrett and Garrett ASASCO Inc. filed a Summons with Notice and commenced a lawsuit in the Commercial Division of the Supreme Court of the State of New York, County of New York (the State Court), seeking to invalidate the Garrett Indemnity. Garrett sought damages and a declaratory judgment based on various claims set forth in the Summons with Notice. On July 17, 2020, the Company received a notice from Garrett asserting that the Company had caused material breaches of the Tax Matters Agreement and that the Tax Matters Agreement was unenforceable.</w:t>
      </w:r>
    </w:p>
    <w:p>
      <w:pPr>
        <w:spacing w:after="0" w:line="68"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On September 20, 2020, Garrett and 36 of its affiliates filed voluntary petitions for relief under Chapter 11 of the United States Bankruptcy Code in the United States Bankruptcy Court for the Southern District of New York (the Bankruptcy Court). On September 24, 2020, Garrett moved the existing State Court litigation against Honeywell to the Bankruptcy Court. For the year ended December 31, 2020, the Company reviewed the aggregate carrying value of the receivable amounts due in connection with the Garrett Indemnity and Tax Matters Agreement and reduced the aggregate carrying value of the receivable by $509 million to reflect the present value of the amounts owed to the Company over the full term of these agreements.</w:t>
      </w:r>
    </w:p>
    <w:p>
      <w:pPr>
        <w:spacing w:after="0" w:line="68"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On April 26, 2021, the Bankruptcy Court confirmed Garrett’s amended Chapter 11 plan of reorganization (the Confirmed Plan), and on April 30, 2021 (the Effective Date), Garrett emerged from bankruptcy. On the Effective Date, and in accordance with the Confirmed Plan, (i) the Company received from Garrett an initial payment of $375 million and 834.8 million shares of Garrett's Series B Preferred Stock in full and final satisfaction of the Garrett Indemnity and Tax Matters Agreement, (ii) the Garrett Indemnity and Tax Matters Agreement were terminated, (iii) the Company and Garrett mutually released each other from the claims asserted in all pending legal actions related to the Garrett Indemnity and Tax Matters Agreement, and (iv) all pending litigation between the Company and Garrett in connection with those agreements was resolved.</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original Series B Preferred Stock Certificate of Designation provides for mandatory redemptions by Garrett of $35 million in 2022 and $100 million per year from 2023 to 2030 (inclusive) at the anniversary of the Effective Date, unless</w:t>
      </w:r>
    </w:p>
    <w:p>
      <w:pPr>
        <w:spacing w:after="0" w:line="11" w:lineRule="exact"/>
        <w:rPr>
          <w:sz w:val="20"/>
          <w:szCs w:val="20"/>
          <w:color w:val="auto"/>
        </w:rPr>
      </w:pPr>
    </w:p>
    <w:p>
      <w:pPr>
        <w:jc w:val="both"/>
        <w:ind w:left="8" w:hanging="8"/>
        <w:spacing w:after="0" w:line="242" w:lineRule="auto"/>
        <w:tabs>
          <w:tab w:leader="none" w:pos="135" w:val="left"/>
        </w:tabs>
        <w:numPr>
          <w:ilvl w:val="0"/>
          <w:numId w:val="96"/>
        </w:numPr>
        <w:rPr>
          <w:rFonts w:ascii="Arial" w:cs="Arial" w:eastAsia="Arial" w:hAnsi="Arial"/>
          <w:sz w:val="11"/>
          <w:szCs w:val="11"/>
          <w:color w:val="auto"/>
        </w:rPr>
      </w:pPr>
      <w:r>
        <w:rPr>
          <w:rFonts w:ascii="Arial" w:cs="Arial" w:eastAsia="Arial" w:hAnsi="Arial"/>
          <w:sz w:val="11"/>
          <w:szCs w:val="11"/>
          <w:color w:val="auto"/>
        </w:rPr>
        <w:t>Garrett’s consolidated EBITDA as of the end of the most recently completed fiscal year is less than $425 million, or (ii) Garrett does not have sufficient funds available to pay the redemption, at which point the redemption amounts past due will accrue interest. The Series B Preferred Stock Certificate of Designation also includes rights which allow (a) the Company to put the Series B Preferred Stock to Garrett if certain EBITDA conditions are met, and (b) Garrett to call the Series B Preferred Stock in whole or in part if certain EBITDA conditions are met.</w:t>
      </w:r>
    </w:p>
    <w:p>
      <w:pPr>
        <w:spacing w:after="0" w:line="67"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On September 30, 2021, Garrett filed an Amended and Restated Series B Preferred Stock Certificate of Designation (Amendment) with the Secretary of State of Delaware. The Amendment required Garrett to partially redeem a portion of the Series B Preferred Stock on or before March 31, 2022, such that the present value of remaining outstanding shares of the Series B Preferred Stock would be $400 million (First Partial Redemption), subject to applicable law, including that Garrett had funds legally available for the partial redemption. The First Partial Redemption would be applied to the latest scheduled redemption dates, beginning with the shares to be redeemed in 2030. The Amendment also provides that the Company cannot exercise its right to put the Series B Preferred Stock to Garrett until after December 31, 2022, subject to the EBITDA conditions described in the above section, unless the partial redemption does not occur on or before March 31, 2022. All other material terms and conditions in the Amendment were unchanged from the original Series B Preferred Stock Certificate of Designation.</w:t>
      </w:r>
    </w:p>
    <w:p>
      <w:pPr>
        <w:spacing w:after="0" w:line="70"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On December 16, 2021, Garrett filed a Second Amended and Restated Series B Preferred Stock Certificate of Designation (Second Amendment) with the Secretary of State of Delaware. The Second Amendment accelerates the First Partial Redemption from March 31, 2022, to December 30, 2021, and allows Garrett to partially redeem an additional portion of the Series B Preferred Stock on or before March 31, 2022, such that the present value of remaining outstanding shares of the Series B Preferred Stock will be $207 million (Second Partial Redemption). The Second Partial Redemption is subject to similar terms as the First Partial Redemption, including that Garrett has funds legally available for the partial redemption. However, the Second Partial Redemption is also contingent upon Garrett completing the First Partial Redemption and either (i) increasing their revolving credit facility, or (ii) the Garrett Board of Directors determining that Garrett otherwise has sufficient liquidity to effect the Second Partial Redemption. The Second Partial Redemption would be applied to the earliest scheduled redemptions beginning with the shares to be redeemed on April 30, 2022.</w:t>
      </w:r>
    </w:p>
    <w:p>
      <w:pPr>
        <w:spacing w:after="0" w:line="26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020" w:type="dxa"/>
            <w:vAlign w:val="bottom"/>
          </w:tcPr>
          <w:p>
            <w:pPr>
              <w:ind w:left="9720"/>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97</w:t>
            </w:r>
          </w:p>
        </w:tc>
      </w:tr>
      <w:tr>
        <w:trPr>
          <w:trHeight w:val="144"/>
        </w:trPr>
        <w:tc>
          <w:tcPr>
            <w:tcW w:w="110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99" w:name="page100"/>
    <w:bookmarkEnd w:id="99"/>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On December 17, 2021, Garrett announced their intention to effect the First Partial Redemption on December 28, 2021, in the amount of $211 million, and plan to effect the Second Partial Redemption during the first quarter of 2022 for a corresponding payment of $200 million. On December 28, 2021, Garrett paid $211 million for the amount due as the First Partial Redemption.</w:t>
      </w:r>
    </w:p>
    <w:p>
      <w:pPr>
        <w:spacing w:after="0" w:line="66" w:lineRule="exact"/>
        <w:rPr>
          <w:sz w:val="20"/>
          <w:szCs w:val="20"/>
          <w:color w:val="auto"/>
        </w:rPr>
      </w:pPr>
    </w:p>
    <w:p>
      <w:pPr>
        <w:jc w:val="both"/>
        <w:ind w:left="8"/>
        <w:spacing w:after="0" w:line="270" w:lineRule="auto"/>
        <w:rPr>
          <w:sz w:val="20"/>
          <w:szCs w:val="20"/>
          <w:color w:val="auto"/>
        </w:rPr>
      </w:pPr>
      <w:r>
        <w:rPr>
          <w:rFonts w:ascii="Arial" w:cs="Arial" w:eastAsia="Arial" w:hAnsi="Arial"/>
          <w:sz w:val="10"/>
          <w:szCs w:val="10"/>
          <w:color w:val="auto"/>
        </w:rPr>
        <w:t>The Company recorded the Series B Preferred Stock at fair value at the Effective Date. The Company believes the present value of the mandatory redemptions is an appropriate basis for determining the fair value of the Series B Preferred Stock. The Company's present value reflects amortized cost determined by the present value of the mandatory redemptions discounted at 7.25%, which is the rate reflected in the Series B Preferred Stock Certificate of Designation. The discount amount will accrete into interest income over the mandatory redemption period. In addition to the Series B Preferred Stock, the Company subscribed for 4.2 million shares of Garrett's Series A Preferred Stock, which are convertible into Garrett’s Common Stock if certain conditions are met. Prior to and following Garrett’s emergence from bankruptcy, the Company also held 2.9 million shares of Garrett’s Common Stock. As of December 31, 2021, Short-term investments included $34 million and Investments and long-term receivables included $423 million for the Company's investments in Garrett's Series B Preferred Stock, Series A Preferred Stock and Common Stock.</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OTHER MATTERS</w:t>
      </w:r>
    </w:p>
    <w:p>
      <w:pPr>
        <w:spacing w:after="0" w:line="95"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(including the matter described below). The Company recognizes liabilities for any contingency that is probable of occurrence and reasonably estimable. The Company continually assesses the likelihood of adverse judgments or outcomes in such matters, as well as potential ranges of possible losses (taking into consideration any insurance recoveries), based on a careful analysis of each matter with the assistance of outside legal counsel and, if applicable, other experts.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1"/>
          <w:szCs w:val="11"/>
          <w:color w:val="auto"/>
        </w:rPr>
        <w:t>Such matters include:</w:t>
      </w:r>
    </w:p>
    <w:p>
      <w:pPr>
        <w:spacing w:after="0" w:line="60" w:lineRule="exact"/>
        <w:rPr>
          <w:sz w:val="20"/>
          <w:szCs w:val="20"/>
          <w:color w:val="auto"/>
        </w:rPr>
      </w:pPr>
    </w:p>
    <w:p>
      <w:pPr>
        <w:jc w:val="both"/>
        <w:ind w:left="128" w:hanging="128"/>
        <w:spacing w:after="0" w:line="246" w:lineRule="auto"/>
        <w:tabs>
          <w:tab w:leader="none" w:pos="126" w:val="left"/>
        </w:tabs>
        <w:numPr>
          <w:ilvl w:val="0"/>
          <w:numId w:val="97"/>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 xml:space="preserve">Petrobras and Unaoil </w:t>
      </w:r>
      <w:r>
        <w:rPr>
          <w:rFonts w:ascii="Arial" w:cs="Arial" w:eastAsia="Arial" w:hAnsi="Arial"/>
          <w:sz w:val="11"/>
          <w:szCs w:val="11"/>
          <w:color w:val="auto"/>
        </w:rPr>
        <w:t>– The Company continues to cooperate with investigations by the U.S. Department of Justice (DOJ), the Securities and Exchange Commission (SEC) and the Brazilian authorities relating to the Company's use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of third parties who previously worked for the Company's UOP business in Brazil in relation to Petróleo Brasileiro S.A. (Petrobras) in connection with a project awarded in 2010. The investigations focus on compliance with the U.S. Foreign Corrupt Practices Act and similar Brazilian laws (the UOP Matters), and involve, among other things, document production and interviews with former and current management and employees. The DOJ and the SEC are also examining a matter involving a foreign subsidiary’s prior contract with Unaoil S.A.M. in Algeria executed in 2011. The Company continues to be engaged in discussions with the authorities with respect to a potential comprehensive resolution of these matters.</w:t>
      </w:r>
    </w:p>
    <w:p>
      <w:pPr>
        <w:spacing w:after="0" w:line="65" w:lineRule="exact"/>
        <w:rPr>
          <w:rFonts w:ascii="Arial" w:cs="Arial" w:eastAsia="Arial" w:hAnsi="Arial"/>
          <w:sz w:val="11"/>
          <w:szCs w:val="11"/>
          <w:b w:val="1"/>
          <w:bCs w:val="1"/>
          <w:color w:val="D7282F"/>
        </w:rPr>
      </w:pPr>
    </w:p>
    <w:p>
      <w:pPr>
        <w:jc w:val="both"/>
        <w:ind w:left="128"/>
        <w:spacing w:after="0"/>
        <w:rPr>
          <w:rFonts w:ascii="Arial" w:cs="Arial" w:eastAsia="Arial" w:hAnsi="Arial"/>
          <w:sz w:val="11"/>
          <w:szCs w:val="11"/>
          <w:b w:val="1"/>
          <w:bCs w:val="1"/>
          <w:color w:val="D7282F"/>
        </w:rPr>
      </w:pPr>
      <w:r>
        <w:rPr>
          <w:rFonts w:ascii="Arial" w:cs="Arial" w:eastAsia="Arial" w:hAnsi="Arial"/>
          <w:sz w:val="11"/>
          <w:szCs w:val="11"/>
          <w:color w:val="auto"/>
        </w:rPr>
        <w:t>As the discussions are both ongoing and at different stages with regards to each respective authority, there can be no assurance as to whether the Company will reach a resolution with such authorities or as to the potential timing, terms, or collateral consequences of any such resolution. As a result, the Company cannot predict the ultimate outcome of these UOP Matters or the potential impact on the Company. Based on available information to date, the Company estimates that a potential comprehensive resolution of these UOP Matters would result in a probable loss of at least $160 million, and the Company has recorded a charge in this amount in the Company's Consolidated Statement of Operations, and accrued a corresponding liability on the Consolidated Balance Sheet. Amounts payable to authorities pursuant to any potential final comprehensive resolution could differ from the amount recorded in the Company's consolidated financial statements. Based on available information to date, the Company does not expect that any such difference would be material with respect to the Company's consolidated financial position.</w:t>
      </w:r>
    </w:p>
    <w:p>
      <w:pPr>
        <w:spacing w:after="0" w:line="70"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Given the uncertainty inherent in litigation and investigations, the Company does not believe it is possible to develop estimates of reasonably possible losses (or a range of possible losses) in excess of current accruals for such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the Company's consolidated results of operations or operating cash flows in the periods recognized or paid.</w:t>
      </w:r>
    </w:p>
    <w:p>
      <w:pPr>
        <w:spacing w:after="0" w:line="282" w:lineRule="exact"/>
        <w:rPr>
          <w:sz w:val="20"/>
          <w:szCs w:val="20"/>
          <w:color w:val="auto"/>
        </w:rPr>
      </w:pPr>
    </w:p>
    <w:p>
      <w:pPr>
        <w:ind w:left="468" w:hanging="468"/>
        <w:spacing w:after="0"/>
        <w:tabs>
          <w:tab w:leader="none" w:pos="468" w:val="left"/>
        </w:tabs>
        <w:numPr>
          <w:ilvl w:val="0"/>
          <w:numId w:val="9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0" w:name="page101"/>
    <w:bookmarkEnd w:id="100"/>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WARRANTIES AND GUARANTEES</w:t>
      </w:r>
    </w:p>
    <w:p>
      <w:pPr>
        <w:spacing w:after="0" w:line="95"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In the normal course of business, the Company issues product warranties and product performance guarantees. The Company accrues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the Company's recorded obligations for product warranties and product performance guarantees.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46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51"/>
        </w:trPr>
        <w:tc>
          <w:tcPr>
            <w:tcW w:w="838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Beginning of year</w:t>
            </w: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243</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269</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310</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Accruals for warranties/guarantees issued during the year</w:t>
            </w:r>
          </w:p>
        </w:tc>
        <w:tc>
          <w:tcPr>
            <w:tcW w:w="6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146</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164</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173</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Adjustment of pre-existing warranties/guarantees</w:t>
            </w:r>
          </w:p>
        </w:tc>
        <w:tc>
          <w:tcPr>
            <w:tcW w:w="66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Settlement of warranty/guarantee claims</w:t>
            </w:r>
          </w:p>
        </w:tc>
        <w:tc>
          <w:tcPr>
            <w:tcW w:w="66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(159)</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(172)</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(180)</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End of year</w:t>
            </w: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223</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243</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269</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Product warranties and product performance guarantees are included in the following balance sheet accounts: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4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gridSpan w:val="2"/>
          </w:tcPr>
          <w:p>
            <w:pPr>
              <w:jc w:val="right"/>
              <w:ind w:right="312"/>
              <w:spacing w:after="0"/>
              <w:rPr>
                <w:sz w:val="20"/>
                <w:szCs w:val="20"/>
                <w:color w:val="auto"/>
              </w:rPr>
            </w:pPr>
            <w:r>
              <w:rPr>
                <w:rFonts w:ascii="Arial" w:cs="Arial" w:eastAsia="Arial" w:hAnsi="Arial"/>
                <w:sz w:val="10"/>
                <w:szCs w:val="10"/>
                <w:b w:val="1"/>
                <w:bCs w:val="1"/>
                <w:color w:val="auto"/>
                <w:w w:val="98"/>
              </w:rPr>
              <w:t>December 31,</w:t>
            </w:r>
          </w:p>
        </w:tc>
        <w:tc>
          <w:tcPr>
            <w:tcW w:w="300" w:type="dxa"/>
            <w:vAlign w:val="bottom"/>
            <w:tcBorders>
              <w:bottom w:val="single" w:sz="8" w:color="DC202E"/>
            </w:tcBorders>
          </w:tcPr>
          <w:p>
            <w:pPr>
              <w:spacing w:after="0"/>
              <w:rPr>
                <w:sz w:val="10"/>
                <w:szCs w:val="10"/>
                <w:color w:val="auto"/>
              </w:rPr>
            </w:pPr>
          </w:p>
        </w:tc>
      </w:tr>
      <w:tr>
        <w:trPr>
          <w:trHeight w:val="151"/>
        </w:trPr>
        <w:tc>
          <w:tcPr>
            <w:tcW w:w="93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ind w:left="380"/>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300" w:type="dxa"/>
            <w:vAlign w:val="bottom"/>
            <w:tcBorders>
              <w:bottom w:val="single" w:sz="8" w:color="DC202E"/>
            </w:tcBorders>
          </w:tcPr>
          <w:p>
            <w:pPr>
              <w:spacing w:after="0"/>
              <w:rPr>
                <w:sz w:val="13"/>
                <w:szCs w:val="13"/>
                <w:color w:val="auto"/>
              </w:rPr>
            </w:pPr>
          </w:p>
        </w:tc>
      </w:tr>
      <w:tr>
        <w:trPr>
          <w:trHeight w:val="115"/>
        </w:trPr>
        <w:tc>
          <w:tcPr>
            <w:tcW w:w="93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Accrued liabilities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180</w:t>
            </w:r>
          </w:p>
        </w:tc>
        <w:tc>
          <w:tcPr>
            <w:tcW w:w="60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183</w:t>
            </w:r>
          </w:p>
        </w:tc>
      </w:tr>
      <w:tr>
        <w:trPr>
          <w:trHeight w:val="115"/>
        </w:trPr>
        <w:tc>
          <w:tcPr>
            <w:tcW w:w="93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liabilities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43</w:t>
            </w:r>
          </w:p>
        </w:tc>
        <w:tc>
          <w:tcPr>
            <w:tcW w:w="6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60</w:t>
            </w:r>
          </w:p>
        </w:tc>
      </w:tr>
      <w:tr>
        <w:trPr>
          <w:trHeight w:val="115"/>
        </w:trPr>
        <w:tc>
          <w:tcPr>
            <w:tcW w:w="93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223</w:t>
            </w:r>
          </w:p>
        </w:tc>
        <w:tc>
          <w:tcPr>
            <w:tcW w:w="60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243</w:t>
            </w:r>
          </w:p>
        </w:tc>
      </w:tr>
      <w:tr>
        <w:trPr>
          <w:trHeight w:val="907"/>
        </w:trPr>
        <w:tc>
          <w:tcPr>
            <w:tcW w:w="9340" w:type="dxa"/>
            <w:vAlign w:val="bottom"/>
          </w:tcPr>
          <w:p>
            <w:pPr>
              <w:spacing w:after="0"/>
              <w:rPr>
                <w:sz w:val="24"/>
                <w:szCs w:val="24"/>
                <w:color w:val="auto"/>
              </w:rPr>
            </w:pPr>
          </w:p>
        </w:tc>
        <w:tc>
          <w:tcPr>
            <w:tcW w:w="1660" w:type="dxa"/>
            <w:vAlign w:val="bottom"/>
            <w:gridSpan w:val="3"/>
          </w:tcPr>
          <w:p>
            <w:pPr>
              <w:ind w:left="380"/>
              <w:spacing w:after="0"/>
              <w:rPr>
                <w:sz w:val="20"/>
                <w:szCs w:val="20"/>
                <w:color w:val="auto"/>
              </w:rPr>
            </w:pPr>
            <w:r>
              <w:rPr>
                <w:rFonts w:ascii="Arial" w:cs="Arial" w:eastAsia="Arial" w:hAnsi="Arial"/>
                <w:sz w:val="10"/>
                <w:szCs w:val="10"/>
                <w:color w:val="auto"/>
              </w:rPr>
              <w:t>Honeywell International Inc.</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D7282F"/>
              </w:rPr>
              <w:t>99</w:t>
            </w:r>
          </w:p>
        </w:tc>
      </w:tr>
      <w:tr>
        <w:trPr>
          <w:trHeight w:val="144"/>
        </w:trPr>
        <w:tc>
          <w:tcPr>
            <w:tcW w:w="9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1" w:name="page102"/>
    <w:bookmarkEnd w:id="101"/>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20. PENSION AND OTHER POSTRETIREMENT BENEFITS</w:t>
      </w:r>
    </w:p>
    <w:p>
      <w:pPr>
        <w:spacing w:after="0" w:line="155"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 sponsors a number of both funded and unfunded U.S. and non-U.S. defined benefit pension plans. Pension benefits for many of the Company's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The Company also sponsors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68"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 also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the Company's exposure to the impact of future health care cost increases. The retiree medical and life insurance plans are not funded. Claims and expenses are paid from the Company's cash flows from operations.</w:t>
      </w:r>
    </w:p>
    <w:p>
      <w:pPr>
        <w:spacing w:after="0" w:line="200" w:lineRule="exact"/>
        <w:rPr>
          <w:sz w:val="20"/>
          <w:szCs w:val="20"/>
          <w:color w:val="auto"/>
        </w:rPr>
      </w:pPr>
    </w:p>
    <w:p>
      <w:pPr>
        <w:spacing w:after="0" w:line="314" w:lineRule="exact"/>
        <w:rPr>
          <w:sz w:val="20"/>
          <w:szCs w:val="20"/>
          <w:color w:val="auto"/>
        </w:rPr>
      </w:pPr>
    </w:p>
    <w:p>
      <w:pPr>
        <w:ind w:left="528" w:hanging="528"/>
        <w:spacing w:after="0"/>
        <w:tabs>
          <w:tab w:leader="none" w:pos="528" w:val="left"/>
        </w:tabs>
        <w:numPr>
          <w:ilvl w:val="0"/>
          <w:numId w:val="9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2" w:name="page103"/>
    <w:bookmarkEnd w:id="102"/>
    <w:p>
      <w:pPr>
        <w:ind w:left="904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tables summarize the balance sheet impact, including the benefit obligations, assets and funded status associated with the Company's significant pension and other postretirement benefit plans.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400" w:type="dxa"/>
            <w:vAlign w:val="bottom"/>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1480" w:type="dxa"/>
            <w:vAlign w:val="bottom"/>
            <w:tcBorders>
              <w:bottom w:val="single" w:sz="8" w:color="DC202E"/>
            </w:tcBorders>
            <w:gridSpan w:val="3"/>
          </w:tcPr>
          <w:p>
            <w:pPr>
              <w:jc w:val="right"/>
              <w:ind w:right="172"/>
              <w:spacing w:after="0"/>
              <w:rPr>
                <w:sz w:val="20"/>
                <w:szCs w:val="20"/>
                <w:color w:val="auto"/>
              </w:rPr>
            </w:pPr>
            <w:r>
              <w:rPr>
                <w:rFonts w:ascii="Arial" w:cs="Arial" w:eastAsia="Arial" w:hAnsi="Arial"/>
                <w:sz w:val="10"/>
                <w:szCs w:val="10"/>
                <w:b w:val="1"/>
                <w:bCs w:val="1"/>
                <w:color w:val="auto"/>
              </w:rPr>
              <w:t>Pension Benefits</w:t>
            </w:r>
          </w:p>
        </w:tc>
        <w:tc>
          <w:tcPr>
            <w:tcW w:w="46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r>
      <w:tr>
        <w:trPr>
          <w:trHeight w:val="151"/>
        </w:trPr>
        <w:tc>
          <w:tcPr>
            <w:tcW w:w="7400" w:type="dxa"/>
            <w:vAlign w:val="bottom"/>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c>
          <w:tcPr>
            <w:tcW w:w="960" w:type="dxa"/>
            <w:vAlign w:val="bottom"/>
            <w:tcBorders>
              <w:bottom w:val="single" w:sz="8" w:color="DC202E"/>
            </w:tcBorders>
            <w:gridSpan w:val="2"/>
          </w:tcPr>
          <w:p>
            <w:pPr>
              <w:jc w:val="right"/>
              <w:ind w:right="332"/>
              <w:spacing w:after="0"/>
              <w:rPr>
                <w:sz w:val="20"/>
                <w:szCs w:val="20"/>
                <w:color w:val="auto"/>
              </w:rPr>
            </w:pPr>
            <w:r>
              <w:rPr>
                <w:rFonts w:ascii="Arial" w:cs="Arial" w:eastAsia="Arial" w:hAnsi="Arial"/>
                <w:sz w:val="10"/>
                <w:szCs w:val="10"/>
                <w:b w:val="1"/>
                <w:bCs w:val="1"/>
                <w:color w:val="auto"/>
              </w:rPr>
              <w:t>U.S. Plans</w:t>
            </w:r>
          </w:p>
        </w:tc>
        <w:tc>
          <w:tcPr>
            <w:tcW w:w="460" w:type="dxa"/>
            <w:vAlign w:val="bottom"/>
            <w:tcBorders>
              <w:bottom w:val="single" w:sz="8" w:color="DC202E"/>
            </w:tcBorders>
          </w:tcPr>
          <w:p>
            <w:pPr>
              <w:spacing w:after="0"/>
              <w:rPr>
                <w:sz w:val="13"/>
                <w:szCs w:val="13"/>
                <w:color w:val="auto"/>
              </w:rPr>
            </w:pPr>
          </w:p>
        </w:tc>
        <w:tc>
          <w:tcPr>
            <w:tcW w:w="520" w:type="dxa"/>
            <w:vAlign w:val="bottom"/>
            <w:tcBorders>
              <w:bottom w:val="single" w:sz="8" w:color="DC202E"/>
            </w:tcBorders>
          </w:tcPr>
          <w:p>
            <w:pPr>
              <w:spacing w:after="0"/>
              <w:rPr>
                <w:sz w:val="13"/>
                <w:szCs w:val="13"/>
                <w:color w:val="auto"/>
              </w:rPr>
            </w:pPr>
          </w:p>
        </w:tc>
        <w:tc>
          <w:tcPr>
            <w:tcW w:w="72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4"/>
              </w:rPr>
              <w:t>Non-U.S. Plans</w:t>
            </w:r>
          </w:p>
        </w:tc>
        <w:tc>
          <w:tcPr>
            <w:tcW w:w="620" w:type="dxa"/>
            <w:vAlign w:val="bottom"/>
            <w:tcBorders>
              <w:bottom w:val="single" w:sz="8" w:color="DC202E"/>
            </w:tcBorders>
          </w:tcPr>
          <w:p>
            <w:pPr>
              <w:spacing w:after="0"/>
              <w:rPr>
                <w:sz w:val="13"/>
                <w:szCs w:val="13"/>
                <w:color w:val="auto"/>
              </w:rPr>
            </w:pPr>
          </w:p>
        </w:tc>
      </w:tr>
      <w:tr>
        <w:trPr>
          <w:trHeight w:val="151"/>
        </w:trPr>
        <w:tc>
          <w:tcPr>
            <w:tcW w:w="740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3"/>
                <w:szCs w:val="13"/>
                <w:color w:val="auto"/>
              </w:rPr>
            </w:pPr>
          </w:p>
        </w:tc>
        <w:tc>
          <w:tcPr>
            <w:tcW w:w="5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DC202E"/>
            </w:tcBorders>
          </w:tcPr>
          <w:p>
            <w:pPr>
              <w:spacing w:after="0"/>
              <w:rPr>
                <w:sz w:val="13"/>
                <w:szCs w:val="13"/>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3"/>
                <w:szCs w:val="13"/>
                <w:color w:val="auto"/>
              </w:rPr>
            </w:pPr>
          </w:p>
        </w:tc>
        <w:tc>
          <w:tcPr>
            <w:tcW w:w="26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98"/>
              </w:rPr>
              <w:t>2020</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Change in benefit obligation:</w:t>
            </w:r>
          </w:p>
        </w:tc>
        <w:tc>
          <w:tcPr>
            <w:tcW w:w="6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Benefit obligation at beginning of year</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w w:val="91"/>
              </w:rPr>
              <w:t>18,054</w:t>
            </w:r>
          </w:p>
        </w:tc>
        <w:tc>
          <w:tcPr>
            <w:tcW w:w="5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7"/>
              </w:rPr>
              <w:t>17,283</w:t>
            </w:r>
          </w:p>
        </w:tc>
        <w:tc>
          <w:tcPr>
            <w:tcW w:w="5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7,670</w:t>
            </w:r>
          </w:p>
        </w:tc>
        <w:tc>
          <w:tcPr>
            <w:tcW w:w="2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6,897</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Service cost</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105</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99</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23</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Interest cost</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306</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461</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77</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106</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Plan amendments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w:t>
            </w:r>
          </w:p>
        </w:tc>
      </w:tr>
      <w:tr>
        <w:trPr>
          <w:trHeight w:val="115"/>
        </w:trPr>
        <w:tc>
          <w:tcPr>
            <w:tcW w:w="7400" w:type="dxa"/>
            <w:vAlign w:val="bottom"/>
            <w:tcBorders>
              <w:bottom w:val="single" w:sz="8" w:color="939598"/>
            </w:tcBorders>
          </w:tcPr>
          <w:p>
            <w:pPr>
              <w:ind w:left="220"/>
              <w:spacing w:after="0" w:line="115" w:lineRule="exact"/>
              <w:rPr>
                <w:sz w:val="20"/>
                <w:szCs w:val="20"/>
                <w:color w:val="auto"/>
              </w:rPr>
            </w:pPr>
            <w:r>
              <w:rPr>
                <w:rFonts w:ascii="Arial" w:cs="Arial" w:eastAsia="Arial" w:hAnsi="Arial"/>
                <w:sz w:val="10"/>
                <w:szCs w:val="10"/>
                <w:color w:val="auto"/>
              </w:rPr>
              <w:t>Actuarial (gains) losses</w:t>
            </w:r>
            <w:r>
              <w:rPr>
                <w:rFonts w:ascii="Arial" w:cs="Arial" w:eastAsia="Arial" w:hAnsi="Arial"/>
                <w:sz w:val="12"/>
                <w:szCs w:val="12"/>
                <w:color w:val="auto"/>
                <w:vertAlign w:val="superscript"/>
              </w:rPr>
              <w:t>(1)</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141</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1,331</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(403)</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509</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Benefits paid</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(1,221)</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(1,100)</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(249)</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(246)</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Settlements and curtailments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(21)</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Foreign currency translation</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(121)</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291</w:t>
            </w:r>
          </w:p>
        </w:tc>
      </w:tr>
      <w:tr>
        <w:trPr>
          <w:trHeight w:val="115"/>
        </w:trPr>
        <w:tc>
          <w:tcPr>
            <w:tcW w:w="740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Other</w:t>
            </w:r>
          </w:p>
        </w:tc>
        <w:tc>
          <w:tcPr>
            <w:tcW w:w="6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6</w:t>
            </w:r>
          </w:p>
        </w:tc>
        <w:tc>
          <w:tcPr>
            <w:tcW w:w="5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w:t>
            </w:r>
          </w:p>
        </w:tc>
        <w:tc>
          <w:tcPr>
            <w:tcW w:w="5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88</w:t>
            </w:r>
          </w:p>
        </w:tc>
      </w:tr>
      <w:tr>
        <w:trPr>
          <w:trHeight w:val="115"/>
        </w:trPr>
        <w:tc>
          <w:tcPr>
            <w:tcW w:w="740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Benefit obligation at end of year</w:t>
            </w:r>
          </w:p>
        </w:tc>
        <w:tc>
          <w:tcPr>
            <w:tcW w:w="6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1"/>
              </w:rPr>
              <w:t>17,391</w:t>
            </w:r>
          </w:p>
        </w:tc>
        <w:tc>
          <w:tcPr>
            <w:tcW w:w="5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7"/>
              </w:rPr>
              <w:t>18,054</w:t>
            </w:r>
          </w:p>
        </w:tc>
        <w:tc>
          <w:tcPr>
            <w:tcW w:w="5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6,999</w:t>
            </w:r>
          </w:p>
        </w:tc>
        <w:tc>
          <w:tcPr>
            <w:tcW w:w="2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7,670</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Change in plan assets: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Fair value of plan assets at beginning of year</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w w:val="91"/>
              </w:rPr>
              <w:t>20,396</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7"/>
              </w:rPr>
              <w:t>18,995</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8,450</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7,307</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Actual return on plan assets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1,344</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2,475</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166</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918</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Company contributions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35</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46</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101</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116</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Benefits paid</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(1,221)</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(1,100)</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(249)</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(246)</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Settlements and curtailments</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(21)</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Foreign currency translation</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(74)</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253</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Other</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6</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102</w:t>
            </w:r>
          </w:p>
        </w:tc>
      </w:tr>
      <w:tr>
        <w:trPr>
          <w:trHeight w:val="115"/>
        </w:trPr>
        <w:tc>
          <w:tcPr>
            <w:tcW w:w="740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Fair value of plan assets at end of year</w:t>
            </w:r>
          </w:p>
        </w:tc>
        <w:tc>
          <w:tcPr>
            <w:tcW w:w="6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w w:val="91"/>
              </w:rPr>
              <w:t>20,560</w:t>
            </w:r>
          </w:p>
        </w:tc>
        <w:tc>
          <w:tcPr>
            <w:tcW w:w="5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w w:val="97"/>
              </w:rPr>
              <w:t>20,396</w:t>
            </w:r>
          </w:p>
        </w:tc>
        <w:tc>
          <w:tcPr>
            <w:tcW w:w="5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8,396</w:t>
            </w:r>
          </w:p>
        </w:tc>
        <w:tc>
          <w:tcPr>
            <w:tcW w:w="2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8,450</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Funded status of plans</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3,169</w:t>
            </w:r>
          </w:p>
        </w:tc>
        <w:tc>
          <w:tcPr>
            <w:tcW w:w="5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2,342</w:t>
            </w:r>
          </w:p>
        </w:tc>
        <w:tc>
          <w:tcPr>
            <w:tcW w:w="5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1,397</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780</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Amounts recognized in Consolidated Balance Sheet consist of:</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40"/>
              <w:spacing w:after="0" w:line="115" w:lineRule="exact"/>
              <w:rPr>
                <w:sz w:val="20"/>
                <w:szCs w:val="20"/>
                <w:color w:val="auto"/>
              </w:rPr>
            </w:pPr>
            <w:r>
              <w:rPr>
                <w:rFonts w:ascii="Arial" w:cs="Arial" w:eastAsia="Arial" w:hAnsi="Arial"/>
                <w:sz w:val="10"/>
                <w:szCs w:val="10"/>
                <w:color w:val="auto"/>
              </w:rPr>
              <w:t>Prepaid pension benefit cost</w:t>
            </w:r>
            <w:r>
              <w:rPr>
                <w:rFonts w:ascii="Arial" w:cs="Arial" w:eastAsia="Arial" w:hAnsi="Arial"/>
                <w:sz w:val="12"/>
                <w:szCs w:val="12"/>
                <w:color w:val="auto"/>
                <w:vertAlign w:val="superscript"/>
              </w:rPr>
              <w:t>(2)</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3,528</w:t>
            </w:r>
          </w:p>
        </w:tc>
        <w:tc>
          <w:tcPr>
            <w:tcW w:w="5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2,695</w:t>
            </w:r>
          </w:p>
        </w:tc>
        <w:tc>
          <w:tcPr>
            <w:tcW w:w="5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2,105</w:t>
            </w:r>
          </w:p>
        </w:tc>
        <w:tc>
          <w:tcPr>
            <w:tcW w:w="2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1,688</w:t>
            </w:r>
          </w:p>
        </w:tc>
      </w:tr>
      <w:tr>
        <w:trPr>
          <w:trHeight w:val="115"/>
        </w:trPr>
        <w:tc>
          <w:tcPr>
            <w:tcW w:w="7400" w:type="dxa"/>
            <w:vAlign w:val="bottom"/>
            <w:tcBorders>
              <w:bottom w:val="single" w:sz="8" w:color="939598"/>
            </w:tcBorders>
          </w:tcPr>
          <w:p>
            <w:pPr>
              <w:ind w:left="240"/>
              <w:spacing w:after="0" w:line="115" w:lineRule="exact"/>
              <w:rPr>
                <w:sz w:val="20"/>
                <w:szCs w:val="20"/>
                <w:color w:val="auto"/>
              </w:rPr>
            </w:pPr>
            <w:r>
              <w:rPr>
                <w:rFonts w:ascii="Arial" w:cs="Arial" w:eastAsia="Arial" w:hAnsi="Arial"/>
                <w:sz w:val="10"/>
                <w:szCs w:val="10"/>
                <w:color w:val="auto"/>
              </w:rPr>
              <w:t>Accrued pension liabilities—current</w:t>
            </w:r>
            <w:r>
              <w:rPr>
                <w:rFonts w:ascii="Arial" w:cs="Arial" w:eastAsia="Arial" w:hAnsi="Arial"/>
                <w:sz w:val="12"/>
                <w:szCs w:val="12"/>
                <w:color w:val="auto"/>
                <w:vertAlign w:val="superscript"/>
              </w:rPr>
              <w:t>(3)</w:t>
            </w:r>
          </w:p>
        </w:tc>
        <w:tc>
          <w:tcPr>
            <w:tcW w:w="6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w:t>
            </w:r>
          </w:p>
        </w:tc>
        <w:tc>
          <w:tcPr>
            <w:tcW w:w="5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(29)</w:t>
            </w:r>
          </w:p>
        </w:tc>
        <w:tc>
          <w:tcPr>
            <w:tcW w:w="52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(14)</w:t>
            </w:r>
          </w:p>
        </w:tc>
        <w:tc>
          <w:tcPr>
            <w:tcW w:w="2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r>
      <w:tr>
        <w:trPr>
          <w:trHeight w:val="115"/>
        </w:trPr>
        <w:tc>
          <w:tcPr>
            <w:tcW w:w="7400" w:type="dxa"/>
            <w:vAlign w:val="bottom"/>
            <w:tcBorders>
              <w:bottom w:val="single" w:sz="8" w:color="DC202E"/>
            </w:tcBorders>
          </w:tcPr>
          <w:p>
            <w:pPr>
              <w:ind w:left="240"/>
              <w:spacing w:after="0" w:line="115" w:lineRule="exact"/>
              <w:rPr>
                <w:sz w:val="20"/>
                <w:szCs w:val="20"/>
                <w:color w:val="auto"/>
              </w:rPr>
            </w:pPr>
            <w:r>
              <w:rPr>
                <w:rFonts w:ascii="Arial" w:cs="Arial" w:eastAsia="Arial" w:hAnsi="Arial"/>
                <w:sz w:val="10"/>
                <w:szCs w:val="10"/>
                <w:color w:val="auto"/>
              </w:rPr>
              <w:t>Accrued pension liabilities—noncurrent</w:t>
            </w:r>
            <w:r>
              <w:rPr>
                <w:rFonts w:ascii="Arial" w:cs="Arial" w:eastAsia="Arial" w:hAnsi="Arial"/>
                <w:sz w:val="12"/>
                <w:szCs w:val="12"/>
                <w:color w:val="auto"/>
                <w:vertAlign w:val="superscript"/>
              </w:rPr>
              <w:t>(4)</w:t>
            </w:r>
          </w:p>
        </w:tc>
        <w:tc>
          <w:tcPr>
            <w:tcW w:w="6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(326)</w:t>
            </w:r>
          </w:p>
        </w:tc>
        <w:tc>
          <w:tcPr>
            <w:tcW w:w="5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(324)</w:t>
            </w:r>
          </w:p>
        </w:tc>
        <w:tc>
          <w:tcPr>
            <w:tcW w:w="52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(694)</w:t>
            </w:r>
          </w:p>
        </w:tc>
        <w:tc>
          <w:tcPr>
            <w:tcW w:w="2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(894)</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3,169</w:t>
            </w:r>
          </w:p>
        </w:tc>
        <w:tc>
          <w:tcPr>
            <w:tcW w:w="5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2,342</w:t>
            </w:r>
          </w:p>
        </w:tc>
        <w:tc>
          <w:tcPr>
            <w:tcW w:w="5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1,397</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780</w:t>
            </w:r>
          </w:p>
        </w:tc>
      </w:tr>
    </w:tbl>
    <w:p>
      <w:pPr>
        <w:spacing w:after="0" w:line="131" w:lineRule="exact"/>
        <w:rPr>
          <w:sz w:val="20"/>
          <w:szCs w:val="20"/>
          <w:color w:val="auto"/>
        </w:rPr>
      </w:pPr>
    </w:p>
    <w:p>
      <w:pPr>
        <w:jc w:val="both"/>
        <w:ind w:left="128" w:hanging="128"/>
        <w:spacing w:after="0" w:line="230" w:lineRule="auto"/>
        <w:tabs>
          <w:tab w:leader="none" w:pos="146" w:val="left"/>
        </w:tabs>
        <w:numPr>
          <w:ilvl w:val="0"/>
          <w:numId w:val="100"/>
        </w:numPr>
        <w:rPr>
          <w:rFonts w:ascii="Arial" w:cs="Arial" w:eastAsia="Arial" w:hAnsi="Arial"/>
          <w:sz w:val="11"/>
          <w:szCs w:val="11"/>
          <w:color w:val="auto"/>
          <w:vertAlign w:val="superscript"/>
        </w:rPr>
      </w:pPr>
      <w:r>
        <w:rPr>
          <w:rFonts w:ascii="Arial" w:cs="Arial" w:eastAsia="Arial" w:hAnsi="Arial"/>
          <w:sz w:val="8"/>
          <w:szCs w:val="8"/>
          <w:color w:val="auto"/>
        </w:rPr>
        <w:t>The actuarial losses incurred in 2021 related to the Company's U.S. plans are primarily the result of changes in demographic experience and demographic assumptions, partially offset by actuarial gains due to an increase in the discount rate assumptions used to estimate the benefit obligations as of December 31, 2021 compared to December 31, 2020. Actuarial gains incurred in 2021 related to the Company's non-U.S. plans are primarily the result of an increase in the discount rate assumption used to estimate the benefit obligations as of December 31, 2021 compared to December 31, 2020. Actuarial losses incurred in 2020 related to the Company's U.S. and non-U.S. plans are primarily the result of a decrease in the discount rate assumptions used to estimate the benefit obligations as of December 31, 2020 compared to December 31, 2019.</w:t>
      </w:r>
    </w:p>
    <w:p>
      <w:pPr>
        <w:spacing w:after="0" w:line="44"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00"/>
        </w:numPr>
        <w:rPr>
          <w:rFonts w:ascii="Arial" w:cs="Arial" w:eastAsia="Arial" w:hAnsi="Arial"/>
          <w:sz w:val="11"/>
          <w:szCs w:val="11"/>
          <w:color w:val="auto"/>
          <w:vertAlign w:val="superscript"/>
        </w:rPr>
      </w:pPr>
      <w:r>
        <w:rPr>
          <w:rFonts w:ascii="Arial" w:cs="Arial" w:eastAsia="Arial" w:hAnsi="Arial"/>
          <w:sz w:val="8"/>
          <w:szCs w:val="8"/>
          <w:color w:val="auto"/>
        </w:rPr>
        <w:t>Included in Other assets on the Consolidated Balance Sheet</w:t>
      </w:r>
    </w:p>
    <w:p>
      <w:pPr>
        <w:spacing w:after="0" w:line="44" w:lineRule="exact"/>
        <w:rPr>
          <w:rFonts w:ascii="Arial" w:cs="Arial" w:eastAsia="Arial" w:hAnsi="Arial"/>
          <w:sz w:val="11"/>
          <w:szCs w:val="11"/>
          <w:color w:val="auto"/>
          <w:vertAlign w:val="superscript"/>
        </w:rPr>
      </w:pPr>
    </w:p>
    <w:p>
      <w:pPr>
        <w:ind w:left="148" w:hanging="148"/>
        <w:spacing w:after="0"/>
        <w:tabs>
          <w:tab w:leader="none" w:pos="148" w:val="left"/>
        </w:tabs>
        <w:numPr>
          <w:ilvl w:val="0"/>
          <w:numId w:val="100"/>
        </w:numPr>
        <w:rPr>
          <w:rFonts w:ascii="Arial" w:cs="Arial" w:eastAsia="Arial" w:hAnsi="Arial"/>
          <w:sz w:val="11"/>
          <w:szCs w:val="11"/>
          <w:color w:val="auto"/>
          <w:vertAlign w:val="superscript"/>
        </w:rPr>
      </w:pPr>
      <w:r>
        <w:rPr>
          <w:rFonts w:ascii="Arial" w:cs="Arial" w:eastAsia="Arial" w:hAnsi="Arial"/>
          <w:sz w:val="8"/>
          <w:szCs w:val="8"/>
          <w:color w:val="auto"/>
        </w:rPr>
        <w:t>Included in Accrued liabilities on the Consolidated Balance Sheet</w:t>
      </w:r>
    </w:p>
    <w:p>
      <w:pPr>
        <w:spacing w:after="0" w:line="44" w:lineRule="exact"/>
        <w:rPr>
          <w:rFonts w:ascii="Arial" w:cs="Arial" w:eastAsia="Arial" w:hAnsi="Arial"/>
          <w:sz w:val="11"/>
          <w:szCs w:val="11"/>
          <w:color w:val="auto"/>
          <w:vertAlign w:val="superscript"/>
        </w:rPr>
      </w:pPr>
    </w:p>
    <w:p>
      <w:pPr>
        <w:ind w:left="148" w:hanging="148"/>
        <w:spacing w:after="0"/>
        <w:tabs>
          <w:tab w:leader="none" w:pos="148" w:val="left"/>
        </w:tabs>
        <w:numPr>
          <w:ilvl w:val="0"/>
          <w:numId w:val="100"/>
        </w:numPr>
        <w:rPr>
          <w:rFonts w:ascii="Arial" w:cs="Arial" w:eastAsia="Arial" w:hAnsi="Arial"/>
          <w:sz w:val="11"/>
          <w:szCs w:val="11"/>
          <w:color w:val="auto"/>
          <w:vertAlign w:val="superscript"/>
        </w:rPr>
      </w:pPr>
      <w:r>
        <w:rPr>
          <w:rFonts w:ascii="Arial" w:cs="Arial" w:eastAsia="Arial" w:hAnsi="Arial"/>
          <w:sz w:val="8"/>
          <w:szCs w:val="8"/>
          <w:color w:val="auto"/>
        </w:rPr>
        <w:t>Included in Other liabilities on the Consolidated Balance Sheet</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101</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3" w:name="page104"/>
    <w:bookmarkEnd w:id="103"/>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5" w:lineRule="exact"/>
        <w:rPr>
          <w:sz w:val="20"/>
          <w:szCs w:val="20"/>
          <w:color w:val="auto"/>
        </w:rPr>
      </w:pPr>
    </w:p>
    <w:p>
      <w:pPr>
        <w:jc w:val="center"/>
        <w:ind w:left="9340"/>
        <w:spacing w:after="0"/>
        <w:rPr>
          <w:sz w:val="20"/>
          <w:szCs w:val="20"/>
          <w:color w:val="auto"/>
        </w:rPr>
      </w:pPr>
      <w:r>
        <w:rPr>
          <w:rFonts w:ascii="Arial" w:cs="Arial" w:eastAsia="Arial" w:hAnsi="Arial"/>
          <w:sz w:val="10"/>
          <w:szCs w:val="10"/>
          <w:b w:val="1"/>
          <w:bCs w:val="1"/>
          <w:color w:val="auto"/>
        </w:rPr>
        <w:t>Other</w:t>
      </w:r>
    </w:p>
    <w:p>
      <w:pPr>
        <w:jc w:val="center"/>
        <w:ind w:left="9340"/>
        <w:spacing w:after="0" w:line="187" w:lineRule="auto"/>
        <w:rPr>
          <w:sz w:val="20"/>
          <w:szCs w:val="20"/>
          <w:color w:val="auto"/>
        </w:rPr>
      </w:pPr>
      <w:r>
        <w:rPr>
          <w:rFonts w:ascii="Arial" w:cs="Arial" w:eastAsia="Arial" w:hAnsi="Arial"/>
          <w:sz w:val="10"/>
          <w:szCs w:val="10"/>
          <w:b w:val="1"/>
          <w:bCs w:val="1"/>
          <w:color w:val="auto"/>
        </w:rPr>
        <w:t>Postretirement</w:t>
      </w:r>
    </w:p>
    <w:p>
      <w:pPr>
        <w:jc w:val="center"/>
        <w:ind w:left="9340"/>
        <w:spacing w:after="0"/>
        <w:rPr>
          <w:sz w:val="20"/>
          <w:szCs w:val="20"/>
          <w:color w:val="auto"/>
        </w:rPr>
      </w:pPr>
      <w:r>
        <w:rPr>
          <w:rFonts w:ascii="Arial" w:cs="Arial" w:eastAsia="Arial" w:hAnsi="Arial"/>
          <w:sz w:val="10"/>
          <w:szCs w:val="10"/>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0</wp:posOffset>
            </wp:positionV>
            <wp:extent cx="124015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40155" cy="5715"/>
                    </a:xfrm>
                    <a:prstGeom prst="rect">
                      <a:avLst/>
                    </a:prstGeom>
                    <a:noFill/>
                  </pic:spPr>
                </pic:pic>
              </a:graphicData>
            </a:graphic>
          </wp:anchor>
        </w:drawing>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6120" w:type="dxa"/>
            <w:vAlign w:val="bottom"/>
            <w:tcBorders>
              <w:bottom w:val="single" w:sz="8" w:color="DC202E"/>
            </w:tcBorders>
          </w:tcPr>
          <w:p>
            <w:pPr>
              <w:spacing w:after="0"/>
              <w:rPr>
                <w:sz w:val="10"/>
                <w:szCs w:val="10"/>
                <w:color w:val="auto"/>
              </w:rPr>
            </w:pPr>
          </w:p>
        </w:tc>
        <w:tc>
          <w:tcPr>
            <w:tcW w:w="388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15"/>
        </w:trPr>
        <w:tc>
          <w:tcPr>
            <w:tcW w:w="61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Change in benefit obligation:</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Benefit obligation at beginning of year</w:t>
            </w:r>
          </w:p>
        </w:tc>
        <w:tc>
          <w:tcPr>
            <w:tcW w:w="388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229</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325</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Service cost</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Interest cost</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Plan amendments</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(65)</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Actuarial (gains) losses</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w:t>
            </w:r>
          </w:p>
        </w:tc>
      </w:tr>
      <w:tr>
        <w:trPr>
          <w:trHeight w:val="115"/>
        </w:trPr>
        <w:tc>
          <w:tcPr>
            <w:tcW w:w="612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Benefits paid</w:t>
            </w:r>
          </w:p>
        </w:tc>
        <w:tc>
          <w:tcPr>
            <w:tcW w:w="388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(30)</w:t>
            </w:r>
          </w:p>
        </w:tc>
        <w:tc>
          <w:tcPr>
            <w:tcW w:w="22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(31)</w:t>
            </w:r>
          </w:p>
        </w:tc>
      </w:tr>
      <w:tr>
        <w:trPr>
          <w:trHeight w:val="115"/>
        </w:trPr>
        <w:tc>
          <w:tcPr>
            <w:tcW w:w="612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Benefit obligation at end of year</w:t>
            </w:r>
          </w:p>
        </w:tc>
        <w:tc>
          <w:tcPr>
            <w:tcW w:w="388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196</w:t>
            </w:r>
          </w:p>
        </w:tc>
        <w:tc>
          <w:tcPr>
            <w:tcW w:w="22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229</w:t>
            </w:r>
          </w:p>
        </w:tc>
      </w:tr>
      <w:tr>
        <w:trPr>
          <w:trHeight w:val="115"/>
        </w:trPr>
        <w:tc>
          <w:tcPr>
            <w:tcW w:w="61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Change in plan assets:</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Fair value of plan assets at beginning of year</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Actual return on plan assets</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Company contributions</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Benefits paid</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Fair value of plan assets at end of year</w:t>
            </w:r>
          </w:p>
        </w:tc>
        <w:tc>
          <w:tcPr>
            <w:tcW w:w="388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Funded status of plans</w:t>
            </w:r>
          </w:p>
        </w:tc>
        <w:tc>
          <w:tcPr>
            <w:tcW w:w="388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(196)</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(229)</w:t>
            </w:r>
          </w:p>
        </w:tc>
      </w:tr>
      <w:tr>
        <w:trPr>
          <w:trHeight w:val="115"/>
        </w:trPr>
        <w:tc>
          <w:tcPr>
            <w:tcW w:w="61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Amounts recognized in Consolidated Balance Sheet consist of:</w:t>
            </w:r>
          </w:p>
        </w:tc>
        <w:tc>
          <w:tcPr>
            <w:tcW w:w="388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Accrued liabilities</w:t>
            </w:r>
          </w:p>
        </w:tc>
        <w:tc>
          <w:tcPr>
            <w:tcW w:w="388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(25)</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w:t>
            </w:r>
          </w:p>
        </w:tc>
      </w:tr>
      <w:tr>
        <w:trPr>
          <w:trHeight w:val="115"/>
        </w:trPr>
        <w:tc>
          <w:tcPr>
            <w:tcW w:w="6120" w:type="dxa"/>
            <w:vAlign w:val="bottom"/>
            <w:tcBorders>
              <w:bottom w:val="single" w:sz="8" w:color="DC202E"/>
            </w:tcBorders>
          </w:tcPr>
          <w:p>
            <w:pPr>
              <w:ind w:left="220"/>
              <w:spacing w:after="0" w:line="115" w:lineRule="exact"/>
              <w:rPr>
                <w:sz w:val="20"/>
                <w:szCs w:val="20"/>
                <w:color w:val="auto"/>
              </w:rPr>
            </w:pPr>
            <w:r>
              <w:rPr>
                <w:rFonts w:ascii="Arial" w:cs="Arial" w:eastAsia="Arial" w:hAnsi="Arial"/>
                <w:sz w:val="10"/>
                <w:szCs w:val="10"/>
                <w:color w:val="auto"/>
              </w:rPr>
              <w:t>Postretirement benefit obligations other than pensions</w:t>
            </w:r>
            <w:r>
              <w:rPr>
                <w:rFonts w:ascii="Arial" w:cs="Arial" w:eastAsia="Arial" w:hAnsi="Arial"/>
                <w:sz w:val="12"/>
                <w:szCs w:val="12"/>
                <w:color w:val="auto"/>
                <w:vertAlign w:val="superscript"/>
              </w:rPr>
              <w:t>(1)</w:t>
            </w:r>
          </w:p>
        </w:tc>
        <w:tc>
          <w:tcPr>
            <w:tcW w:w="388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(171)</w:t>
            </w:r>
          </w:p>
        </w:tc>
        <w:tc>
          <w:tcPr>
            <w:tcW w:w="22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(202)</w:t>
            </w:r>
          </w:p>
        </w:tc>
      </w:tr>
      <w:tr>
        <w:trPr>
          <w:trHeight w:val="115"/>
        </w:trPr>
        <w:tc>
          <w:tcPr>
            <w:tcW w:w="61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388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(196)</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(229)</w:t>
            </w:r>
          </w:p>
        </w:tc>
      </w:tr>
    </w:tbl>
    <w:p>
      <w:pPr>
        <w:spacing w:after="0" w:line="105" w:lineRule="exact"/>
        <w:rPr>
          <w:sz w:val="20"/>
          <w:szCs w:val="20"/>
          <w:color w:val="auto"/>
        </w:rPr>
      </w:pPr>
    </w:p>
    <w:p>
      <w:pPr>
        <w:ind w:left="228" w:hanging="228"/>
        <w:spacing w:after="0"/>
        <w:tabs>
          <w:tab w:leader="none" w:pos="228" w:val="left"/>
        </w:tabs>
        <w:numPr>
          <w:ilvl w:val="0"/>
          <w:numId w:val="101"/>
        </w:numPr>
        <w:rPr>
          <w:rFonts w:ascii="Arial" w:cs="Arial" w:eastAsia="Arial" w:hAnsi="Arial"/>
          <w:sz w:val="11"/>
          <w:szCs w:val="11"/>
          <w:color w:val="auto"/>
          <w:vertAlign w:val="superscript"/>
        </w:rPr>
      </w:pPr>
      <w:r>
        <w:rPr>
          <w:rFonts w:ascii="Arial" w:cs="Arial" w:eastAsia="Arial" w:hAnsi="Arial"/>
          <w:sz w:val="8"/>
          <w:szCs w:val="8"/>
          <w:color w:val="auto"/>
        </w:rPr>
        <w:t>Excludes non-U.S. plan of $37 million and $40 million as of December 31, 2021 and 2020.</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11"/>
          <w:szCs w:val="11"/>
          <w:color w:val="auto"/>
        </w:rPr>
        <w:t>Amounts recognized in Accumulated other comprehensive (income) loss associated with the Company's significant pension and other postretirement benefit plans at December 31, 2021 and 2020 are as follows: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740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1820" w:type="dxa"/>
            <w:vAlign w:val="bottom"/>
            <w:tcBorders>
              <w:bottom w:val="single" w:sz="8" w:color="DC202E"/>
            </w:tcBorders>
            <w:gridSpan w:val="3"/>
          </w:tcPr>
          <w:p>
            <w:pPr>
              <w:jc w:val="right"/>
              <w:ind w:right="732"/>
              <w:spacing w:after="0"/>
              <w:rPr>
                <w:sz w:val="20"/>
                <w:szCs w:val="20"/>
                <w:color w:val="auto"/>
              </w:rPr>
            </w:pPr>
            <w:r>
              <w:rPr>
                <w:rFonts w:ascii="Arial" w:cs="Arial" w:eastAsia="Arial" w:hAnsi="Arial"/>
                <w:sz w:val="10"/>
                <w:szCs w:val="10"/>
                <w:b w:val="1"/>
                <w:bCs w:val="1"/>
                <w:color w:val="auto"/>
              </w:rPr>
              <w:t>Pension Benefits</w:t>
            </w:r>
          </w:p>
        </w:tc>
        <w:tc>
          <w:tcPr>
            <w:tcW w:w="1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r>
      <w:tr>
        <w:trPr>
          <w:trHeight w:val="151"/>
        </w:trPr>
        <w:tc>
          <w:tcPr>
            <w:tcW w:w="7400" w:type="dxa"/>
            <w:vAlign w:val="bottom"/>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980" w:type="dxa"/>
            <w:vAlign w:val="bottom"/>
            <w:tcBorders>
              <w:bottom w:val="single" w:sz="8" w:color="DC202E"/>
            </w:tcBorders>
            <w:gridSpan w:val="2"/>
          </w:tcPr>
          <w:p>
            <w:pPr>
              <w:jc w:val="right"/>
              <w:ind w:right="52"/>
              <w:spacing w:after="0"/>
              <w:rPr>
                <w:sz w:val="20"/>
                <w:szCs w:val="20"/>
                <w:color w:val="auto"/>
              </w:rPr>
            </w:pPr>
            <w:r>
              <w:rPr>
                <w:rFonts w:ascii="Arial" w:cs="Arial" w:eastAsia="Arial" w:hAnsi="Arial"/>
                <w:sz w:val="10"/>
                <w:szCs w:val="10"/>
                <w:b w:val="1"/>
                <w:bCs w:val="1"/>
                <w:color w:val="auto"/>
              </w:rPr>
              <w:t>U.S. Plans</w:t>
            </w:r>
          </w:p>
        </w:tc>
        <w:tc>
          <w:tcPr>
            <w:tcW w:w="640" w:type="dxa"/>
            <w:vAlign w:val="bottom"/>
            <w:tcBorders>
              <w:bottom w:val="single" w:sz="8" w:color="DC202E"/>
            </w:tcBorders>
          </w:tcPr>
          <w:p>
            <w:pPr>
              <w:spacing w:after="0"/>
              <w:rPr>
                <w:sz w:val="13"/>
                <w:szCs w:val="13"/>
                <w:color w:val="auto"/>
              </w:rPr>
            </w:pPr>
          </w:p>
        </w:tc>
        <w:tc>
          <w:tcPr>
            <w:tcW w:w="1180" w:type="dxa"/>
            <w:vAlign w:val="bottom"/>
            <w:tcBorders>
              <w:bottom w:val="single" w:sz="8" w:color="DC202E"/>
            </w:tcBorders>
            <w:gridSpan w:val="2"/>
          </w:tcPr>
          <w:p>
            <w:pPr>
              <w:jc w:val="right"/>
              <w:ind w:right="432"/>
              <w:spacing w:after="0"/>
              <w:rPr>
                <w:sz w:val="20"/>
                <w:szCs w:val="20"/>
                <w:color w:val="auto"/>
              </w:rPr>
            </w:pPr>
            <w:r>
              <w:rPr>
                <w:rFonts w:ascii="Arial" w:cs="Arial" w:eastAsia="Arial" w:hAnsi="Arial"/>
                <w:sz w:val="10"/>
                <w:szCs w:val="10"/>
                <w:b w:val="1"/>
                <w:bCs w:val="1"/>
                <w:color w:val="auto"/>
                <w:w w:val="94"/>
              </w:rPr>
              <w:t>Non-U.S. Plans</w:t>
            </w:r>
          </w:p>
        </w:tc>
        <w:tc>
          <w:tcPr>
            <w:tcW w:w="16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r>
      <w:tr>
        <w:trPr>
          <w:trHeight w:val="151"/>
        </w:trPr>
        <w:tc>
          <w:tcPr>
            <w:tcW w:w="740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22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DC202E"/>
            </w:tcBorders>
          </w:tcPr>
          <w:p>
            <w:pPr>
              <w:spacing w:after="0"/>
              <w:rPr>
                <w:sz w:val="13"/>
                <w:szCs w:val="13"/>
                <w:color w:val="auto"/>
              </w:rPr>
            </w:pPr>
          </w:p>
        </w:tc>
        <w:tc>
          <w:tcPr>
            <w:tcW w:w="840" w:type="dxa"/>
            <w:vAlign w:val="bottom"/>
            <w:tcBorders>
              <w:bottom w:val="single" w:sz="8" w:color="DC202E"/>
            </w:tcBorders>
          </w:tcPr>
          <w:p>
            <w:pPr>
              <w:jc w:val="right"/>
              <w:ind w:right="532"/>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98"/>
              </w:rPr>
              <w:t>2020</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Prior service (credit) cost</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(92)</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(134)</w:t>
            </w: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20</w:t>
            </w:r>
          </w:p>
        </w:tc>
        <w:tc>
          <w:tcPr>
            <w:tcW w:w="1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23</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Net actuarial (gain) loss</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492</w:t>
            </w:r>
          </w:p>
        </w:tc>
        <w:tc>
          <w:tcPr>
            <w:tcW w:w="2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505</w:t>
            </w:r>
          </w:p>
        </w:tc>
        <w:tc>
          <w:tcPr>
            <w:tcW w:w="34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color w:val="auto"/>
              </w:rPr>
              <w:t>397</w:t>
            </w:r>
          </w:p>
        </w:tc>
        <w:tc>
          <w:tcPr>
            <w:tcW w:w="1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629</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400</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371</w:t>
            </w: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rPr>
              <w:t>417</w:t>
            </w:r>
          </w:p>
        </w:tc>
        <w:tc>
          <w:tcPr>
            <w:tcW w:w="1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652</w:t>
            </w:r>
          </w:p>
        </w:tc>
      </w:tr>
      <w:tr>
        <w:trPr>
          <w:trHeight w:val="286"/>
        </w:trPr>
        <w:tc>
          <w:tcPr>
            <w:tcW w:w="7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center"/>
              <w:ind w:left="392"/>
              <w:spacing w:after="0"/>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0"/>
        </w:trPr>
        <w:tc>
          <w:tcPr>
            <w:tcW w:w="7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0" w:type="dxa"/>
            <w:vAlign w:val="bottom"/>
            <w:gridSpan w:val="2"/>
          </w:tcPr>
          <w:p>
            <w:pPr>
              <w:jc w:val="center"/>
              <w:ind w:left="232"/>
              <w:spacing w:after="0" w:line="90" w:lineRule="exact"/>
              <w:rPr>
                <w:sz w:val="20"/>
                <w:szCs w:val="20"/>
                <w:color w:val="auto"/>
              </w:rPr>
            </w:pPr>
            <w:r>
              <w:rPr>
                <w:rFonts w:ascii="Arial" w:cs="Arial" w:eastAsia="Arial" w:hAnsi="Arial"/>
                <w:sz w:val="10"/>
                <w:szCs w:val="10"/>
                <w:b w:val="1"/>
                <w:bCs w:val="1"/>
                <w:color w:val="auto"/>
                <w:w w:val="96"/>
              </w:rPr>
              <w:t>Postretirement</w:t>
            </w:r>
          </w:p>
        </w:tc>
        <w:tc>
          <w:tcPr>
            <w:tcW w:w="620" w:type="dxa"/>
            <w:vAlign w:val="bottom"/>
          </w:tcPr>
          <w:p>
            <w:pPr>
              <w:spacing w:after="0"/>
              <w:rPr>
                <w:sz w:val="7"/>
                <w:szCs w:val="7"/>
                <w:color w:val="auto"/>
              </w:rPr>
            </w:pPr>
          </w:p>
        </w:tc>
      </w:tr>
      <w:tr>
        <w:trPr>
          <w:trHeight w:val="117"/>
        </w:trPr>
        <w:tc>
          <w:tcPr>
            <w:tcW w:w="7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center"/>
              <w:ind w:left="392"/>
              <w:spacing w:after="0"/>
              <w:rPr>
                <w:sz w:val="20"/>
                <w:szCs w:val="20"/>
                <w:color w:val="auto"/>
              </w:rPr>
            </w:pPr>
            <w:r>
              <w:rPr>
                <w:rFonts w:ascii="Arial" w:cs="Arial" w:eastAsia="Arial" w:hAnsi="Arial"/>
                <w:sz w:val="10"/>
                <w:szCs w:val="10"/>
                <w:b w:val="1"/>
                <w:bCs w:val="1"/>
                <w:color w:val="auto"/>
                <w:w w:val="91"/>
              </w:rPr>
              <w:t>Benefits</w:t>
            </w:r>
          </w:p>
        </w:tc>
        <w:tc>
          <w:tcPr>
            <w:tcW w:w="1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r>
      <w:tr>
        <w:trPr>
          <w:trHeight w:val="151"/>
        </w:trPr>
        <w:tc>
          <w:tcPr>
            <w:tcW w:w="740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spacing w:after="0"/>
              <w:rPr>
                <w:sz w:val="13"/>
                <w:szCs w:val="13"/>
                <w:color w:val="auto"/>
              </w:rPr>
            </w:pPr>
          </w:p>
        </w:tc>
        <w:tc>
          <w:tcPr>
            <w:tcW w:w="840" w:type="dxa"/>
            <w:vAlign w:val="bottom"/>
            <w:tcBorders>
              <w:bottom w:val="single" w:sz="8" w:color="DC202E"/>
            </w:tcBorders>
          </w:tcPr>
          <w:p>
            <w:pPr>
              <w:jc w:val="right"/>
              <w:ind w:right="532"/>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98"/>
              </w:rPr>
              <w:t>2020</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Prior service (credit)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(92)</w:t>
            </w:r>
          </w:p>
        </w:tc>
        <w:tc>
          <w:tcPr>
            <w:tcW w:w="1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(165)</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Net actuarial (gain) loss</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4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(34)</w:t>
            </w:r>
          </w:p>
        </w:tc>
        <w:tc>
          <w:tcPr>
            <w:tcW w:w="1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(28)</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(126)</w:t>
            </w:r>
          </w:p>
        </w:tc>
        <w:tc>
          <w:tcPr>
            <w:tcW w:w="1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(193)</w:t>
            </w:r>
          </w:p>
        </w:tc>
      </w:tr>
    </w:tbl>
    <w:p>
      <w:pPr>
        <w:spacing w:after="0" w:line="200" w:lineRule="exact"/>
        <w:rPr>
          <w:sz w:val="20"/>
          <w:szCs w:val="20"/>
          <w:color w:val="auto"/>
        </w:rPr>
      </w:pPr>
    </w:p>
    <w:p>
      <w:pPr>
        <w:spacing w:after="0" w:line="383" w:lineRule="exact"/>
        <w:rPr>
          <w:sz w:val="20"/>
          <w:szCs w:val="20"/>
          <w:color w:val="auto"/>
        </w:rPr>
      </w:pPr>
    </w:p>
    <w:p>
      <w:pPr>
        <w:ind w:left="528" w:hanging="528"/>
        <w:spacing w:after="0"/>
        <w:tabs>
          <w:tab w:leader="none" w:pos="528" w:val="left"/>
        </w:tabs>
        <w:numPr>
          <w:ilvl w:val="0"/>
          <w:numId w:val="10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4" w:name="page105"/>
    <w:bookmarkEnd w:id="104"/>
    <w:p>
      <w:pPr>
        <w:ind w:left="9040"/>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spacing w:after="0"/>
        <w:rPr>
          <w:sz w:val="20"/>
          <w:szCs w:val="20"/>
          <w:color w:val="auto"/>
        </w:rPr>
      </w:pPr>
      <w:r>
        <w:rPr>
          <w:rFonts w:ascii="Arial" w:cs="Arial" w:eastAsia="Arial" w:hAnsi="Arial"/>
          <w:sz w:val="10"/>
          <w:szCs w:val="10"/>
          <w:color w:val="auto"/>
        </w:rPr>
        <w:t>The components of net periodic benefit (income) cost and other amounts recognized in Other comprehensive (income) loss for the Company's significant pension and other postretirement benefit plans include the following components: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180" w:type="dxa"/>
            <w:vAlign w:val="bottom"/>
            <w:tcBorders>
              <w:bottom w:val="single" w:sz="8" w:color="DC202E"/>
            </w:tcBorders>
            <w:gridSpan w:val="3"/>
          </w:tcPr>
          <w:p>
            <w:pPr>
              <w:jc w:val="right"/>
              <w:spacing w:after="0"/>
              <w:rPr>
                <w:sz w:val="20"/>
                <w:szCs w:val="20"/>
                <w:color w:val="auto"/>
              </w:rPr>
            </w:pPr>
            <w:r>
              <w:rPr>
                <w:rFonts w:ascii="Arial" w:cs="Arial" w:eastAsia="Arial" w:hAnsi="Arial"/>
                <w:sz w:val="10"/>
                <w:szCs w:val="10"/>
                <w:b w:val="1"/>
                <w:bCs w:val="1"/>
                <w:color w:val="auto"/>
              </w:rPr>
              <w:t>Pension Benefits</w:t>
            </w:r>
          </w:p>
        </w:tc>
        <w:tc>
          <w:tcPr>
            <w:tcW w:w="7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1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240" w:type="dxa"/>
            <w:vAlign w:val="bottom"/>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center"/>
              <w:ind w:left="92"/>
              <w:spacing w:after="0"/>
              <w:rPr>
                <w:sz w:val="20"/>
                <w:szCs w:val="20"/>
                <w:color w:val="auto"/>
              </w:rPr>
            </w:pPr>
            <w:r>
              <w:rPr>
                <w:rFonts w:ascii="Arial" w:cs="Arial" w:eastAsia="Arial" w:hAnsi="Arial"/>
                <w:sz w:val="10"/>
                <w:szCs w:val="10"/>
                <w:b w:val="1"/>
                <w:bCs w:val="1"/>
                <w:color w:val="auto"/>
                <w:w w:val="98"/>
              </w:rPr>
              <w:t>U.S. Plans</w:t>
            </w:r>
          </w:p>
        </w:tc>
        <w:tc>
          <w:tcPr>
            <w:tcW w:w="34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spacing w:after="0"/>
              <w:rPr>
                <w:sz w:val="13"/>
                <w:szCs w:val="13"/>
                <w:color w:val="auto"/>
              </w:rPr>
            </w:pPr>
          </w:p>
        </w:tc>
        <w:tc>
          <w:tcPr>
            <w:tcW w:w="1120" w:type="dxa"/>
            <w:vAlign w:val="bottom"/>
            <w:tcBorders>
              <w:bottom w:val="single" w:sz="8" w:color="DC202E"/>
            </w:tcBorders>
            <w:gridSpan w:val="2"/>
          </w:tcPr>
          <w:p>
            <w:pPr>
              <w:jc w:val="center"/>
              <w:ind w:right="212"/>
              <w:spacing w:after="0"/>
              <w:rPr>
                <w:sz w:val="20"/>
                <w:szCs w:val="20"/>
                <w:color w:val="auto"/>
              </w:rPr>
            </w:pPr>
            <w:r>
              <w:rPr>
                <w:rFonts w:ascii="Arial" w:cs="Arial" w:eastAsia="Arial" w:hAnsi="Arial"/>
                <w:sz w:val="10"/>
                <w:szCs w:val="10"/>
                <w:b w:val="1"/>
                <w:bCs w:val="1"/>
                <w:color w:val="auto"/>
                <w:w w:val="97"/>
              </w:rPr>
              <w:t>Non-U.S. Plans</w:t>
            </w:r>
          </w:p>
        </w:tc>
        <w:tc>
          <w:tcPr>
            <w:tcW w:w="12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Periodic Benefit Cost</w:t>
            </w:r>
          </w:p>
        </w:tc>
        <w:tc>
          <w:tcPr>
            <w:tcW w:w="32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DC202E"/>
            </w:tcBorders>
          </w:tcPr>
          <w:p>
            <w:pPr>
              <w:jc w:val="center"/>
              <w:ind w:left="92"/>
              <w:spacing w:after="0"/>
              <w:rPr>
                <w:sz w:val="20"/>
                <w:szCs w:val="20"/>
                <w:color w:val="auto"/>
              </w:rPr>
            </w:pPr>
            <w:r>
              <w:rPr>
                <w:rFonts w:ascii="Arial" w:cs="Arial" w:eastAsia="Arial" w:hAnsi="Arial"/>
                <w:sz w:val="10"/>
                <w:szCs w:val="10"/>
                <w:b w:val="1"/>
                <w:bCs w:val="1"/>
                <w:color w:val="auto"/>
                <w:w w:val="89"/>
              </w:rPr>
              <w:t>2020</w:t>
            </w:r>
          </w:p>
        </w:tc>
        <w:tc>
          <w:tcPr>
            <w:tcW w:w="34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c>
          <w:tcPr>
            <w:tcW w:w="22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C202E"/>
            </w:tcBorders>
          </w:tcPr>
          <w:p>
            <w:pPr>
              <w:spacing w:after="0"/>
              <w:rPr>
                <w:sz w:val="13"/>
                <w:szCs w:val="13"/>
                <w:color w:val="auto"/>
              </w:rPr>
            </w:pPr>
          </w:p>
        </w:tc>
        <w:tc>
          <w:tcPr>
            <w:tcW w:w="880" w:type="dxa"/>
            <w:vAlign w:val="bottom"/>
            <w:tcBorders>
              <w:bottom w:val="single" w:sz="8" w:color="DC202E"/>
            </w:tcBorders>
          </w:tcPr>
          <w:p>
            <w:pPr>
              <w:jc w:val="center"/>
              <w:ind w:right="452"/>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2019</w:t>
            </w:r>
          </w:p>
        </w:tc>
        <w:tc>
          <w:tcPr>
            <w:tcW w:w="32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Service cost</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105</w:t>
            </w:r>
          </w:p>
        </w:tc>
        <w:tc>
          <w:tcPr>
            <w:tcW w:w="62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99</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82</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26</w:t>
            </w: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23</w:t>
            </w:r>
          </w:p>
        </w:tc>
        <w:tc>
          <w:tcPr>
            <w:tcW w:w="1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Interest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306</w:t>
            </w: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461</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613</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77</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106</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142</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Expected return on plan assets</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(1,220)</w:t>
            </w:r>
          </w:p>
        </w:tc>
        <w:tc>
          <w:tcPr>
            <w:tcW w:w="960" w:type="dxa"/>
            <w:vAlign w:val="bottom"/>
            <w:tcBorders>
              <w:bottom w:val="single" w:sz="8" w:color="939598"/>
            </w:tcBorders>
            <w:gridSpan w:val="2"/>
          </w:tcPr>
          <w:p>
            <w:pPr>
              <w:jc w:val="right"/>
              <w:ind w:right="72"/>
              <w:spacing w:after="0"/>
              <w:rPr>
                <w:sz w:val="20"/>
                <w:szCs w:val="20"/>
                <w:color w:val="auto"/>
              </w:rPr>
            </w:pPr>
            <w:r>
              <w:rPr>
                <w:rFonts w:ascii="Arial" w:cs="Arial" w:eastAsia="Arial" w:hAnsi="Arial"/>
                <w:sz w:val="10"/>
                <w:szCs w:val="10"/>
                <w:color w:val="auto"/>
              </w:rPr>
              <w:t>(1,135)</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(1,117)</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(348)</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(336)</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(331)</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Amortization of prior service (credit)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(42)</w:t>
            </w: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(42)</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(42)</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Recognition of actuarial losses</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31</w:t>
            </w: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9</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18</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Settlements and curtailments</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w:t>
            </w: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periodic benefit (income) cost</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(820)</w:t>
            </w:r>
          </w:p>
        </w:tc>
        <w:tc>
          <w:tcPr>
            <w:tcW w:w="62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85"/>
              </w:rPr>
              <w:t>(587)</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(425)</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(236)</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(189)</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(79)</w:t>
            </w:r>
          </w:p>
        </w:tc>
        <w:tc>
          <w:tcPr>
            <w:tcW w:w="0" w:type="dxa"/>
            <w:vAlign w:val="bottom"/>
          </w:tcPr>
          <w:p>
            <w:pPr>
              <w:spacing w:after="0"/>
              <w:rPr>
                <w:sz w:val="1"/>
                <w:szCs w:val="1"/>
                <w:color w:val="auto"/>
              </w:rPr>
            </w:pPr>
          </w:p>
        </w:tc>
      </w:tr>
      <w:tr>
        <w:trPr>
          <w:trHeight w:val="295"/>
        </w:trPr>
        <w:tc>
          <w:tcPr>
            <w:tcW w:w="5240" w:type="dxa"/>
            <w:vAlign w:val="bottom"/>
          </w:tcPr>
          <w:p>
            <w:pPr>
              <w:spacing w:after="0"/>
              <w:rPr>
                <w:sz w:val="20"/>
                <w:szCs w:val="20"/>
                <w:color w:val="auto"/>
              </w:rPr>
            </w:pPr>
            <w:r>
              <w:rPr>
                <w:rFonts w:ascii="Arial" w:cs="Arial" w:eastAsia="Arial" w:hAnsi="Arial"/>
                <w:sz w:val="10"/>
                <w:szCs w:val="10"/>
                <w:b w:val="1"/>
                <w:bCs w:val="1"/>
                <w:color w:val="auto"/>
              </w:rPr>
              <w:t>Other Changes in Plan Assets and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center"/>
              <w:ind w:left="92"/>
              <w:spacing w:after="0"/>
              <w:rPr>
                <w:sz w:val="20"/>
                <w:szCs w:val="20"/>
                <w:color w:val="auto"/>
              </w:rPr>
            </w:pPr>
            <w:r>
              <w:rPr>
                <w:rFonts w:ascii="Arial" w:cs="Arial" w:eastAsia="Arial" w:hAnsi="Arial"/>
                <w:sz w:val="10"/>
                <w:szCs w:val="10"/>
                <w:b w:val="1"/>
                <w:bCs w:val="1"/>
                <w:color w:val="auto"/>
                <w:w w:val="98"/>
              </w:rPr>
              <w:t>U.S. Plans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gridSpan w:val="2"/>
          </w:tcPr>
          <w:p>
            <w:pPr>
              <w:jc w:val="center"/>
              <w:ind w:right="212"/>
              <w:spacing w:after="0"/>
              <w:rPr>
                <w:sz w:val="20"/>
                <w:szCs w:val="20"/>
                <w:color w:val="auto"/>
              </w:rPr>
            </w:pPr>
            <w:r>
              <w:rPr>
                <w:rFonts w:ascii="Arial" w:cs="Arial" w:eastAsia="Arial" w:hAnsi="Arial"/>
                <w:sz w:val="10"/>
                <w:szCs w:val="10"/>
                <w:b w:val="1"/>
                <w:bCs w:val="1"/>
                <w:color w:val="auto"/>
                <w:w w:val="97"/>
              </w:rPr>
              <w:t>Non-U.S. Plans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line="81" w:lineRule="exact"/>
              <w:rPr>
                <w:sz w:val="20"/>
                <w:szCs w:val="20"/>
                <w:color w:val="auto"/>
              </w:rPr>
            </w:pPr>
            <w:r>
              <w:rPr>
                <w:rFonts w:ascii="Arial" w:cs="Arial" w:eastAsia="Arial" w:hAnsi="Arial"/>
                <w:sz w:val="8"/>
                <w:szCs w:val="8"/>
                <w:b w:val="1"/>
                <w:bCs w:val="1"/>
                <w:color w:val="auto"/>
              </w:rPr>
              <w:t>Benefits Obligations Recognized in Other Comprehensive</w:t>
            </w:r>
          </w:p>
        </w:tc>
        <w:tc>
          <w:tcPr>
            <w:tcW w:w="320" w:type="dxa"/>
            <w:vAlign w:val="bottom"/>
            <w:tcBorders>
              <w:bottom w:val="single" w:sz="8" w:color="DC202E"/>
            </w:tcBorders>
          </w:tcPr>
          <w:p>
            <w:pPr>
              <w:spacing w:after="0"/>
              <w:rPr>
                <w:sz w:val="2"/>
                <w:szCs w:val="2"/>
                <w:color w:val="auto"/>
              </w:rPr>
            </w:pPr>
          </w:p>
        </w:tc>
        <w:tc>
          <w:tcPr>
            <w:tcW w:w="760" w:type="dxa"/>
            <w:vAlign w:val="bottom"/>
            <w:tcBorders>
              <w:bottom w:val="single" w:sz="8" w:color="DC202E"/>
            </w:tcBorders>
          </w:tcPr>
          <w:p>
            <w:pPr>
              <w:spacing w:after="0"/>
              <w:rPr>
                <w:sz w:val="2"/>
                <w:szCs w:val="2"/>
                <w:color w:val="auto"/>
              </w:rPr>
            </w:pPr>
          </w:p>
        </w:tc>
        <w:tc>
          <w:tcPr>
            <w:tcW w:w="620" w:type="dxa"/>
            <w:vAlign w:val="bottom"/>
            <w:tcBorders>
              <w:bottom w:val="single" w:sz="8" w:color="DC202E"/>
            </w:tcBorders>
          </w:tcPr>
          <w:p>
            <w:pPr>
              <w:spacing w:after="0"/>
              <w:rPr>
                <w:sz w:val="2"/>
                <w:szCs w:val="2"/>
                <w:color w:val="auto"/>
              </w:rPr>
            </w:pPr>
          </w:p>
        </w:tc>
        <w:tc>
          <w:tcPr>
            <w:tcW w:w="340" w:type="dxa"/>
            <w:vAlign w:val="bottom"/>
            <w:tcBorders>
              <w:bottom w:val="single" w:sz="8" w:color="DC202E"/>
            </w:tcBorders>
          </w:tcPr>
          <w:p>
            <w:pPr>
              <w:spacing w:after="0"/>
              <w:rPr>
                <w:sz w:val="2"/>
                <w:szCs w:val="2"/>
                <w:color w:val="auto"/>
              </w:rPr>
            </w:pPr>
          </w:p>
        </w:tc>
        <w:tc>
          <w:tcPr>
            <w:tcW w:w="240" w:type="dxa"/>
            <w:vAlign w:val="bottom"/>
            <w:tcBorders>
              <w:bottom w:val="single" w:sz="8" w:color="DC202E"/>
            </w:tcBorders>
          </w:tcPr>
          <w:p>
            <w:pPr>
              <w:spacing w:after="0"/>
              <w:rPr>
                <w:sz w:val="2"/>
                <w:szCs w:val="2"/>
                <w:color w:val="auto"/>
              </w:rPr>
            </w:pPr>
          </w:p>
        </w:tc>
        <w:tc>
          <w:tcPr>
            <w:tcW w:w="640" w:type="dxa"/>
            <w:vAlign w:val="bottom"/>
            <w:tcBorders>
              <w:bottom w:val="single" w:sz="8" w:color="DC202E"/>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DC202E"/>
            </w:tcBorders>
          </w:tcPr>
          <w:p>
            <w:pPr>
              <w:spacing w:after="0"/>
              <w:rPr>
                <w:sz w:val="2"/>
                <w:szCs w:val="2"/>
                <w:color w:val="auto"/>
              </w:rPr>
            </w:pPr>
          </w:p>
        </w:tc>
        <w:tc>
          <w:tcPr>
            <w:tcW w:w="700" w:type="dxa"/>
            <w:vAlign w:val="bottom"/>
            <w:tcBorders>
              <w:bottom w:val="single" w:sz="8" w:color="DC202E"/>
            </w:tcBorders>
          </w:tcPr>
          <w:p>
            <w:pPr>
              <w:spacing w:after="0"/>
              <w:rPr>
                <w:sz w:val="2"/>
                <w:szCs w:val="2"/>
                <w:color w:val="auto"/>
              </w:rPr>
            </w:pPr>
          </w:p>
        </w:tc>
        <w:tc>
          <w:tcPr>
            <w:tcW w:w="240" w:type="dxa"/>
            <w:vAlign w:val="bottom"/>
            <w:tcBorders>
              <w:bottom w:val="single" w:sz="8" w:color="DC202E"/>
            </w:tcBorders>
          </w:tcPr>
          <w:p>
            <w:pPr>
              <w:spacing w:after="0"/>
              <w:rPr>
                <w:sz w:val="2"/>
                <w:szCs w:val="2"/>
                <w:color w:val="auto"/>
              </w:rPr>
            </w:pPr>
          </w:p>
        </w:tc>
        <w:tc>
          <w:tcPr>
            <w:tcW w:w="880" w:type="dxa"/>
            <w:vAlign w:val="bottom"/>
            <w:tcBorders>
              <w:bottom w:val="single" w:sz="8" w:color="DC202E"/>
            </w:tcBorders>
          </w:tcPr>
          <w:p>
            <w:pPr>
              <w:spacing w:after="0"/>
              <w:rPr>
                <w:sz w:val="2"/>
                <w:szCs w:val="2"/>
                <w:color w:val="auto"/>
              </w:rPr>
            </w:pPr>
          </w:p>
        </w:tc>
        <w:tc>
          <w:tcPr>
            <w:tcW w:w="120" w:type="dxa"/>
            <w:vAlign w:val="bottom"/>
            <w:tcBorders>
              <w:bottom w:val="single" w:sz="8" w:color="DC202E"/>
            </w:tcBorders>
          </w:tcPr>
          <w:p>
            <w:pPr>
              <w:spacing w:after="0"/>
              <w:rPr>
                <w:sz w:val="2"/>
                <w:szCs w:val="2"/>
                <w:color w:val="auto"/>
              </w:rPr>
            </w:pPr>
          </w:p>
        </w:tc>
        <w:tc>
          <w:tcPr>
            <w:tcW w:w="340" w:type="dxa"/>
            <w:vAlign w:val="bottom"/>
            <w:tcBorders>
              <w:bottom w:val="single" w:sz="8" w:color="DC202E"/>
            </w:tcBorders>
          </w:tcPr>
          <w:p>
            <w:pPr>
              <w:spacing w:after="0"/>
              <w:rPr>
                <w:sz w:val="2"/>
                <w:szCs w:val="2"/>
                <w:color w:val="auto"/>
              </w:rPr>
            </w:pPr>
          </w:p>
        </w:tc>
        <w:tc>
          <w:tcPr>
            <w:tcW w:w="320" w:type="dxa"/>
            <w:vAlign w:val="bottom"/>
            <w:tcBorders>
              <w:bottom w:val="single" w:sz="8" w:color="DC202E"/>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2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vMerge w:val="restart"/>
          </w:tcPr>
          <w:p>
            <w:pPr>
              <w:jc w:val="right"/>
              <w:ind w:right="432"/>
              <w:spacing w:after="0"/>
              <w:rPr>
                <w:sz w:val="20"/>
                <w:szCs w:val="20"/>
                <w:color w:val="auto"/>
              </w:rPr>
            </w:pPr>
            <w:r>
              <w:rPr>
                <w:rFonts w:ascii="Arial" w:cs="Arial" w:eastAsia="Arial" w:hAnsi="Arial"/>
                <w:sz w:val="10"/>
                <w:szCs w:val="10"/>
                <w:b w:val="1"/>
                <w:bCs w:val="1"/>
                <w:color w:val="auto"/>
              </w:rPr>
              <w:t>2021</w:t>
            </w:r>
          </w:p>
        </w:tc>
        <w:tc>
          <w:tcPr>
            <w:tcW w:w="620" w:type="dxa"/>
            <w:vAlign w:val="bottom"/>
            <w:vMerge w:val="restart"/>
          </w:tcPr>
          <w:p>
            <w:pPr>
              <w:jc w:val="center"/>
              <w:ind w:left="92"/>
              <w:spacing w:after="0"/>
              <w:rPr>
                <w:sz w:val="20"/>
                <w:szCs w:val="20"/>
                <w:color w:val="auto"/>
              </w:rPr>
            </w:pPr>
            <w:r>
              <w:rPr>
                <w:rFonts w:ascii="Arial" w:cs="Arial" w:eastAsia="Arial" w:hAnsi="Arial"/>
                <w:sz w:val="10"/>
                <w:szCs w:val="10"/>
                <w:b w:val="1"/>
                <w:bCs w:val="1"/>
                <w:color w:val="auto"/>
                <w:w w:val="89"/>
              </w:rPr>
              <w:t>2020</w:t>
            </w: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2"/>
                <w:szCs w:val="2"/>
                <w:color w:val="auto"/>
              </w:rPr>
            </w:pPr>
          </w:p>
        </w:tc>
        <w:tc>
          <w:tcPr>
            <w:tcW w:w="880" w:type="dxa"/>
            <w:vAlign w:val="bottom"/>
            <w:vMerge w:val="restart"/>
          </w:tcPr>
          <w:p>
            <w:pPr>
              <w:jc w:val="center"/>
              <w:ind w:right="452"/>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2"/>
                <w:szCs w:val="2"/>
                <w:color w:val="auto"/>
              </w:rPr>
            </w:pPr>
          </w:p>
        </w:tc>
        <w:tc>
          <w:tcPr>
            <w:tcW w:w="34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rPr>
              <w:t>2019</w:t>
            </w: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52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(Income) Loss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vMerge w:val="continue"/>
          </w:tcPr>
          <w:p>
            <w:pPr>
              <w:spacing w:after="0"/>
              <w:rPr>
                <w:sz w:val="10"/>
                <w:szCs w:val="10"/>
                <w:color w:val="auto"/>
              </w:rPr>
            </w:pPr>
          </w:p>
        </w:tc>
        <w:tc>
          <w:tcPr>
            <w:tcW w:w="620" w:type="dxa"/>
            <w:vAlign w:val="bottom"/>
            <w:tcBorders>
              <w:bottom w:val="single" w:sz="8" w:color="D7282F"/>
            </w:tcBorders>
            <w:vMerge w:val="continue"/>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vMerge w:val="continue"/>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vMerge w:val="continue"/>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vMerge w:val="continue"/>
          </w:tcPr>
          <w:p>
            <w:pPr>
              <w:spacing w:after="0"/>
              <w:rPr>
                <w:sz w:val="10"/>
                <w:szCs w:val="10"/>
                <w:color w:val="auto"/>
              </w:rPr>
            </w:pPr>
          </w:p>
        </w:tc>
        <w:tc>
          <w:tcPr>
            <w:tcW w:w="1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vMerge w:val="continue"/>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Actuarial (gains) losses</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(14)</w:t>
            </w:r>
          </w:p>
        </w:tc>
        <w:tc>
          <w:tcPr>
            <w:tcW w:w="620" w:type="dxa"/>
            <w:vAlign w:val="bottom"/>
            <w:tcBorders>
              <w:bottom w:val="single" w:sz="8" w:color="939598"/>
            </w:tcBorders>
          </w:tcPr>
          <w:p>
            <w:pPr>
              <w:jc w:val="right"/>
              <w:ind w:right="3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(277)</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(221)</w:t>
            </w: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(73)</w:t>
            </w:r>
          </w:p>
        </w:tc>
        <w:tc>
          <w:tcPr>
            <w:tcW w:w="1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176</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Prior service (credit)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(3)</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Prior service credit recognized during year</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43</w:t>
            </w: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42</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42</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Actuarial losses recognized during year</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(30)</w:t>
            </w: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(9)</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(18)</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Foreign currency translation</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86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color w:val="auto"/>
              </w:rPr>
              <w:t>19</w:t>
            </w:r>
          </w:p>
        </w:tc>
        <w:tc>
          <w:tcPr>
            <w:tcW w:w="1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Total recognized in other comprehensive (income) loss</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29</w:t>
            </w:r>
          </w:p>
        </w:tc>
        <w:tc>
          <w:tcPr>
            <w:tcW w:w="62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3</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(274)</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(235)</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(70)</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102</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Total recognized in net periodic benefit (income) cost and other comprehensive (income) loss</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(791)</w:t>
            </w:r>
          </w:p>
        </w:tc>
        <w:tc>
          <w:tcPr>
            <w:tcW w:w="62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85"/>
              </w:rPr>
              <w:t>(584)</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(699)</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(471)</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(259)</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23</w:t>
            </w:r>
          </w:p>
        </w:tc>
        <w:tc>
          <w:tcPr>
            <w:tcW w:w="0" w:type="dxa"/>
            <w:vAlign w:val="bottom"/>
          </w:tcPr>
          <w:p>
            <w:pPr>
              <w:spacing w:after="0"/>
              <w:rPr>
                <w:sz w:val="1"/>
                <w:szCs w:val="1"/>
                <w:color w:val="auto"/>
              </w:rPr>
            </w:pPr>
          </w:p>
        </w:tc>
      </w:tr>
      <w:tr>
        <w:trPr>
          <w:trHeight w:val="304"/>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1820" w:type="dxa"/>
            <w:vAlign w:val="bottom"/>
            <w:tcBorders>
              <w:bottom w:val="single" w:sz="8" w:color="DC202E"/>
            </w:tcBorders>
            <w:gridSpan w:val="3"/>
          </w:tcPr>
          <w:p>
            <w:pPr>
              <w:jc w:val="center"/>
              <w:ind w:left="412"/>
              <w:spacing w:after="0"/>
              <w:rPr>
                <w:sz w:val="20"/>
                <w:szCs w:val="20"/>
                <w:color w:val="auto"/>
              </w:rPr>
            </w:pPr>
            <w:r>
              <w:rPr>
                <w:rFonts w:ascii="Arial" w:cs="Arial" w:eastAsia="Arial" w:hAnsi="Arial"/>
                <w:sz w:val="10"/>
                <w:szCs w:val="10"/>
                <w:b w:val="1"/>
                <w:bCs w:val="1"/>
                <w:color w:val="auto"/>
                <w:w w:val="95"/>
              </w:rPr>
              <w:t>Other Postretirement Benefits</w:t>
            </w:r>
          </w:p>
        </w:tc>
        <w:tc>
          <w:tcPr>
            <w:tcW w:w="120" w:type="dxa"/>
            <w:vAlign w:val="bottom"/>
            <w:tcBorders>
              <w:bottom w:val="single" w:sz="8" w:color="DC202E"/>
            </w:tcBorders>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1820" w:type="dxa"/>
            <w:vAlign w:val="bottom"/>
            <w:tcBorders>
              <w:bottom w:val="single" w:sz="8" w:color="DC202E"/>
            </w:tcBorders>
            <w:gridSpan w:val="3"/>
          </w:tcPr>
          <w:p>
            <w:pPr>
              <w:jc w:val="center"/>
              <w:ind w:left="392"/>
              <w:spacing w:after="0"/>
              <w:rPr>
                <w:sz w:val="20"/>
                <w:szCs w:val="20"/>
                <w:color w:val="auto"/>
              </w:rPr>
            </w:pPr>
            <w:r>
              <w:rPr>
                <w:rFonts w:ascii="Arial" w:cs="Arial" w:eastAsia="Arial" w:hAnsi="Arial"/>
                <w:sz w:val="10"/>
                <w:szCs w:val="10"/>
                <w:b w:val="1"/>
                <w:bCs w:val="1"/>
                <w:color w:val="auto"/>
                <w:w w:val="94"/>
              </w:rPr>
              <w:t>Years Ended December 31,</w:t>
            </w:r>
          </w:p>
        </w:tc>
        <w:tc>
          <w:tcPr>
            <w:tcW w:w="12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Periodic Benefit Cost</w:t>
            </w:r>
          </w:p>
        </w:tc>
        <w:tc>
          <w:tcPr>
            <w:tcW w:w="32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2021</w:t>
            </w:r>
          </w:p>
        </w:tc>
        <w:tc>
          <w:tcPr>
            <w:tcW w:w="240" w:type="dxa"/>
            <w:vAlign w:val="bottom"/>
            <w:tcBorders>
              <w:bottom w:val="single" w:sz="8" w:color="DC202E"/>
            </w:tcBorders>
          </w:tcPr>
          <w:p>
            <w:pPr>
              <w:spacing w:after="0"/>
              <w:rPr>
                <w:sz w:val="13"/>
                <w:szCs w:val="13"/>
                <w:color w:val="auto"/>
              </w:rPr>
            </w:pPr>
          </w:p>
        </w:tc>
        <w:tc>
          <w:tcPr>
            <w:tcW w:w="880" w:type="dxa"/>
            <w:vAlign w:val="bottom"/>
            <w:tcBorders>
              <w:bottom w:val="single" w:sz="8" w:color="DC202E"/>
            </w:tcBorders>
          </w:tcPr>
          <w:p>
            <w:pPr>
              <w:jc w:val="center"/>
              <w:ind w:right="452"/>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Borders>
              <w:bottom w:val="single" w:sz="8" w:color="DC202E"/>
            </w:tcBorders>
          </w:tcPr>
          <w:p>
            <w:pPr>
              <w:spacing w:after="0"/>
              <w:rPr>
                <w:sz w:val="13"/>
                <w:szCs w:val="13"/>
                <w:color w:val="auto"/>
              </w:rPr>
            </w:pP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2019</w:t>
            </w:r>
          </w:p>
        </w:tc>
        <w:tc>
          <w:tcPr>
            <w:tcW w:w="32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Service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Interest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5</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Amortization of prior service (credit)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(74)</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(66)</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Recognition of actuarial (gains) losses</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(2)</w:t>
            </w:r>
          </w:p>
        </w:tc>
        <w:tc>
          <w:tcPr>
            <w:tcW w:w="2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Net periodic benefit (income) cost</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(71)</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(58)</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(48)</w:t>
            </w:r>
          </w:p>
        </w:tc>
        <w:tc>
          <w:tcPr>
            <w:tcW w:w="0" w:type="dxa"/>
            <w:vAlign w:val="bottom"/>
          </w:tcPr>
          <w:p>
            <w:pPr>
              <w:spacing w:after="0"/>
              <w:rPr>
                <w:sz w:val="1"/>
                <w:szCs w:val="1"/>
                <w:color w:val="auto"/>
              </w:rPr>
            </w:pPr>
          </w:p>
        </w:tc>
      </w:tr>
      <w:tr>
        <w:trPr>
          <w:trHeight w:val="313"/>
        </w:trPr>
        <w:tc>
          <w:tcPr>
            <w:tcW w:w="5240" w:type="dxa"/>
            <w:vAlign w:val="bottom"/>
            <w:vMerge w:val="restart"/>
          </w:tcPr>
          <w:p>
            <w:pPr>
              <w:spacing w:after="0"/>
              <w:rPr>
                <w:sz w:val="20"/>
                <w:szCs w:val="20"/>
                <w:color w:val="auto"/>
              </w:rPr>
            </w:pPr>
            <w:r>
              <w:rPr>
                <w:rFonts w:ascii="Arial" w:cs="Arial" w:eastAsia="Arial" w:hAnsi="Arial"/>
                <w:sz w:val="10"/>
                <w:szCs w:val="10"/>
                <w:b w:val="1"/>
                <w:bCs w:val="1"/>
                <w:color w:val="auto"/>
              </w:rPr>
              <w:t>Other Changes in Plan Assets and Benefits Obligations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1820" w:type="dxa"/>
            <w:vAlign w:val="bottom"/>
            <w:tcBorders>
              <w:bottom w:val="single" w:sz="8" w:color="DC202E"/>
            </w:tcBorders>
            <w:gridSpan w:val="3"/>
          </w:tcPr>
          <w:p>
            <w:pPr>
              <w:jc w:val="center"/>
              <w:ind w:left="392"/>
              <w:spacing w:after="0"/>
              <w:rPr>
                <w:sz w:val="20"/>
                <w:szCs w:val="20"/>
                <w:color w:val="auto"/>
              </w:rPr>
            </w:pPr>
            <w:r>
              <w:rPr>
                <w:rFonts w:ascii="Arial" w:cs="Arial" w:eastAsia="Arial" w:hAnsi="Arial"/>
                <w:sz w:val="10"/>
                <w:szCs w:val="10"/>
                <w:b w:val="1"/>
                <w:bCs w:val="1"/>
                <w:color w:val="auto"/>
                <w:w w:val="94"/>
              </w:rPr>
              <w:t>Years Ended December 31,</w:t>
            </w:r>
          </w:p>
        </w:tc>
        <w:tc>
          <w:tcPr>
            <w:tcW w:w="120" w:type="dxa"/>
            <w:vAlign w:val="bottom"/>
            <w:tcBorders>
              <w:bottom w:val="single" w:sz="8" w:color="DC202E"/>
            </w:tcBorders>
          </w:tcPr>
          <w:p>
            <w:pPr>
              <w:spacing w:after="0"/>
              <w:rPr>
                <w:sz w:val="24"/>
                <w:szCs w:val="24"/>
                <w:color w:val="auto"/>
              </w:rPr>
            </w:pPr>
          </w:p>
        </w:tc>
        <w:tc>
          <w:tcPr>
            <w:tcW w:w="340" w:type="dxa"/>
            <w:vAlign w:val="bottom"/>
            <w:tcBorders>
              <w:bottom w:val="single" w:sz="8" w:color="DC202E"/>
            </w:tcBorders>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2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2"/>
                <w:szCs w:val="2"/>
                <w:color w:val="auto"/>
              </w:rPr>
            </w:pPr>
          </w:p>
        </w:tc>
        <w:tc>
          <w:tcPr>
            <w:tcW w:w="880" w:type="dxa"/>
            <w:vAlign w:val="bottom"/>
            <w:vMerge w:val="restart"/>
          </w:tcPr>
          <w:p>
            <w:pPr>
              <w:jc w:val="center"/>
              <w:ind w:right="452"/>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2"/>
                <w:szCs w:val="2"/>
                <w:color w:val="auto"/>
              </w:rPr>
            </w:pPr>
          </w:p>
        </w:tc>
        <w:tc>
          <w:tcPr>
            <w:tcW w:w="34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rPr>
              <w:t>2019</w:t>
            </w: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Recognized in Other Comprehensive (Income) Loss</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vMerge w:val="continue"/>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vMerge w:val="continue"/>
          </w:tcPr>
          <w:p>
            <w:pPr>
              <w:spacing w:after="0"/>
              <w:rPr>
                <w:sz w:val="10"/>
                <w:szCs w:val="10"/>
                <w:color w:val="auto"/>
              </w:rPr>
            </w:pPr>
          </w:p>
        </w:tc>
        <w:tc>
          <w:tcPr>
            <w:tcW w:w="1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vMerge w:val="continue"/>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Actuarial (gains) losses</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(8)</w:t>
            </w: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Prior service (credit) cost</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(65)</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Prior service credit recognized during year</w:t>
            </w:r>
          </w:p>
        </w:tc>
        <w:tc>
          <w:tcPr>
            <w:tcW w:w="32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74</w:t>
            </w:r>
          </w:p>
        </w:tc>
        <w:tc>
          <w:tcPr>
            <w:tcW w:w="240" w:type="dxa"/>
            <w:vAlign w:val="bottom"/>
            <w:tcBorders>
              <w:bottom w:val="single" w:sz="8" w:color="939598"/>
            </w:tcBorders>
          </w:tcPr>
          <w:p>
            <w:pPr>
              <w:spacing w:after="0"/>
              <w:rPr>
                <w:sz w:val="10"/>
                <w:szCs w:val="10"/>
                <w:color w:val="auto"/>
              </w:rPr>
            </w:pPr>
          </w:p>
        </w:tc>
        <w:tc>
          <w:tcPr>
            <w:tcW w:w="88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66</w:t>
            </w:r>
          </w:p>
        </w:tc>
        <w:tc>
          <w:tcPr>
            <w:tcW w:w="12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Actuarial (gains) losses recognized during year</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7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2</w:t>
            </w:r>
          </w:p>
        </w:tc>
        <w:tc>
          <w:tcPr>
            <w:tcW w:w="2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Total recognized in other comprehensive (income) loss</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68</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(7)</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44</w:t>
            </w:r>
          </w:p>
        </w:tc>
        <w:tc>
          <w:tcPr>
            <w:tcW w:w="0" w:type="dxa"/>
            <w:vAlign w:val="bottom"/>
          </w:tcPr>
          <w:p>
            <w:pPr>
              <w:spacing w:after="0"/>
              <w:rPr>
                <w:sz w:val="1"/>
                <w:szCs w:val="1"/>
                <w:color w:val="auto"/>
              </w:rPr>
            </w:pPr>
          </w:p>
        </w:tc>
      </w:tr>
      <w:tr>
        <w:trPr>
          <w:trHeight w:val="115"/>
        </w:trPr>
        <w:tc>
          <w:tcPr>
            <w:tcW w:w="5240" w:type="dxa"/>
            <w:vAlign w:val="bottom"/>
            <w:tcBorders>
              <w:bottom w:val="single" w:sz="8" w:color="DC202E"/>
            </w:tcBorders>
          </w:tcPr>
          <w:p>
            <w:pPr>
              <w:ind w:left="220"/>
              <w:spacing w:after="0"/>
              <w:rPr>
                <w:sz w:val="20"/>
                <w:szCs w:val="20"/>
                <w:color w:val="auto"/>
              </w:rPr>
            </w:pPr>
            <w:r>
              <w:rPr>
                <w:rFonts w:ascii="Arial" w:cs="Arial" w:eastAsia="Arial" w:hAnsi="Arial"/>
                <w:sz w:val="10"/>
                <w:szCs w:val="10"/>
                <w:b w:val="1"/>
                <w:bCs w:val="1"/>
                <w:color w:val="auto"/>
              </w:rPr>
              <w:t>Total recognized in net periodic benefit (income) cost and other comprehensive (income) loss</w:t>
            </w:r>
          </w:p>
        </w:tc>
        <w:tc>
          <w:tcPr>
            <w:tcW w:w="32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(3)</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(65)</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w:t>
            </w:r>
          </w:p>
        </w:tc>
        <w:tc>
          <w:tcPr>
            <w:tcW w:w="0" w:type="dxa"/>
            <w:vAlign w:val="bottom"/>
          </w:tcPr>
          <w:p>
            <w:pPr>
              <w:spacing w:after="0"/>
              <w:rPr>
                <w:sz w:val="1"/>
                <w:szCs w:val="1"/>
                <w:color w:val="auto"/>
              </w:rPr>
            </w:pPr>
          </w:p>
        </w:tc>
      </w:tr>
      <w:tr>
        <w:trPr>
          <w:trHeight w:val="718"/>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ind w:right="112"/>
              <w:spacing w:after="0"/>
              <w:rPr>
                <w:sz w:val="20"/>
                <w:szCs w:val="20"/>
                <w:color w:val="auto"/>
              </w:rPr>
            </w:pPr>
            <w:r>
              <w:rPr>
                <w:rFonts w:ascii="Arial" w:cs="Arial" w:eastAsia="Arial" w:hAnsi="Arial"/>
                <w:sz w:val="10"/>
                <w:szCs w:val="10"/>
                <w:color w:val="auto"/>
                <w:w w:val="94"/>
              </w:rPr>
              <w:t>Honeywell International Inc.</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D7282F"/>
              </w:rPr>
              <w:t>103</w:t>
            </w:r>
          </w:p>
        </w:tc>
        <w:tc>
          <w:tcPr>
            <w:tcW w:w="0" w:type="dxa"/>
            <w:vAlign w:val="bottom"/>
          </w:tcPr>
          <w:p>
            <w:pPr>
              <w:spacing w:after="0"/>
              <w:rPr>
                <w:sz w:val="1"/>
                <w:szCs w:val="1"/>
                <w:color w:val="auto"/>
              </w:rPr>
            </w:pPr>
          </w:p>
        </w:tc>
      </w:tr>
      <w:tr>
        <w:trPr>
          <w:trHeight w:val="144"/>
        </w:trPr>
        <w:tc>
          <w:tcPr>
            <w:tcW w:w="52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5" w:name="page106"/>
    <w:bookmarkEnd w:id="105"/>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Major actuarial assumptions used in determining the benefit obligations and net periodic benefit (income) cost for the Company's significant benefit plans are presented in the following table as weighted averages.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940" w:type="dxa"/>
            <w:vAlign w:val="bottom"/>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c>
          <w:tcPr>
            <w:tcW w:w="500" w:type="dxa"/>
            <w:vAlign w:val="bottom"/>
            <w:tcBorders>
              <w:bottom w:val="single" w:sz="8" w:color="DC202E"/>
            </w:tcBorders>
          </w:tcPr>
          <w:p>
            <w:pPr>
              <w:spacing w:after="0"/>
              <w:rPr>
                <w:sz w:val="11"/>
                <w:szCs w:val="11"/>
                <w:color w:val="auto"/>
              </w:rPr>
            </w:pPr>
          </w:p>
        </w:tc>
        <w:tc>
          <w:tcPr>
            <w:tcW w:w="1080" w:type="dxa"/>
            <w:vAlign w:val="bottom"/>
            <w:tcBorders>
              <w:bottom w:val="single" w:sz="8" w:color="DC202E"/>
            </w:tcBorders>
          </w:tcPr>
          <w:p>
            <w:pPr>
              <w:spacing w:after="0"/>
              <w:rPr>
                <w:sz w:val="11"/>
                <w:szCs w:val="11"/>
                <w:color w:val="auto"/>
              </w:rPr>
            </w:pPr>
          </w:p>
        </w:tc>
        <w:tc>
          <w:tcPr>
            <w:tcW w:w="1380" w:type="dxa"/>
            <w:vAlign w:val="bottom"/>
            <w:tcBorders>
              <w:bottom w:val="single" w:sz="8" w:color="DC202E"/>
            </w:tcBorders>
            <w:gridSpan w:val="3"/>
          </w:tcPr>
          <w:p>
            <w:pPr>
              <w:ind w:left="560"/>
              <w:spacing w:after="0"/>
              <w:rPr>
                <w:sz w:val="20"/>
                <w:szCs w:val="20"/>
                <w:color w:val="auto"/>
              </w:rPr>
            </w:pPr>
            <w:r>
              <w:rPr>
                <w:rFonts w:ascii="Arial" w:cs="Arial" w:eastAsia="Arial" w:hAnsi="Arial"/>
                <w:sz w:val="10"/>
                <w:szCs w:val="10"/>
                <w:b w:val="1"/>
                <w:bCs w:val="1"/>
                <w:color w:val="auto"/>
                <w:w w:val="98"/>
              </w:rPr>
              <w:t>Pension Benefits</w:t>
            </w:r>
          </w:p>
        </w:tc>
        <w:tc>
          <w:tcPr>
            <w:tcW w:w="760" w:type="dxa"/>
            <w:vAlign w:val="bottom"/>
            <w:tcBorders>
              <w:bottom w:val="single" w:sz="8" w:color="DC202E"/>
            </w:tcBorders>
          </w:tcPr>
          <w:p>
            <w:pPr>
              <w:spacing w:after="0"/>
              <w:rPr>
                <w:sz w:val="11"/>
                <w:szCs w:val="11"/>
                <w:color w:val="auto"/>
              </w:rPr>
            </w:pPr>
          </w:p>
        </w:tc>
        <w:tc>
          <w:tcPr>
            <w:tcW w:w="1140" w:type="dxa"/>
            <w:vAlign w:val="bottom"/>
            <w:tcBorders>
              <w:bottom w:val="single" w:sz="8" w:color="DC202E"/>
            </w:tcBorders>
          </w:tcPr>
          <w:p>
            <w:pPr>
              <w:spacing w:after="0"/>
              <w:rPr>
                <w:sz w:val="11"/>
                <w:szCs w:val="11"/>
                <w:color w:val="auto"/>
              </w:rPr>
            </w:pPr>
          </w:p>
        </w:tc>
        <w:tc>
          <w:tcPr>
            <w:tcW w:w="840" w:type="dxa"/>
            <w:vAlign w:val="bottom"/>
            <w:tcBorders>
              <w:bottom w:val="single" w:sz="8" w:color="DC202E"/>
            </w:tcBorders>
          </w:tcPr>
          <w:p>
            <w:pPr>
              <w:spacing w:after="0"/>
              <w:rPr>
                <w:sz w:val="11"/>
                <w:szCs w:val="11"/>
                <w:color w:val="auto"/>
              </w:rPr>
            </w:pPr>
          </w:p>
        </w:tc>
      </w:tr>
      <w:tr>
        <w:trPr>
          <w:trHeight w:val="151"/>
        </w:trPr>
        <w:tc>
          <w:tcPr>
            <w:tcW w:w="4940" w:type="dxa"/>
            <w:vAlign w:val="bottom"/>
          </w:tcPr>
          <w:p>
            <w:pPr>
              <w:spacing w:after="0"/>
              <w:rPr>
                <w:sz w:val="13"/>
                <w:szCs w:val="13"/>
                <w:color w:val="auto"/>
              </w:rPr>
            </w:pPr>
          </w:p>
        </w:tc>
        <w:tc>
          <w:tcPr>
            <w:tcW w:w="660" w:type="dxa"/>
            <w:vAlign w:val="bottom"/>
            <w:tcBorders>
              <w:bottom w:val="single" w:sz="8" w:color="DC202E"/>
            </w:tcBorders>
          </w:tcPr>
          <w:p>
            <w:pPr>
              <w:spacing w:after="0"/>
              <w:rPr>
                <w:sz w:val="13"/>
                <w:szCs w:val="13"/>
                <w:color w:val="auto"/>
              </w:rPr>
            </w:pPr>
          </w:p>
        </w:tc>
        <w:tc>
          <w:tcPr>
            <w:tcW w:w="500" w:type="dxa"/>
            <w:vAlign w:val="bottom"/>
            <w:tcBorders>
              <w:bottom w:val="single" w:sz="8" w:color="DC202E"/>
            </w:tcBorders>
          </w:tcPr>
          <w:p>
            <w:pPr>
              <w:spacing w:after="0"/>
              <w:rPr>
                <w:sz w:val="13"/>
                <w:szCs w:val="13"/>
                <w:color w:val="auto"/>
              </w:rPr>
            </w:pPr>
          </w:p>
        </w:tc>
        <w:tc>
          <w:tcPr>
            <w:tcW w:w="1080" w:type="dxa"/>
            <w:vAlign w:val="bottom"/>
            <w:tcBorders>
              <w:bottom w:val="single" w:sz="8" w:color="DC202E"/>
            </w:tcBorders>
          </w:tcPr>
          <w:p>
            <w:pPr>
              <w:jc w:val="right"/>
              <w:ind w:right="432"/>
              <w:spacing w:after="0"/>
              <w:rPr>
                <w:sz w:val="20"/>
                <w:szCs w:val="20"/>
                <w:color w:val="auto"/>
              </w:rPr>
            </w:pPr>
            <w:r>
              <w:rPr>
                <w:rFonts w:ascii="Arial" w:cs="Arial" w:eastAsia="Arial" w:hAnsi="Arial"/>
                <w:sz w:val="10"/>
                <w:szCs w:val="10"/>
                <w:b w:val="1"/>
                <w:bCs w:val="1"/>
                <w:color w:val="auto"/>
              </w:rPr>
              <w:t>U.S. Plans</w:t>
            </w:r>
          </w:p>
        </w:tc>
        <w:tc>
          <w:tcPr>
            <w:tcW w:w="820" w:type="dxa"/>
            <w:vAlign w:val="bottom"/>
            <w:tcBorders>
              <w:bottom w:val="single" w:sz="8" w:color="DC202E"/>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spacing w:after="0"/>
              <w:rPr>
                <w:sz w:val="13"/>
                <w:szCs w:val="13"/>
                <w:color w:val="auto"/>
              </w:rPr>
            </w:pPr>
          </w:p>
        </w:tc>
        <w:tc>
          <w:tcPr>
            <w:tcW w:w="11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Non-U.S. Plans</w:t>
            </w:r>
          </w:p>
        </w:tc>
        <w:tc>
          <w:tcPr>
            <w:tcW w:w="840" w:type="dxa"/>
            <w:vAlign w:val="bottom"/>
            <w:tcBorders>
              <w:bottom w:val="single" w:sz="8" w:color="DC202E"/>
            </w:tcBorders>
          </w:tcPr>
          <w:p>
            <w:pPr>
              <w:spacing w:after="0"/>
              <w:rPr>
                <w:sz w:val="13"/>
                <w:szCs w:val="13"/>
                <w:color w:val="auto"/>
              </w:rPr>
            </w:pPr>
          </w:p>
        </w:tc>
      </w:tr>
      <w:tr>
        <w:trPr>
          <w:trHeight w:val="151"/>
        </w:trPr>
        <w:tc>
          <w:tcPr>
            <w:tcW w:w="5600" w:type="dxa"/>
            <w:vAlign w:val="bottom"/>
            <w:tcBorders>
              <w:bottom w:val="single" w:sz="8" w:color="DC202E"/>
            </w:tcBorders>
            <w:gridSpan w:val="2"/>
          </w:tcPr>
          <w:p>
            <w:pPr>
              <w:ind w:left="5340"/>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DC202E"/>
            </w:tcBorders>
          </w:tcPr>
          <w:p>
            <w:pPr>
              <w:spacing w:after="0"/>
              <w:rPr>
                <w:sz w:val="13"/>
                <w:szCs w:val="13"/>
                <w:color w:val="auto"/>
              </w:rPr>
            </w:pPr>
          </w:p>
        </w:tc>
        <w:tc>
          <w:tcPr>
            <w:tcW w:w="1080" w:type="dxa"/>
            <w:vAlign w:val="bottom"/>
            <w:tcBorders>
              <w:bottom w:val="single" w:sz="8" w:color="DC202E"/>
            </w:tcBorders>
          </w:tcPr>
          <w:p>
            <w:pPr>
              <w:jc w:val="right"/>
              <w:ind w:right="552"/>
              <w:spacing w:after="0"/>
              <w:rPr>
                <w:sz w:val="20"/>
                <w:szCs w:val="20"/>
                <w:color w:val="auto"/>
              </w:rPr>
            </w:pPr>
            <w:r>
              <w:rPr>
                <w:rFonts w:ascii="Arial" w:cs="Arial" w:eastAsia="Arial" w:hAnsi="Arial"/>
                <w:sz w:val="10"/>
                <w:szCs w:val="10"/>
                <w:b w:val="1"/>
                <w:bCs w:val="1"/>
                <w:color w:val="auto"/>
              </w:rPr>
              <w:t>2020</w:t>
            </w:r>
          </w:p>
        </w:tc>
        <w:tc>
          <w:tcPr>
            <w:tcW w:w="82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DC202E"/>
            </w:tcBorders>
          </w:tcPr>
          <w:p>
            <w:pPr>
              <w:spacing w:after="0"/>
              <w:rPr>
                <w:sz w:val="13"/>
                <w:szCs w:val="13"/>
                <w:color w:val="auto"/>
              </w:rPr>
            </w:pPr>
          </w:p>
        </w:tc>
        <w:tc>
          <w:tcPr>
            <w:tcW w:w="36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b w:val="1"/>
                <w:bCs w:val="1"/>
                <w:color w:val="auto"/>
              </w:rPr>
              <w:t>2021</w:t>
            </w:r>
          </w:p>
        </w:tc>
        <w:tc>
          <w:tcPr>
            <w:tcW w:w="1140" w:type="dxa"/>
            <w:vAlign w:val="bottom"/>
            <w:tcBorders>
              <w:bottom w:val="single" w:sz="8" w:color="DC202E"/>
            </w:tcBorders>
          </w:tcPr>
          <w:p>
            <w:pPr>
              <w:jc w:val="right"/>
              <w:ind w:right="552"/>
              <w:spacing w:after="0"/>
              <w:rPr>
                <w:sz w:val="20"/>
                <w:szCs w:val="20"/>
                <w:color w:val="auto"/>
              </w:rPr>
            </w:pPr>
            <w:r>
              <w:rPr>
                <w:rFonts w:ascii="Arial" w:cs="Arial" w:eastAsia="Arial" w:hAnsi="Arial"/>
                <w:sz w:val="10"/>
                <w:szCs w:val="10"/>
                <w:b w:val="1"/>
                <w:bCs w:val="1"/>
                <w:color w:val="auto"/>
              </w:rPr>
              <w:t>2020</w:t>
            </w:r>
          </w:p>
        </w:tc>
        <w:tc>
          <w:tcPr>
            <w:tcW w:w="84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2019</w:t>
            </w:r>
          </w:p>
        </w:tc>
      </w:tr>
      <w:tr>
        <w:trPr>
          <w:trHeight w:val="119"/>
        </w:trPr>
        <w:tc>
          <w:tcPr>
            <w:tcW w:w="56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Actuarial assumptions used to determine benefit obligations as of December 31:</w:t>
            </w:r>
          </w:p>
        </w:tc>
        <w:tc>
          <w:tcPr>
            <w:tcW w:w="50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115"/>
        </w:trPr>
        <w:tc>
          <w:tcPr>
            <w:tcW w:w="560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Discount rate</w:t>
            </w:r>
          </w:p>
        </w:tc>
        <w:tc>
          <w:tcPr>
            <w:tcW w:w="5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2.87 %</w:t>
            </w:r>
          </w:p>
        </w:tc>
        <w:tc>
          <w:tcPr>
            <w:tcW w:w="10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2.50 %</w:t>
            </w: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3.22 %</w:t>
            </w: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1.79 %</w:t>
            </w:r>
          </w:p>
        </w:tc>
        <w:tc>
          <w:tcPr>
            <w:tcW w:w="11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1.23 %</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1.81 %</w:t>
            </w:r>
          </w:p>
        </w:tc>
      </w:tr>
      <w:tr>
        <w:trPr>
          <w:trHeight w:val="115"/>
        </w:trPr>
        <w:tc>
          <w:tcPr>
            <w:tcW w:w="560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Expected annual rate of compensation increase</w:t>
            </w:r>
          </w:p>
        </w:tc>
        <w:tc>
          <w:tcPr>
            <w:tcW w:w="5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3.25 %</w:t>
            </w:r>
          </w:p>
        </w:tc>
        <w:tc>
          <w:tcPr>
            <w:tcW w:w="10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3.25 %</w:t>
            </w: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3.25 %</w:t>
            </w: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2.56 %</w:t>
            </w:r>
          </w:p>
        </w:tc>
        <w:tc>
          <w:tcPr>
            <w:tcW w:w="11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2.43 %</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2.47 %</w:t>
            </w:r>
          </w:p>
        </w:tc>
      </w:tr>
      <w:tr>
        <w:trPr>
          <w:trHeight w:val="115"/>
        </w:trPr>
        <w:tc>
          <w:tcPr>
            <w:tcW w:w="56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Actuarial assumptions used to determine net periodic benefit (income) cost for years ended December 31:</w:t>
            </w:r>
          </w:p>
        </w:tc>
        <w:tc>
          <w:tcPr>
            <w:tcW w:w="500" w:type="dxa"/>
            <w:vAlign w:val="bottom"/>
            <w:tcBorders>
              <w:bottom w:val="single" w:sz="8" w:color="939598"/>
            </w:tcBorders>
          </w:tcPr>
          <w:p>
            <w:pPr>
              <w:spacing w:after="0"/>
              <w:rPr>
                <w:sz w:val="10"/>
                <w:szCs w:val="10"/>
                <w:color w:val="auto"/>
              </w:rPr>
            </w:pPr>
          </w:p>
        </w:tc>
        <w:tc>
          <w:tcPr>
            <w:tcW w:w="108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1140" w:type="dxa"/>
            <w:vAlign w:val="bottom"/>
            <w:tcBorders>
              <w:bottom w:val="single" w:sz="8" w:color="939598"/>
            </w:tcBorders>
          </w:tcPr>
          <w:p>
            <w:pPr>
              <w:spacing w:after="0"/>
              <w:rPr>
                <w:sz w:val="10"/>
                <w:szCs w:val="10"/>
                <w:color w:val="auto"/>
              </w:rPr>
            </w:pPr>
          </w:p>
        </w:tc>
        <w:tc>
          <w:tcPr>
            <w:tcW w:w="840" w:type="dxa"/>
            <w:vAlign w:val="bottom"/>
            <w:tcBorders>
              <w:bottom w:val="single" w:sz="8" w:color="939598"/>
            </w:tcBorders>
          </w:tcPr>
          <w:p>
            <w:pPr>
              <w:spacing w:after="0"/>
              <w:rPr>
                <w:sz w:val="10"/>
                <w:szCs w:val="10"/>
                <w:color w:val="auto"/>
              </w:rPr>
            </w:pPr>
          </w:p>
        </w:tc>
      </w:tr>
      <w:tr>
        <w:trPr>
          <w:trHeight w:val="115"/>
        </w:trPr>
        <w:tc>
          <w:tcPr>
            <w:tcW w:w="560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Discount rate—benefit obligation</w:t>
            </w:r>
          </w:p>
        </w:tc>
        <w:tc>
          <w:tcPr>
            <w:tcW w:w="5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2.50 %</w:t>
            </w:r>
          </w:p>
        </w:tc>
        <w:tc>
          <w:tcPr>
            <w:tcW w:w="10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3.22 %</w:t>
            </w: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4.35 %</w:t>
            </w: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1.24 %</w:t>
            </w:r>
          </w:p>
        </w:tc>
        <w:tc>
          <w:tcPr>
            <w:tcW w:w="11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1.81 %</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2.63 %</w:t>
            </w:r>
          </w:p>
        </w:tc>
      </w:tr>
      <w:tr>
        <w:trPr>
          <w:trHeight w:val="115"/>
        </w:trPr>
        <w:tc>
          <w:tcPr>
            <w:tcW w:w="560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Discount rate—service cost</w:t>
            </w:r>
          </w:p>
        </w:tc>
        <w:tc>
          <w:tcPr>
            <w:tcW w:w="5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2.68 %</w:t>
            </w:r>
          </w:p>
        </w:tc>
        <w:tc>
          <w:tcPr>
            <w:tcW w:w="10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3.33 %</w:t>
            </w: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4.47 %</w:t>
            </w: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1.00 %</w:t>
            </w:r>
          </w:p>
        </w:tc>
        <w:tc>
          <w:tcPr>
            <w:tcW w:w="11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1.48 %</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2.26 %</w:t>
            </w:r>
          </w:p>
        </w:tc>
      </w:tr>
      <w:tr>
        <w:trPr>
          <w:trHeight w:val="115"/>
        </w:trPr>
        <w:tc>
          <w:tcPr>
            <w:tcW w:w="560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Discount rate—interest cost</w:t>
            </w:r>
          </w:p>
        </w:tc>
        <w:tc>
          <w:tcPr>
            <w:tcW w:w="5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1.76 %</w:t>
            </w:r>
          </w:p>
        </w:tc>
        <w:tc>
          <w:tcPr>
            <w:tcW w:w="10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2.76 %</w:t>
            </w: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3.94 %</w:t>
            </w: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1.00 %</w:t>
            </w:r>
          </w:p>
        </w:tc>
        <w:tc>
          <w:tcPr>
            <w:tcW w:w="11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1.56 %</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2.34 %</w:t>
            </w:r>
          </w:p>
        </w:tc>
      </w:tr>
      <w:tr>
        <w:trPr>
          <w:trHeight w:val="115"/>
        </w:trPr>
        <w:tc>
          <w:tcPr>
            <w:tcW w:w="560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Expected rate of return on plan assets</w:t>
            </w:r>
          </w:p>
        </w:tc>
        <w:tc>
          <w:tcPr>
            <w:tcW w:w="5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6.15 %</w:t>
            </w:r>
          </w:p>
        </w:tc>
        <w:tc>
          <w:tcPr>
            <w:tcW w:w="108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6.15 %</w:t>
            </w:r>
          </w:p>
        </w:tc>
        <w:tc>
          <w:tcPr>
            <w:tcW w:w="8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6.75 %</w:t>
            </w:r>
          </w:p>
        </w:tc>
        <w:tc>
          <w:tcPr>
            <w:tcW w:w="2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4.03 %</w:t>
            </w:r>
          </w:p>
        </w:tc>
        <w:tc>
          <w:tcPr>
            <w:tcW w:w="11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4.66 %</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5.14 %</w:t>
            </w:r>
          </w:p>
        </w:tc>
      </w:tr>
      <w:tr>
        <w:trPr>
          <w:trHeight w:val="115"/>
        </w:trPr>
        <w:tc>
          <w:tcPr>
            <w:tcW w:w="5600" w:type="dxa"/>
            <w:vAlign w:val="bottom"/>
            <w:tcBorders>
              <w:bottom w:val="single" w:sz="8" w:color="DC202E"/>
            </w:tcBorders>
            <w:gridSpan w:val="2"/>
          </w:tcPr>
          <w:p>
            <w:pPr>
              <w:ind w:left="220"/>
              <w:spacing w:after="0"/>
              <w:rPr>
                <w:sz w:val="20"/>
                <w:szCs w:val="20"/>
                <w:color w:val="auto"/>
              </w:rPr>
            </w:pPr>
            <w:r>
              <w:rPr>
                <w:rFonts w:ascii="Arial" w:cs="Arial" w:eastAsia="Arial" w:hAnsi="Arial"/>
                <w:sz w:val="10"/>
                <w:szCs w:val="10"/>
                <w:color w:val="auto"/>
              </w:rPr>
              <w:t>Expected annual rate of compensation increase</w:t>
            </w:r>
          </w:p>
        </w:tc>
        <w:tc>
          <w:tcPr>
            <w:tcW w:w="5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3.25 %</w:t>
            </w:r>
          </w:p>
        </w:tc>
        <w:tc>
          <w:tcPr>
            <w:tcW w:w="108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3.25 %</w:t>
            </w:r>
          </w:p>
        </w:tc>
        <w:tc>
          <w:tcPr>
            <w:tcW w:w="8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3.25 %</w:t>
            </w:r>
          </w:p>
        </w:tc>
        <w:tc>
          <w:tcPr>
            <w:tcW w:w="20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2.43 %</w:t>
            </w:r>
          </w:p>
        </w:tc>
        <w:tc>
          <w:tcPr>
            <w:tcW w:w="114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2.47 %</w:t>
            </w:r>
          </w:p>
        </w:tc>
        <w:tc>
          <w:tcPr>
            <w:tcW w:w="8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2.46 %</w:t>
            </w:r>
          </w:p>
        </w:tc>
      </w:tr>
    </w:tbl>
    <w:p>
      <w:pPr>
        <w:spacing w:after="0" w:line="189" w:lineRule="exact"/>
        <w:rPr>
          <w:sz w:val="20"/>
          <w:szCs w:val="20"/>
          <w:color w:val="auto"/>
        </w:rPr>
      </w:pPr>
    </w:p>
    <w:p>
      <w:pPr>
        <w:ind w:left="9048"/>
        <w:spacing w:after="0"/>
        <w:rPr>
          <w:sz w:val="20"/>
          <w:szCs w:val="20"/>
          <w:color w:val="auto"/>
        </w:rPr>
      </w:pPr>
      <w:r>
        <w:rPr>
          <w:rFonts w:ascii="Arial" w:cs="Arial" w:eastAsia="Arial" w:hAnsi="Arial"/>
          <w:sz w:val="10"/>
          <w:szCs w:val="10"/>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12700</wp:posOffset>
            </wp:positionV>
            <wp:extent cx="19945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994535" cy="5715"/>
                    </a:xfrm>
                    <a:prstGeom prst="rect">
                      <a:avLst/>
                    </a:prstGeom>
                    <a:noFill/>
                  </pic:spPr>
                </pic:pic>
              </a:graphicData>
            </a:graphic>
          </wp:anchor>
        </w:drawing>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8840" w:type="dxa"/>
            <w:vAlign w:val="bottom"/>
            <w:tcBorders>
              <w:bottom w:val="single" w:sz="8" w:color="DC202E"/>
            </w:tcBorders>
          </w:tcPr>
          <w:p>
            <w:pPr>
              <w:ind w:left="8580"/>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DC202E"/>
            </w:tcBorders>
          </w:tcPr>
          <w:p>
            <w:pPr>
              <w:spacing w:after="0"/>
              <w:rPr>
                <w:sz w:val="11"/>
                <w:szCs w:val="11"/>
                <w:color w:val="auto"/>
              </w:rPr>
            </w:pPr>
          </w:p>
        </w:tc>
        <w:tc>
          <w:tcPr>
            <w:tcW w:w="1040" w:type="dxa"/>
            <w:vAlign w:val="bottom"/>
            <w:tcBorders>
              <w:bottom w:val="single" w:sz="8" w:color="DC202E"/>
            </w:tcBorders>
          </w:tcPr>
          <w:p>
            <w:pPr>
              <w:jc w:val="right"/>
              <w:ind w:right="572"/>
              <w:spacing w:after="0"/>
              <w:rPr>
                <w:sz w:val="20"/>
                <w:szCs w:val="20"/>
                <w:color w:val="auto"/>
              </w:rPr>
            </w:pPr>
            <w:r>
              <w:rPr>
                <w:rFonts w:ascii="Arial" w:cs="Arial" w:eastAsia="Arial" w:hAnsi="Arial"/>
                <w:sz w:val="10"/>
                <w:szCs w:val="10"/>
                <w:b w:val="1"/>
                <w:bCs w:val="1"/>
                <w:color w:val="auto"/>
              </w:rPr>
              <w:t>2020</w:t>
            </w:r>
          </w:p>
        </w:tc>
        <w:tc>
          <w:tcPr>
            <w:tcW w:w="86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2019</w:t>
            </w:r>
          </w:p>
        </w:tc>
      </w:tr>
      <w:tr>
        <w:trPr>
          <w:trHeight w:val="119"/>
        </w:trPr>
        <w:tc>
          <w:tcPr>
            <w:tcW w:w="88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Actuarial assumptions used to determine benefit obligations as of December 31:</w:t>
            </w:r>
          </w:p>
        </w:tc>
        <w:tc>
          <w:tcPr>
            <w:tcW w:w="560" w:type="dxa"/>
            <w:vAlign w:val="bottom"/>
            <w:tcBorders>
              <w:bottom w:val="single" w:sz="8" w:color="939598"/>
            </w:tcBorders>
          </w:tcPr>
          <w:p>
            <w:pPr>
              <w:spacing w:after="0"/>
              <w:rPr>
                <w:sz w:val="10"/>
                <w:szCs w:val="10"/>
                <w:color w:val="auto"/>
              </w:rPr>
            </w:pPr>
          </w:p>
        </w:tc>
        <w:tc>
          <w:tcPr>
            <w:tcW w:w="10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r>
      <w:tr>
        <w:trPr>
          <w:trHeight w:val="115"/>
        </w:trPr>
        <w:tc>
          <w:tcPr>
            <w:tcW w:w="8840" w:type="dxa"/>
            <w:vAlign w:val="bottom"/>
            <w:tcBorders>
              <w:bottom w:val="single" w:sz="8" w:color="939598"/>
            </w:tcBorders>
          </w:tcPr>
          <w:p>
            <w:pPr>
              <w:ind w:left="240"/>
              <w:spacing w:after="0"/>
              <w:rPr>
                <w:sz w:val="20"/>
                <w:szCs w:val="20"/>
                <w:color w:val="auto"/>
              </w:rPr>
            </w:pPr>
            <w:r>
              <w:rPr>
                <w:rFonts w:ascii="Arial" w:cs="Arial" w:eastAsia="Arial" w:hAnsi="Arial"/>
                <w:sz w:val="10"/>
                <w:szCs w:val="10"/>
                <w:color w:val="auto"/>
              </w:rPr>
              <w:t>Discount rate</w:t>
            </w:r>
          </w:p>
        </w:tc>
        <w:tc>
          <w:tcPr>
            <w:tcW w:w="56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2.66 %</w:t>
            </w:r>
          </w:p>
        </w:tc>
        <w:tc>
          <w:tcPr>
            <w:tcW w:w="104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2.20 %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3.03 %</w:t>
            </w:r>
          </w:p>
        </w:tc>
      </w:tr>
      <w:tr>
        <w:trPr>
          <w:trHeight w:val="115"/>
        </w:trPr>
        <w:tc>
          <w:tcPr>
            <w:tcW w:w="88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Actuarial assumptions used to determine net periodic benefit cost for years ended December 31:</w:t>
            </w:r>
          </w:p>
        </w:tc>
        <w:tc>
          <w:tcPr>
            <w:tcW w:w="560" w:type="dxa"/>
            <w:vAlign w:val="bottom"/>
            <w:tcBorders>
              <w:bottom w:val="single" w:sz="8" w:color="939598"/>
            </w:tcBorders>
          </w:tcPr>
          <w:p>
            <w:pPr>
              <w:spacing w:after="0"/>
              <w:rPr>
                <w:sz w:val="10"/>
                <w:szCs w:val="10"/>
                <w:color w:val="auto"/>
              </w:rPr>
            </w:pPr>
          </w:p>
        </w:tc>
        <w:tc>
          <w:tcPr>
            <w:tcW w:w="1040" w:type="dxa"/>
            <w:vAlign w:val="bottom"/>
            <w:tcBorders>
              <w:bottom w:val="single" w:sz="8" w:color="939598"/>
            </w:tcBorders>
          </w:tcPr>
          <w:p>
            <w:pPr>
              <w:spacing w:after="0"/>
              <w:rPr>
                <w:sz w:val="10"/>
                <w:szCs w:val="10"/>
                <w:color w:val="auto"/>
              </w:rPr>
            </w:pPr>
          </w:p>
        </w:tc>
        <w:tc>
          <w:tcPr>
            <w:tcW w:w="860" w:type="dxa"/>
            <w:vAlign w:val="bottom"/>
            <w:tcBorders>
              <w:bottom w:val="single" w:sz="8" w:color="939598"/>
            </w:tcBorders>
          </w:tcPr>
          <w:p>
            <w:pPr>
              <w:spacing w:after="0"/>
              <w:rPr>
                <w:sz w:val="10"/>
                <w:szCs w:val="10"/>
                <w:color w:val="auto"/>
              </w:rPr>
            </w:pPr>
          </w:p>
        </w:tc>
      </w:tr>
      <w:tr>
        <w:trPr>
          <w:trHeight w:val="115"/>
        </w:trPr>
        <w:tc>
          <w:tcPr>
            <w:tcW w:w="8840" w:type="dxa"/>
            <w:vAlign w:val="bottom"/>
            <w:tcBorders>
              <w:bottom w:val="single" w:sz="8" w:color="DC202E"/>
            </w:tcBorders>
          </w:tcPr>
          <w:p>
            <w:pPr>
              <w:ind w:left="240"/>
              <w:spacing w:after="0" w:line="115" w:lineRule="exact"/>
              <w:rPr>
                <w:sz w:val="20"/>
                <w:szCs w:val="20"/>
                <w:color w:val="auto"/>
              </w:rPr>
            </w:pPr>
            <w:r>
              <w:rPr>
                <w:rFonts w:ascii="Arial" w:cs="Arial" w:eastAsia="Arial" w:hAnsi="Arial"/>
                <w:sz w:val="10"/>
                <w:szCs w:val="10"/>
                <w:color w:val="auto"/>
              </w:rPr>
              <w:t>Discount rate</w:t>
            </w:r>
            <w:r>
              <w:rPr>
                <w:rFonts w:ascii="Arial" w:cs="Arial" w:eastAsia="Arial" w:hAnsi="Arial"/>
                <w:sz w:val="12"/>
                <w:szCs w:val="12"/>
                <w:color w:val="auto"/>
                <w:vertAlign w:val="superscript"/>
              </w:rPr>
              <w:t>(1)</w:t>
            </w:r>
          </w:p>
        </w:tc>
        <w:tc>
          <w:tcPr>
            <w:tcW w:w="56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2.20 %</w:t>
            </w:r>
          </w:p>
        </w:tc>
        <w:tc>
          <w:tcPr>
            <w:tcW w:w="104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2.36 %</w:t>
            </w: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4.07 %</w:t>
            </w:r>
          </w:p>
        </w:tc>
      </w:tr>
    </w:tbl>
    <w:p>
      <w:pPr>
        <w:spacing w:after="0" w:line="96" w:lineRule="exact"/>
        <w:rPr>
          <w:sz w:val="20"/>
          <w:szCs w:val="20"/>
          <w:color w:val="auto"/>
        </w:rPr>
      </w:pPr>
    </w:p>
    <w:p>
      <w:pPr>
        <w:ind w:left="148" w:hanging="148"/>
        <w:spacing w:after="0"/>
        <w:tabs>
          <w:tab w:leader="none" w:pos="148" w:val="left"/>
        </w:tabs>
        <w:numPr>
          <w:ilvl w:val="0"/>
          <w:numId w:val="103"/>
        </w:numPr>
        <w:rPr>
          <w:rFonts w:ascii="Arial" w:cs="Arial" w:eastAsia="Arial" w:hAnsi="Arial"/>
          <w:sz w:val="11"/>
          <w:szCs w:val="11"/>
          <w:color w:val="auto"/>
          <w:vertAlign w:val="superscript"/>
        </w:rPr>
      </w:pPr>
      <w:r>
        <w:rPr>
          <w:rFonts w:ascii="Arial" w:cs="Arial" w:eastAsia="Arial" w:hAnsi="Arial"/>
          <w:sz w:val="8"/>
          <w:szCs w:val="8"/>
          <w:color w:val="auto"/>
        </w:rPr>
        <w:t>Discount rate was 3.03% for January 1, 2020 through September 30, 2020. The rate was changed to 2.36% for the remainder of 2020 due to a Plan remeasurement as of October 1, 2020.</w:t>
      </w:r>
    </w:p>
    <w:p>
      <w:pPr>
        <w:spacing w:after="0" w:line="76"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The discount rate for the Company's U.S. pension and other postretirement benefits plans reflects the current rate at which the associated liabilities could be settled at the measurement date of December 31. To determine discount rates for the Company's U.S. pension and other postretirement benefit plans, the Company uses a modeling process that involves matching the expected cash outflows of the Company's benefit plans to a yield curve constructed from a portfolio of high quality, fixed-income debt instruments. The Company uses the single weighted-average yield of this hypothetical portfolio as a discount rate benchmark. The Company utilizes a full yield curve approach in the estimation of the service and interest cost components of net periodic pension benefit (income) for the Company's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the Company's U.S. pension plans, the single weighted average spot rates used to determine service and interest costs for 2022 are 2.97% and 2.26%. The discount rate used to determine the other postretirement benefit obligation is lower principally due to a shorter expected duration of other postretirement plan obligations as compared to pension plan obligations.</w:t>
      </w:r>
    </w:p>
    <w:p>
      <w:pPr>
        <w:spacing w:after="0" w:line="69"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 plans to use an expected rate of return on U.S. plan assets of 6.40% for 2022, which represents an increase from the 6.15% assumption used for 2021. The Company's asset return assumption is based on historical plan asset returns over varying long-term periods combined with current market conditions and broad asset mix considerations with a focus on long-term trends rather than short-term market conditions. The Company reviews the expected rate of return on an annual basis and revise it as appropriate.</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non-U.S. benefit plans actuarial assumptions reflect economic and market factors relevant to each country.</w:t>
      </w:r>
    </w:p>
    <w:p>
      <w:pPr>
        <w:spacing w:after="0" w:line="284" w:lineRule="exact"/>
        <w:rPr>
          <w:sz w:val="20"/>
          <w:szCs w:val="20"/>
          <w:color w:val="auto"/>
        </w:rPr>
      </w:pPr>
    </w:p>
    <w:p>
      <w:pPr>
        <w:ind w:left="528" w:hanging="528"/>
        <w:spacing w:after="0"/>
        <w:tabs>
          <w:tab w:leader="none" w:pos="528" w:val="left"/>
        </w:tabs>
        <w:numPr>
          <w:ilvl w:val="0"/>
          <w:numId w:val="10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06" w:name="page107"/>
    <w:bookmarkEnd w:id="106"/>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amounts relate to the Company's significant pension plans with accumulated benefit obligations exceeding the fair value of plan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180" w:type="dxa"/>
            <w:vAlign w:val="bottom"/>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c>
          <w:tcPr>
            <w:tcW w:w="400" w:type="dxa"/>
            <w:vAlign w:val="bottom"/>
            <w:tcBorders>
              <w:bottom w:val="single" w:sz="8" w:color="DC202E"/>
            </w:tcBorders>
          </w:tcPr>
          <w:p>
            <w:pPr>
              <w:spacing w:after="0"/>
              <w:rPr>
                <w:sz w:val="11"/>
                <w:szCs w:val="11"/>
                <w:color w:val="auto"/>
              </w:rPr>
            </w:pPr>
          </w:p>
        </w:tc>
        <w:tc>
          <w:tcPr>
            <w:tcW w:w="600" w:type="dxa"/>
            <w:vAlign w:val="bottom"/>
            <w:tcBorders>
              <w:bottom w:val="single" w:sz="8" w:color="DC202E"/>
            </w:tcBorders>
          </w:tcPr>
          <w:p>
            <w:pPr>
              <w:spacing w:after="0"/>
              <w:rPr>
                <w:sz w:val="11"/>
                <w:szCs w:val="11"/>
                <w:color w:val="auto"/>
              </w:rPr>
            </w:pPr>
          </w:p>
        </w:tc>
        <w:tc>
          <w:tcPr>
            <w:tcW w:w="720" w:type="dxa"/>
            <w:vAlign w:val="bottom"/>
            <w:tcBorders>
              <w:bottom w:val="single" w:sz="8" w:color="DC202E"/>
            </w:tcBorders>
            <w:gridSpan w:val="3"/>
          </w:tcPr>
          <w:p>
            <w:pPr>
              <w:ind w:left="80"/>
              <w:spacing w:after="0"/>
              <w:rPr>
                <w:sz w:val="20"/>
                <w:szCs w:val="20"/>
                <w:color w:val="auto"/>
              </w:rPr>
            </w:pPr>
            <w:r>
              <w:rPr>
                <w:rFonts w:ascii="Arial" w:cs="Arial" w:eastAsia="Arial" w:hAnsi="Arial"/>
                <w:sz w:val="10"/>
                <w:szCs w:val="10"/>
                <w:b w:val="1"/>
                <w:bCs w:val="1"/>
                <w:color w:val="auto"/>
                <w:w w:val="95"/>
              </w:rPr>
              <w:t>December 31,</w:t>
            </w:r>
          </w:p>
        </w:tc>
        <w:tc>
          <w:tcPr>
            <w:tcW w:w="400" w:type="dxa"/>
            <w:vAlign w:val="bottom"/>
            <w:tcBorders>
              <w:bottom w:val="single" w:sz="8" w:color="DC202E"/>
            </w:tcBorders>
          </w:tcPr>
          <w:p>
            <w:pPr>
              <w:spacing w:after="0"/>
              <w:rPr>
                <w:sz w:val="11"/>
                <w:szCs w:val="11"/>
                <w:color w:val="auto"/>
              </w:rPr>
            </w:pPr>
          </w:p>
        </w:tc>
        <w:tc>
          <w:tcPr>
            <w:tcW w:w="440" w:type="dxa"/>
            <w:vAlign w:val="bottom"/>
            <w:tcBorders>
              <w:bottom w:val="single" w:sz="8" w:color="DC202E"/>
            </w:tcBorders>
          </w:tcPr>
          <w:p>
            <w:pPr>
              <w:spacing w:after="0"/>
              <w:rPr>
                <w:sz w:val="11"/>
                <w:szCs w:val="11"/>
                <w:color w:val="auto"/>
              </w:rPr>
            </w:pPr>
          </w:p>
        </w:tc>
        <w:tc>
          <w:tcPr>
            <w:tcW w:w="280" w:type="dxa"/>
            <w:vAlign w:val="bottom"/>
            <w:tcBorders>
              <w:bottom w:val="single" w:sz="8" w:color="DC202E"/>
            </w:tcBorders>
          </w:tcPr>
          <w:p>
            <w:pPr>
              <w:spacing w:after="0"/>
              <w:rPr>
                <w:sz w:val="11"/>
                <w:szCs w:val="11"/>
                <w:color w:val="auto"/>
              </w:rPr>
            </w:pPr>
          </w:p>
        </w:tc>
        <w:tc>
          <w:tcPr>
            <w:tcW w:w="620" w:type="dxa"/>
            <w:vAlign w:val="bottom"/>
            <w:tcBorders>
              <w:bottom w:val="single" w:sz="8" w:color="DC202E"/>
            </w:tcBorders>
          </w:tcPr>
          <w:p>
            <w:pPr>
              <w:spacing w:after="0"/>
              <w:rPr>
                <w:sz w:val="11"/>
                <w:szCs w:val="11"/>
                <w:color w:val="auto"/>
              </w:rPr>
            </w:pPr>
          </w:p>
        </w:tc>
      </w:tr>
      <w:tr>
        <w:trPr>
          <w:trHeight w:val="151"/>
        </w:trPr>
        <w:tc>
          <w:tcPr>
            <w:tcW w:w="7180" w:type="dxa"/>
            <w:vAlign w:val="bottom"/>
          </w:tcPr>
          <w:p>
            <w:pPr>
              <w:spacing w:after="0"/>
              <w:rPr>
                <w:sz w:val="13"/>
                <w:szCs w:val="13"/>
                <w:color w:val="auto"/>
              </w:rPr>
            </w:pPr>
          </w:p>
        </w:tc>
        <w:tc>
          <w:tcPr>
            <w:tcW w:w="660" w:type="dxa"/>
            <w:vAlign w:val="bottom"/>
            <w:tcBorders>
              <w:bottom w:val="single" w:sz="8" w:color="DC202E"/>
            </w:tcBorders>
          </w:tcPr>
          <w:p>
            <w:pPr>
              <w:spacing w:after="0"/>
              <w:rPr>
                <w:sz w:val="13"/>
                <w:szCs w:val="13"/>
                <w:color w:val="auto"/>
              </w:rPr>
            </w:pPr>
          </w:p>
        </w:tc>
        <w:tc>
          <w:tcPr>
            <w:tcW w:w="1000" w:type="dxa"/>
            <w:vAlign w:val="bottom"/>
            <w:tcBorders>
              <w:bottom w:val="single" w:sz="8" w:color="DC202E"/>
            </w:tcBorders>
            <w:gridSpan w:val="2"/>
          </w:tcPr>
          <w:p>
            <w:pPr>
              <w:jc w:val="right"/>
              <w:ind w:right="412"/>
              <w:spacing w:after="0"/>
              <w:rPr>
                <w:sz w:val="20"/>
                <w:szCs w:val="20"/>
                <w:color w:val="auto"/>
              </w:rPr>
            </w:pPr>
            <w:r>
              <w:rPr>
                <w:rFonts w:ascii="Arial" w:cs="Arial" w:eastAsia="Arial" w:hAnsi="Arial"/>
                <w:sz w:val="10"/>
                <w:szCs w:val="10"/>
                <w:b w:val="1"/>
                <w:bCs w:val="1"/>
                <w:color w:val="auto"/>
              </w:rPr>
              <w:t>U.S. Plans</w:t>
            </w:r>
          </w:p>
        </w:tc>
        <w:tc>
          <w:tcPr>
            <w:tcW w:w="280" w:type="dxa"/>
            <w:vAlign w:val="bottom"/>
            <w:tcBorders>
              <w:bottom w:val="single" w:sz="8" w:color="DC202E"/>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400" w:type="dxa"/>
            <w:vAlign w:val="bottom"/>
            <w:tcBorders>
              <w:bottom w:val="single" w:sz="8" w:color="DC202E"/>
            </w:tcBorders>
          </w:tcPr>
          <w:p>
            <w:pPr>
              <w:spacing w:after="0"/>
              <w:rPr>
                <w:sz w:val="13"/>
                <w:szCs w:val="13"/>
                <w:color w:val="auto"/>
              </w:rPr>
            </w:pPr>
          </w:p>
        </w:tc>
        <w:tc>
          <w:tcPr>
            <w:tcW w:w="720" w:type="dxa"/>
            <w:vAlign w:val="bottom"/>
            <w:tcBorders>
              <w:bottom w:val="single" w:sz="8" w:color="DC202E"/>
            </w:tcBorders>
            <w:gridSpan w:val="2"/>
          </w:tcPr>
          <w:p>
            <w:pPr>
              <w:jc w:val="right"/>
              <w:spacing w:after="0"/>
              <w:rPr>
                <w:sz w:val="20"/>
                <w:szCs w:val="20"/>
                <w:color w:val="auto"/>
              </w:rPr>
            </w:pPr>
            <w:r>
              <w:rPr>
                <w:rFonts w:ascii="Arial" w:cs="Arial" w:eastAsia="Arial" w:hAnsi="Arial"/>
                <w:sz w:val="10"/>
                <w:szCs w:val="10"/>
                <w:b w:val="1"/>
                <w:bCs w:val="1"/>
                <w:color w:val="auto"/>
                <w:w w:val="94"/>
              </w:rPr>
              <w:t>Non-U.S. Plans</w:t>
            </w:r>
          </w:p>
        </w:tc>
        <w:tc>
          <w:tcPr>
            <w:tcW w:w="620" w:type="dxa"/>
            <w:vAlign w:val="bottom"/>
            <w:tcBorders>
              <w:bottom w:val="single" w:sz="8" w:color="DC202E"/>
            </w:tcBorders>
          </w:tcPr>
          <w:p>
            <w:pPr>
              <w:spacing w:after="0"/>
              <w:rPr>
                <w:sz w:val="13"/>
                <w:szCs w:val="13"/>
                <w:color w:val="auto"/>
              </w:rPr>
            </w:pPr>
          </w:p>
        </w:tc>
      </w:tr>
      <w:tr>
        <w:trPr>
          <w:trHeight w:val="151"/>
        </w:trPr>
        <w:tc>
          <w:tcPr>
            <w:tcW w:w="718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2020</w:t>
            </w:r>
          </w:p>
        </w:tc>
        <w:tc>
          <w:tcPr>
            <w:tcW w:w="28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4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C202E"/>
            </w:tcBorders>
          </w:tcPr>
          <w:p>
            <w:pPr>
              <w:spacing w:after="0"/>
              <w:rPr>
                <w:sz w:val="13"/>
                <w:szCs w:val="13"/>
                <w:color w:val="auto"/>
              </w:rPr>
            </w:pPr>
          </w:p>
        </w:tc>
        <w:tc>
          <w:tcPr>
            <w:tcW w:w="28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w w:val="98"/>
              </w:rPr>
              <w:t>2020</w:t>
            </w:r>
          </w:p>
        </w:tc>
      </w:tr>
      <w:tr>
        <w:trPr>
          <w:trHeight w:val="119"/>
        </w:trPr>
        <w:tc>
          <w:tcPr>
            <w:tcW w:w="7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Projected benefit obligation</w:t>
            </w:r>
          </w:p>
        </w:tc>
        <w:tc>
          <w:tcPr>
            <w:tcW w:w="66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359</w:t>
            </w:r>
          </w:p>
        </w:tc>
        <w:tc>
          <w:tcPr>
            <w:tcW w:w="60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353</w:t>
            </w:r>
          </w:p>
        </w:tc>
        <w:tc>
          <w:tcPr>
            <w:tcW w:w="2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964</w:t>
            </w:r>
          </w:p>
        </w:tc>
        <w:tc>
          <w:tcPr>
            <w:tcW w:w="28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2,116</w:t>
            </w:r>
          </w:p>
        </w:tc>
      </w:tr>
      <w:tr>
        <w:trPr>
          <w:trHeight w:val="115"/>
        </w:trPr>
        <w:tc>
          <w:tcPr>
            <w:tcW w:w="71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Accumulated benefit obligation</w:t>
            </w:r>
          </w:p>
        </w:tc>
        <w:tc>
          <w:tcPr>
            <w:tcW w:w="66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346</w:t>
            </w:r>
          </w:p>
        </w:tc>
        <w:tc>
          <w:tcPr>
            <w:tcW w:w="60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341</w:t>
            </w:r>
          </w:p>
        </w:tc>
        <w:tc>
          <w:tcPr>
            <w:tcW w:w="2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932</w:t>
            </w:r>
          </w:p>
        </w:tc>
        <w:tc>
          <w:tcPr>
            <w:tcW w:w="28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2,042</w:t>
            </w:r>
          </w:p>
        </w:tc>
      </w:tr>
      <w:tr>
        <w:trPr>
          <w:trHeight w:val="115"/>
        </w:trPr>
        <w:tc>
          <w:tcPr>
            <w:tcW w:w="71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Fair value of plan assets</w:t>
            </w: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C202E"/>
            </w:tcBorders>
            <w:gridSpan w:val="3"/>
          </w:tcPr>
          <w:p>
            <w:pPr>
              <w:jc w:val="right"/>
              <w:ind w:right="4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256</w:t>
            </w:r>
          </w:p>
        </w:tc>
        <w:tc>
          <w:tcPr>
            <w:tcW w:w="28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1,208</w:t>
            </w:r>
          </w:p>
        </w:tc>
      </w:tr>
    </w:tbl>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The accumulated benefit obligation for the Company's U.S. defined benefit pension plans was $17.3 billion and $17.9 billion and for the Company's Non-U.S. defined benefit pension plans was $6.9 billion and $7.6 billion at December 31, 2021 and 2020.</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1"/>
          <w:szCs w:val="11"/>
          <w:color w:val="auto"/>
        </w:rPr>
        <w:t>The Company's asset investment strategy for its U.S. pension plans focuses on maintaining a diversified portfolio using various asset classes in order to achieve the Company's long-term investment objectives on a risk adjusted basis. The Company's long-term target allocations are as follows: 55%-70% fixed income securities and cash, 25%-40% equity securities, 5%-10% real estate investments, and 10%-20% other types of investments. Equity securities include publicly-traded stock of companies located inside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that follow several different strategies. The Company reviews its assets on a regular basis to ensure that the Company is within the targeted asset allocation ranges and, if necessary, asset balances are adjusted back within target allocations.</w:t>
      </w:r>
    </w:p>
    <w:p>
      <w:pPr>
        <w:spacing w:after="0" w:line="70"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The Company's non-U.S. pension assets are typically managed by decentralized fiduciary committees with the Honeywell Corporate Investments group providing funding and investment guidance. The Company's non-U.S. investment policies are different for each country as local regulations, funding requirements, and financial and tax considerations are part of the funding and investment allocation process in each country.</w:t>
      </w:r>
    </w:p>
    <w:p>
      <w:pPr>
        <w:spacing w:after="0" w:line="66"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In accordance with ASU 2015-07,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105</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7" w:name="page108"/>
    <w:bookmarkEnd w:id="107"/>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The fair values of both the Company's U.S. and non-U.S. pension plans assets by asset category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620" w:type="dxa"/>
            <w:vAlign w:val="bottom"/>
            <w:tcBorders>
              <w:bottom w:val="single" w:sz="8" w:color="DC202E"/>
            </w:tcBorders>
          </w:tcPr>
          <w:p>
            <w:pPr>
              <w:spacing w:after="0"/>
              <w:rPr>
                <w:sz w:val="11"/>
                <w:szCs w:val="11"/>
                <w:color w:val="auto"/>
              </w:rPr>
            </w:pPr>
          </w:p>
        </w:tc>
        <w:tc>
          <w:tcPr>
            <w:tcW w:w="440" w:type="dxa"/>
            <w:vAlign w:val="bottom"/>
            <w:tcBorders>
              <w:bottom w:val="single" w:sz="8" w:color="DC202E"/>
            </w:tcBorders>
          </w:tcPr>
          <w:p>
            <w:pPr>
              <w:spacing w:after="0"/>
              <w:rPr>
                <w:sz w:val="11"/>
                <w:szCs w:val="11"/>
                <w:color w:val="auto"/>
              </w:rPr>
            </w:pPr>
          </w:p>
        </w:tc>
        <w:tc>
          <w:tcPr>
            <w:tcW w:w="580" w:type="dxa"/>
            <w:vAlign w:val="bottom"/>
            <w:tcBorders>
              <w:bottom w:val="single" w:sz="8" w:color="DC202E"/>
            </w:tcBorders>
          </w:tcPr>
          <w:p>
            <w:pPr>
              <w:spacing w:after="0"/>
              <w:rPr>
                <w:sz w:val="11"/>
                <w:szCs w:val="11"/>
                <w:color w:val="auto"/>
              </w:rPr>
            </w:pPr>
          </w:p>
        </w:tc>
        <w:tc>
          <w:tcPr>
            <w:tcW w:w="600" w:type="dxa"/>
            <w:vAlign w:val="bottom"/>
            <w:tcBorders>
              <w:bottom w:val="single" w:sz="8" w:color="DC202E"/>
            </w:tcBorders>
            <w:gridSpan w:val="2"/>
          </w:tcPr>
          <w:p>
            <w:pPr>
              <w:jc w:val="center"/>
              <w:spacing w:after="0"/>
              <w:rPr>
                <w:sz w:val="20"/>
                <w:szCs w:val="20"/>
                <w:color w:val="auto"/>
              </w:rPr>
            </w:pPr>
            <w:r>
              <w:rPr>
                <w:rFonts w:ascii="Arial" w:cs="Arial" w:eastAsia="Arial" w:hAnsi="Arial"/>
                <w:sz w:val="10"/>
                <w:szCs w:val="10"/>
                <w:b w:val="1"/>
                <w:bCs w:val="1"/>
                <w:color w:val="auto"/>
                <w:w w:val="93"/>
              </w:rPr>
              <w:t>U.S. Plans</w:t>
            </w:r>
          </w:p>
        </w:tc>
        <w:tc>
          <w:tcPr>
            <w:tcW w:w="760" w:type="dxa"/>
            <w:vAlign w:val="bottom"/>
            <w:tcBorders>
              <w:bottom w:val="single" w:sz="8" w:color="DC202E"/>
            </w:tcBorders>
          </w:tcPr>
          <w:p>
            <w:pPr>
              <w:spacing w:after="0"/>
              <w:rPr>
                <w:sz w:val="11"/>
                <w:szCs w:val="11"/>
                <w:color w:val="auto"/>
              </w:rPr>
            </w:pPr>
          </w:p>
        </w:tc>
        <w:tc>
          <w:tcPr>
            <w:tcW w:w="220" w:type="dxa"/>
            <w:vAlign w:val="bottom"/>
            <w:tcBorders>
              <w:bottom w:val="single" w:sz="8" w:color="DC202E"/>
            </w:tcBorders>
          </w:tcPr>
          <w:p>
            <w:pPr>
              <w:spacing w:after="0"/>
              <w:rPr>
                <w:sz w:val="11"/>
                <w:szCs w:val="11"/>
                <w:color w:val="auto"/>
              </w:rPr>
            </w:pPr>
          </w:p>
        </w:tc>
        <w:tc>
          <w:tcPr>
            <w:tcW w:w="680" w:type="dxa"/>
            <w:vAlign w:val="bottom"/>
            <w:tcBorders>
              <w:bottom w:val="single" w:sz="8" w:color="DC202E"/>
            </w:tcBorders>
          </w:tcPr>
          <w:p>
            <w:pPr>
              <w:spacing w:after="0"/>
              <w:rPr>
                <w:sz w:val="11"/>
                <w:szCs w:val="11"/>
                <w:color w:val="auto"/>
              </w:rPr>
            </w:pPr>
          </w:p>
        </w:tc>
      </w:tr>
      <w:tr>
        <w:trPr>
          <w:trHeight w:val="151"/>
        </w:trPr>
        <w:tc>
          <w:tcPr>
            <w:tcW w:w="2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c>
          <w:tcPr>
            <w:tcW w:w="440" w:type="dxa"/>
            <w:vAlign w:val="bottom"/>
            <w:tcBorders>
              <w:bottom w:val="single" w:sz="8" w:color="DC202E"/>
            </w:tcBorders>
          </w:tcPr>
          <w:p>
            <w:pPr>
              <w:spacing w:after="0"/>
              <w:rPr>
                <w:sz w:val="13"/>
                <w:szCs w:val="13"/>
                <w:color w:val="auto"/>
              </w:rPr>
            </w:pPr>
          </w:p>
        </w:tc>
        <w:tc>
          <w:tcPr>
            <w:tcW w:w="1940" w:type="dxa"/>
            <w:vAlign w:val="bottom"/>
            <w:tcBorders>
              <w:bottom w:val="single" w:sz="8" w:color="DC202E"/>
            </w:tcBorders>
            <w:gridSpan w:val="4"/>
          </w:tcPr>
          <w:p>
            <w:pPr>
              <w:jc w:val="center"/>
              <w:ind w:right="112"/>
              <w:spacing w:after="0"/>
              <w:rPr>
                <w:sz w:val="20"/>
                <w:szCs w:val="20"/>
                <w:color w:val="auto"/>
              </w:rPr>
            </w:pPr>
            <w:r>
              <w:rPr>
                <w:rFonts w:ascii="Arial" w:cs="Arial" w:eastAsia="Arial" w:hAnsi="Arial"/>
                <w:sz w:val="10"/>
                <w:szCs w:val="10"/>
                <w:b w:val="1"/>
                <w:bCs w:val="1"/>
                <w:color w:val="auto"/>
                <w:w w:val="95"/>
              </w:rPr>
              <w:t>December 31, 2021</w:t>
            </w:r>
          </w:p>
        </w:tc>
        <w:tc>
          <w:tcPr>
            <w:tcW w:w="22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spacing w:after="0"/>
              <w:rPr>
                <w:sz w:val="13"/>
                <w:szCs w:val="13"/>
                <w:color w:val="auto"/>
              </w:rPr>
            </w:pPr>
          </w:p>
        </w:tc>
      </w:tr>
      <w:tr>
        <w:trPr>
          <w:trHeight w:val="151"/>
        </w:trPr>
        <w:tc>
          <w:tcPr>
            <w:tcW w:w="200" w:type="dxa"/>
            <w:vAlign w:val="bottom"/>
            <w:tcBorders>
              <w:bottom w:val="single" w:sz="8" w:color="DC202E"/>
            </w:tcBorders>
          </w:tcPr>
          <w:p>
            <w:pPr>
              <w:spacing w:after="0"/>
              <w:rPr>
                <w:sz w:val="13"/>
                <w:szCs w:val="13"/>
                <w:color w:val="auto"/>
              </w:rPr>
            </w:pPr>
          </w:p>
        </w:tc>
        <w:tc>
          <w:tcPr>
            <w:tcW w:w="720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Total</w:t>
            </w:r>
          </w:p>
        </w:tc>
        <w:tc>
          <w:tcPr>
            <w:tcW w:w="440" w:type="dxa"/>
            <w:vAlign w:val="bottom"/>
            <w:tcBorders>
              <w:bottom w:val="single" w:sz="8" w:color="DC202E"/>
            </w:tcBorders>
          </w:tcPr>
          <w:p>
            <w:pPr>
              <w:spacing w:after="0"/>
              <w:rPr>
                <w:sz w:val="13"/>
                <w:szCs w:val="13"/>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Level 1</w:t>
            </w:r>
          </w:p>
        </w:tc>
        <w:tc>
          <w:tcPr>
            <w:tcW w:w="400" w:type="dxa"/>
            <w:vAlign w:val="bottom"/>
            <w:tcBorders>
              <w:bottom w:val="single" w:sz="8" w:color="DC202E"/>
            </w:tcBorders>
          </w:tcPr>
          <w:p>
            <w:pPr>
              <w:spacing w:after="0"/>
              <w:rPr>
                <w:sz w:val="13"/>
                <w:szCs w:val="13"/>
                <w:color w:val="auto"/>
              </w:rPr>
            </w:pPr>
          </w:p>
        </w:tc>
        <w:tc>
          <w:tcPr>
            <w:tcW w:w="20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Level 2</w:t>
            </w:r>
          </w:p>
        </w:tc>
        <w:tc>
          <w:tcPr>
            <w:tcW w:w="22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w w:val="94"/>
              </w:rPr>
              <w:t>Level 3</w:t>
            </w:r>
          </w:p>
        </w:tc>
      </w:tr>
      <w:tr>
        <w:trPr>
          <w:trHeight w:val="119"/>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Equities: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Honeywell common stock</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3,251</w:t>
            </w:r>
          </w:p>
        </w:tc>
        <w:tc>
          <w:tcPr>
            <w:tcW w:w="58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5"/>
              </w:rPr>
              <w:t>3,251</w:t>
            </w:r>
          </w:p>
        </w:tc>
        <w:tc>
          <w:tcPr>
            <w:tcW w:w="2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U.S. equities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Fixed income:</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Short term investments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1,767</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5"/>
              </w:rPr>
              <w:t>1,767</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Government securities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1,373</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1,373</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Corporate bonds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9,588</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9,588</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Mortgage/Asset-backed securities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1,072</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1,072</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Insurance contracts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Direct investments: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Direct private investments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1,336</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1,336</w:t>
            </w:r>
          </w:p>
        </w:tc>
      </w:tr>
      <w:tr>
        <w:trPr>
          <w:trHeight w:val="115"/>
        </w:trPr>
        <w:tc>
          <w:tcPr>
            <w:tcW w:w="200" w:type="dxa"/>
            <w:vAlign w:val="bottom"/>
            <w:tcBorders>
              <w:bottom w:val="single" w:sz="8" w:color="DC202E"/>
            </w:tcBorders>
          </w:tcPr>
          <w:p>
            <w:pPr>
              <w:spacing w:after="0"/>
              <w:rPr>
                <w:sz w:val="10"/>
                <w:szCs w:val="10"/>
                <w:color w:val="auto"/>
              </w:rPr>
            </w:pPr>
          </w:p>
        </w:tc>
        <w:tc>
          <w:tcPr>
            <w:tcW w:w="720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Real estate properties</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843</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843</w:t>
            </w:r>
          </w:p>
        </w:tc>
      </w:tr>
      <w:tr>
        <w:trPr>
          <w:trHeight w:val="115"/>
        </w:trPr>
        <w:tc>
          <w:tcPr>
            <w:tcW w:w="740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Total</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1"/>
              </w:rPr>
              <w:t>19,238</w:t>
            </w:r>
          </w:p>
        </w:tc>
        <w:tc>
          <w:tcPr>
            <w:tcW w:w="58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5,018</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12,041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2,179</w:t>
            </w:r>
          </w:p>
        </w:tc>
      </w:tr>
      <w:tr>
        <w:trPr>
          <w:trHeight w:val="115"/>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Investments measured at NAV:</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Private funds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1,244</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Real estate funds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DC202E"/>
            </w:tcBorders>
          </w:tcPr>
          <w:p>
            <w:pPr>
              <w:spacing w:after="0"/>
              <w:rPr>
                <w:sz w:val="10"/>
                <w:szCs w:val="10"/>
                <w:color w:val="auto"/>
              </w:rPr>
            </w:pPr>
          </w:p>
        </w:tc>
        <w:tc>
          <w:tcPr>
            <w:tcW w:w="720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Commingled Funds</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64</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r>
      <w:tr>
        <w:trPr>
          <w:trHeight w:val="115"/>
        </w:trPr>
        <w:tc>
          <w:tcPr>
            <w:tcW w:w="740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Total assets at fair value</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1"/>
              </w:rPr>
              <w:t>20,560</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r>
      <w:tr>
        <w:trPr>
          <w:trHeight w:val="309"/>
        </w:trPr>
        <w:tc>
          <w:tcPr>
            <w:tcW w:w="2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620" w:type="dxa"/>
            <w:vAlign w:val="bottom"/>
            <w:tcBorders>
              <w:bottom w:val="single" w:sz="8" w:color="DC202E"/>
            </w:tcBorders>
          </w:tcPr>
          <w:p>
            <w:pPr>
              <w:spacing w:after="0"/>
              <w:rPr>
                <w:sz w:val="24"/>
                <w:szCs w:val="24"/>
                <w:color w:val="auto"/>
              </w:rPr>
            </w:pPr>
          </w:p>
        </w:tc>
        <w:tc>
          <w:tcPr>
            <w:tcW w:w="440" w:type="dxa"/>
            <w:vAlign w:val="bottom"/>
            <w:tcBorders>
              <w:bottom w:val="single" w:sz="8" w:color="DC202E"/>
            </w:tcBorders>
          </w:tcPr>
          <w:p>
            <w:pPr>
              <w:spacing w:after="0"/>
              <w:rPr>
                <w:sz w:val="24"/>
                <w:szCs w:val="24"/>
                <w:color w:val="auto"/>
              </w:rPr>
            </w:pPr>
          </w:p>
        </w:tc>
        <w:tc>
          <w:tcPr>
            <w:tcW w:w="580" w:type="dxa"/>
            <w:vAlign w:val="bottom"/>
            <w:tcBorders>
              <w:bottom w:val="single" w:sz="8" w:color="DC202E"/>
            </w:tcBorders>
          </w:tcPr>
          <w:p>
            <w:pPr>
              <w:spacing w:after="0"/>
              <w:rPr>
                <w:sz w:val="24"/>
                <w:szCs w:val="24"/>
                <w:color w:val="auto"/>
              </w:rPr>
            </w:pPr>
          </w:p>
        </w:tc>
        <w:tc>
          <w:tcPr>
            <w:tcW w:w="600" w:type="dxa"/>
            <w:vAlign w:val="bottom"/>
            <w:tcBorders>
              <w:bottom w:val="single" w:sz="8" w:color="DC202E"/>
            </w:tcBorders>
            <w:gridSpan w:val="2"/>
          </w:tcPr>
          <w:p>
            <w:pPr>
              <w:jc w:val="center"/>
              <w:spacing w:after="0"/>
              <w:rPr>
                <w:sz w:val="20"/>
                <w:szCs w:val="20"/>
                <w:color w:val="auto"/>
              </w:rPr>
            </w:pPr>
            <w:r>
              <w:rPr>
                <w:rFonts w:ascii="Arial" w:cs="Arial" w:eastAsia="Arial" w:hAnsi="Arial"/>
                <w:sz w:val="10"/>
                <w:szCs w:val="10"/>
                <w:b w:val="1"/>
                <w:bCs w:val="1"/>
                <w:color w:val="auto"/>
                <w:w w:val="93"/>
              </w:rPr>
              <w:t>U.S. Plans</w:t>
            </w:r>
          </w:p>
        </w:tc>
        <w:tc>
          <w:tcPr>
            <w:tcW w:w="760" w:type="dxa"/>
            <w:vAlign w:val="bottom"/>
            <w:tcBorders>
              <w:bottom w:val="single" w:sz="8" w:color="DC202E"/>
            </w:tcBorders>
          </w:tcPr>
          <w:p>
            <w:pPr>
              <w:spacing w:after="0"/>
              <w:rPr>
                <w:sz w:val="24"/>
                <w:szCs w:val="24"/>
                <w:color w:val="auto"/>
              </w:rPr>
            </w:pPr>
          </w:p>
        </w:tc>
        <w:tc>
          <w:tcPr>
            <w:tcW w:w="220" w:type="dxa"/>
            <w:vAlign w:val="bottom"/>
            <w:tcBorders>
              <w:bottom w:val="single" w:sz="8" w:color="DC202E"/>
            </w:tcBorders>
          </w:tcPr>
          <w:p>
            <w:pPr>
              <w:spacing w:after="0"/>
              <w:rPr>
                <w:sz w:val="24"/>
                <w:szCs w:val="24"/>
                <w:color w:val="auto"/>
              </w:rPr>
            </w:pPr>
          </w:p>
        </w:tc>
        <w:tc>
          <w:tcPr>
            <w:tcW w:w="680" w:type="dxa"/>
            <w:vAlign w:val="bottom"/>
            <w:tcBorders>
              <w:bottom w:val="single" w:sz="8" w:color="DC202E"/>
            </w:tcBorders>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c>
          <w:tcPr>
            <w:tcW w:w="440" w:type="dxa"/>
            <w:vAlign w:val="bottom"/>
            <w:tcBorders>
              <w:bottom w:val="single" w:sz="8" w:color="DC202E"/>
            </w:tcBorders>
          </w:tcPr>
          <w:p>
            <w:pPr>
              <w:spacing w:after="0"/>
              <w:rPr>
                <w:sz w:val="13"/>
                <w:szCs w:val="13"/>
                <w:color w:val="auto"/>
              </w:rPr>
            </w:pPr>
          </w:p>
        </w:tc>
        <w:tc>
          <w:tcPr>
            <w:tcW w:w="1940" w:type="dxa"/>
            <w:vAlign w:val="bottom"/>
            <w:tcBorders>
              <w:bottom w:val="single" w:sz="8" w:color="DC202E"/>
            </w:tcBorders>
            <w:gridSpan w:val="4"/>
          </w:tcPr>
          <w:p>
            <w:pPr>
              <w:jc w:val="center"/>
              <w:ind w:right="112"/>
              <w:spacing w:after="0"/>
              <w:rPr>
                <w:sz w:val="20"/>
                <w:szCs w:val="20"/>
                <w:color w:val="auto"/>
              </w:rPr>
            </w:pPr>
            <w:r>
              <w:rPr>
                <w:rFonts w:ascii="Arial" w:cs="Arial" w:eastAsia="Arial" w:hAnsi="Arial"/>
                <w:sz w:val="10"/>
                <w:szCs w:val="10"/>
                <w:b w:val="1"/>
                <w:bCs w:val="1"/>
                <w:color w:val="auto"/>
                <w:w w:val="95"/>
              </w:rPr>
              <w:t>December 31, 2020</w:t>
            </w:r>
          </w:p>
        </w:tc>
        <w:tc>
          <w:tcPr>
            <w:tcW w:w="22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spacing w:after="0"/>
              <w:rPr>
                <w:sz w:val="13"/>
                <w:szCs w:val="13"/>
                <w:color w:val="auto"/>
              </w:rPr>
            </w:pPr>
          </w:p>
        </w:tc>
      </w:tr>
      <w:tr>
        <w:trPr>
          <w:trHeight w:val="151"/>
        </w:trPr>
        <w:tc>
          <w:tcPr>
            <w:tcW w:w="200" w:type="dxa"/>
            <w:vAlign w:val="bottom"/>
            <w:tcBorders>
              <w:bottom w:val="single" w:sz="8" w:color="DC202E"/>
            </w:tcBorders>
          </w:tcPr>
          <w:p>
            <w:pPr>
              <w:spacing w:after="0"/>
              <w:rPr>
                <w:sz w:val="13"/>
                <w:szCs w:val="13"/>
                <w:color w:val="auto"/>
              </w:rPr>
            </w:pPr>
          </w:p>
        </w:tc>
        <w:tc>
          <w:tcPr>
            <w:tcW w:w="720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Total</w:t>
            </w:r>
          </w:p>
        </w:tc>
        <w:tc>
          <w:tcPr>
            <w:tcW w:w="440" w:type="dxa"/>
            <w:vAlign w:val="bottom"/>
            <w:tcBorders>
              <w:bottom w:val="single" w:sz="8" w:color="DC202E"/>
            </w:tcBorders>
          </w:tcPr>
          <w:p>
            <w:pPr>
              <w:spacing w:after="0"/>
              <w:rPr>
                <w:sz w:val="13"/>
                <w:szCs w:val="13"/>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Level 1</w:t>
            </w:r>
          </w:p>
        </w:tc>
        <w:tc>
          <w:tcPr>
            <w:tcW w:w="400" w:type="dxa"/>
            <w:vAlign w:val="bottom"/>
            <w:tcBorders>
              <w:bottom w:val="single" w:sz="8" w:color="DC202E"/>
            </w:tcBorders>
          </w:tcPr>
          <w:p>
            <w:pPr>
              <w:spacing w:after="0"/>
              <w:rPr>
                <w:sz w:val="13"/>
                <w:szCs w:val="13"/>
                <w:color w:val="auto"/>
              </w:rPr>
            </w:pPr>
          </w:p>
        </w:tc>
        <w:tc>
          <w:tcPr>
            <w:tcW w:w="200" w:type="dxa"/>
            <w:vAlign w:val="bottom"/>
            <w:tcBorders>
              <w:bottom w:val="single" w:sz="8" w:color="DC202E"/>
            </w:tcBorders>
          </w:tcPr>
          <w:p>
            <w:pPr>
              <w:spacing w:after="0"/>
              <w:rPr>
                <w:sz w:val="13"/>
                <w:szCs w:val="13"/>
                <w:color w:val="auto"/>
              </w:rPr>
            </w:pPr>
          </w:p>
        </w:tc>
        <w:tc>
          <w:tcPr>
            <w:tcW w:w="76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Level 2</w:t>
            </w:r>
          </w:p>
        </w:tc>
        <w:tc>
          <w:tcPr>
            <w:tcW w:w="220" w:type="dxa"/>
            <w:vAlign w:val="bottom"/>
            <w:tcBorders>
              <w:bottom w:val="single" w:sz="8" w:color="DC202E"/>
            </w:tcBorders>
          </w:tcPr>
          <w:p>
            <w:pPr>
              <w:spacing w:after="0"/>
              <w:rPr>
                <w:sz w:val="13"/>
                <w:szCs w:val="13"/>
                <w:color w:val="auto"/>
              </w:rPr>
            </w:pPr>
          </w:p>
        </w:tc>
        <w:tc>
          <w:tcPr>
            <w:tcW w:w="68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w w:val="94"/>
              </w:rPr>
              <w:t>Level 3</w:t>
            </w:r>
          </w:p>
        </w:tc>
      </w:tr>
      <w:tr>
        <w:trPr>
          <w:trHeight w:val="119"/>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Equities: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Honeywell common stock</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3,319</w:t>
            </w:r>
          </w:p>
        </w:tc>
        <w:tc>
          <w:tcPr>
            <w:tcW w:w="58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5"/>
              </w:rPr>
              <w:t>3,319</w:t>
            </w:r>
          </w:p>
        </w:tc>
        <w:tc>
          <w:tcPr>
            <w:tcW w:w="2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U.S. equities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Fixed income:</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Short term investments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1,314</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5"/>
              </w:rPr>
              <w:t>1,314</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Government securities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1,520</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1,520</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Corporate bonds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1"/>
              </w:rPr>
              <w:t>10,190</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10,190</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Mortgage/Asset-backed securities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982</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982</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Insurance contracts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7</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Direct investments: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Direct private investments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1,220</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1,220</w:t>
            </w:r>
          </w:p>
        </w:tc>
      </w:tr>
      <w:tr>
        <w:trPr>
          <w:trHeight w:val="115"/>
        </w:trPr>
        <w:tc>
          <w:tcPr>
            <w:tcW w:w="200" w:type="dxa"/>
            <w:vAlign w:val="bottom"/>
            <w:tcBorders>
              <w:bottom w:val="single" w:sz="8" w:color="DC202E"/>
            </w:tcBorders>
          </w:tcPr>
          <w:p>
            <w:pPr>
              <w:spacing w:after="0"/>
              <w:rPr>
                <w:sz w:val="10"/>
                <w:szCs w:val="10"/>
                <w:color w:val="auto"/>
              </w:rPr>
            </w:pPr>
          </w:p>
        </w:tc>
        <w:tc>
          <w:tcPr>
            <w:tcW w:w="720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Real estate properties</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651</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651</w:t>
            </w:r>
          </w:p>
        </w:tc>
      </w:tr>
      <w:tr>
        <w:trPr>
          <w:trHeight w:val="115"/>
        </w:trPr>
        <w:tc>
          <w:tcPr>
            <w:tcW w:w="740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Total</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1"/>
              </w:rPr>
              <w:t>19,203</w:t>
            </w:r>
          </w:p>
        </w:tc>
        <w:tc>
          <w:tcPr>
            <w:tcW w:w="58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4,633</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12,699</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1,871</w:t>
            </w:r>
          </w:p>
        </w:tc>
      </w:tr>
      <w:tr>
        <w:trPr>
          <w:trHeight w:val="115"/>
        </w:trPr>
        <w:tc>
          <w:tcPr>
            <w:tcW w:w="740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Investments measured at NAV:</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Private funds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1,105</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720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Real estate funds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w:t>
            </w:r>
          </w:p>
        </w:tc>
        <w:tc>
          <w:tcPr>
            <w:tcW w:w="58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7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68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DC202E"/>
            </w:tcBorders>
          </w:tcPr>
          <w:p>
            <w:pPr>
              <w:spacing w:after="0"/>
              <w:rPr>
                <w:sz w:val="10"/>
                <w:szCs w:val="10"/>
                <w:color w:val="auto"/>
              </w:rPr>
            </w:pPr>
          </w:p>
        </w:tc>
        <w:tc>
          <w:tcPr>
            <w:tcW w:w="720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Commingled funds</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62</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r>
      <w:tr>
        <w:trPr>
          <w:trHeight w:val="115"/>
        </w:trPr>
        <w:tc>
          <w:tcPr>
            <w:tcW w:w="740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Total assets at fair value</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1"/>
              </w:rPr>
              <w:t>20,396</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r>
      <w:tr>
        <w:trPr>
          <w:trHeight w:val="475"/>
        </w:trPr>
        <w:tc>
          <w:tcPr>
            <w:tcW w:w="200" w:type="dxa"/>
            <w:vAlign w:val="bottom"/>
          </w:tcPr>
          <w:p>
            <w:pPr>
              <w:spacing w:after="0"/>
              <w:rPr>
                <w:sz w:val="20"/>
                <w:szCs w:val="20"/>
                <w:color w:val="auto"/>
              </w:rPr>
            </w:pPr>
            <w:r>
              <w:rPr>
                <w:rFonts w:ascii="Arial" w:cs="Arial" w:eastAsia="Arial" w:hAnsi="Arial"/>
                <w:sz w:val="12"/>
                <w:szCs w:val="12"/>
                <w:b w:val="1"/>
                <w:bCs w:val="1"/>
                <w:color w:val="D7282F"/>
                <w:w w:val="89"/>
              </w:rPr>
              <w:t>106</w:t>
            </w:r>
          </w:p>
        </w:tc>
        <w:tc>
          <w:tcPr>
            <w:tcW w:w="7200" w:type="dxa"/>
            <w:vAlign w:val="bottom"/>
          </w:tcPr>
          <w:p>
            <w:pPr>
              <w:ind w:left="320"/>
              <w:spacing w:after="0"/>
              <w:rPr>
                <w:sz w:val="20"/>
                <w:szCs w:val="20"/>
                <w:color w:val="auto"/>
              </w:rPr>
            </w:pPr>
            <w:r>
              <w:rPr>
                <w:rFonts w:ascii="Arial" w:cs="Arial" w:eastAsia="Arial" w:hAnsi="Arial"/>
                <w:sz w:val="10"/>
                <w:szCs w:val="10"/>
                <w:color w:val="auto"/>
              </w:rPr>
              <w:t>Honeywell International Inc.</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4"/>
        </w:trPr>
        <w:tc>
          <w:tcPr>
            <w:tcW w:w="200" w:type="dxa"/>
            <w:vAlign w:val="bottom"/>
            <w:tcBorders>
              <w:bottom w:val="single" w:sz="8" w:color="9A9A9A"/>
            </w:tcBorders>
          </w:tcPr>
          <w:p>
            <w:pPr>
              <w:spacing w:after="0"/>
              <w:rPr>
                <w:sz w:val="12"/>
                <w:szCs w:val="12"/>
                <w:color w:val="auto"/>
              </w:rPr>
            </w:pPr>
          </w:p>
        </w:tc>
        <w:tc>
          <w:tcPr>
            <w:tcW w:w="72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8" w:name="page109"/>
    <w:bookmarkEnd w:id="108"/>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400" w:type="dxa"/>
            <w:vAlign w:val="bottom"/>
          </w:tcPr>
          <w:p>
            <w:pPr>
              <w:spacing w:after="0"/>
              <w:rPr>
                <w:sz w:val="11"/>
                <w:szCs w:val="11"/>
                <w:color w:val="auto"/>
              </w:rPr>
            </w:pPr>
          </w:p>
        </w:tc>
        <w:tc>
          <w:tcPr>
            <w:tcW w:w="640" w:type="dxa"/>
            <w:vAlign w:val="bottom"/>
            <w:tcBorders>
              <w:bottom w:val="single" w:sz="8" w:color="DC202E"/>
            </w:tcBorders>
          </w:tcPr>
          <w:p>
            <w:pPr>
              <w:spacing w:after="0"/>
              <w:rPr>
                <w:sz w:val="11"/>
                <w:szCs w:val="11"/>
                <w:color w:val="auto"/>
              </w:rPr>
            </w:pPr>
          </w:p>
        </w:tc>
        <w:tc>
          <w:tcPr>
            <w:tcW w:w="420" w:type="dxa"/>
            <w:vAlign w:val="bottom"/>
            <w:tcBorders>
              <w:bottom w:val="single" w:sz="8" w:color="DC202E"/>
            </w:tcBorders>
          </w:tcPr>
          <w:p>
            <w:pPr>
              <w:spacing w:after="0"/>
              <w:rPr>
                <w:sz w:val="11"/>
                <w:szCs w:val="11"/>
                <w:color w:val="auto"/>
              </w:rPr>
            </w:pPr>
          </w:p>
        </w:tc>
        <w:tc>
          <w:tcPr>
            <w:tcW w:w="1560" w:type="dxa"/>
            <w:vAlign w:val="bottom"/>
            <w:tcBorders>
              <w:bottom w:val="single" w:sz="8" w:color="DC202E"/>
            </w:tcBorders>
            <w:gridSpan w:val="3"/>
          </w:tcPr>
          <w:p>
            <w:pPr>
              <w:jc w:val="center"/>
              <w:ind w:left="172"/>
              <w:spacing w:after="0"/>
              <w:rPr>
                <w:sz w:val="20"/>
                <w:szCs w:val="20"/>
                <w:color w:val="auto"/>
              </w:rPr>
            </w:pPr>
            <w:r>
              <w:rPr>
                <w:rFonts w:ascii="Arial" w:cs="Arial" w:eastAsia="Arial" w:hAnsi="Arial"/>
                <w:sz w:val="10"/>
                <w:szCs w:val="10"/>
                <w:b w:val="1"/>
                <w:bCs w:val="1"/>
                <w:color w:val="auto"/>
                <w:w w:val="97"/>
              </w:rPr>
              <w:t>Non-U.S. Plans</w:t>
            </w:r>
          </w:p>
        </w:tc>
        <w:tc>
          <w:tcPr>
            <w:tcW w:w="380" w:type="dxa"/>
            <w:vAlign w:val="bottom"/>
            <w:tcBorders>
              <w:bottom w:val="single" w:sz="8" w:color="DC202E"/>
            </w:tcBorders>
          </w:tcPr>
          <w:p>
            <w:pPr>
              <w:spacing w:after="0"/>
              <w:rPr>
                <w:sz w:val="11"/>
                <w:szCs w:val="11"/>
                <w:color w:val="auto"/>
              </w:rPr>
            </w:pPr>
          </w:p>
        </w:tc>
        <w:tc>
          <w:tcPr>
            <w:tcW w:w="620" w:type="dxa"/>
            <w:vAlign w:val="bottom"/>
            <w:tcBorders>
              <w:bottom w:val="single" w:sz="8" w:color="DC202E"/>
            </w:tcBorders>
          </w:tcPr>
          <w:p>
            <w:pPr>
              <w:spacing w:after="0"/>
              <w:rPr>
                <w:sz w:val="11"/>
                <w:szCs w:val="11"/>
                <w:color w:val="auto"/>
              </w:rPr>
            </w:pPr>
          </w:p>
        </w:tc>
        <w:tc>
          <w:tcPr>
            <w:tcW w:w="280" w:type="dxa"/>
            <w:vAlign w:val="bottom"/>
            <w:tcBorders>
              <w:bottom w:val="single" w:sz="8" w:color="DC202E"/>
            </w:tcBorders>
          </w:tcPr>
          <w:p>
            <w:pPr>
              <w:spacing w:after="0"/>
              <w:rPr>
                <w:sz w:val="11"/>
                <w:szCs w:val="11"/>
                <w:color w:val="auto"/>
              </w:rPr>
            </w:pPr>
          </w:p>
        </w:tc>
      </w:tr>
      <w:tr>
        <w:trPr>
          <w:trHeight w:val="151"/>
        </w:trPr>
        <w:tc>
          <w:tcPr>
            <w:tcW w:w="7400" w:type="dxa"/>
            <w:vAlign w:val="bottom"/>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420" w:type="dxa"/>
            <w:vAlign w:val="bottom"/>
            <w:tcBorders>
              <w:bottom w:val="single" w:sz="8" w:color="DC202E"/>
            </w:tcBorders>
          </w:tcPr>
          <w:p>
            <w:pPr>
              <w:spacing w:after="0"/>
              <w:rPr>
                <w:sz w:val="13"/>
                <w:szCs w:val="13"/>
                <w:color w:val="auto"/>
              </w:rPr>
            </w:pPr>
          </w:p>
        </w:tc>
        <w:tc>
          <w:tcPr>
            <w:tcW w:w="1560" w:type="dxa"/>
            <w:vAlign w:val="bottom"/>
            <w:tcBorders>
              <w:bottom w:val="single" w:sz="8" w:color="DC202E"/>
            </w:tcBorders>
            <w:gridSpan w:val="3"/>
          </w:tcPr>
          <w:p>
            <w:pPr>
              <w:jc w:val="center"/>
              <w:ind w:left="172"/>
              <w:spacing w:after="0"/>
              <w:rPr>
                <w:sz w:val="20"/>
                <w:szCs w:val="20"/>
                <w:color w:val="auto"/>
              </w:rPr>
            </w:pPr>
            <w:r>
              <w:rPr>
                <w:rFonts w:ascii="Arial" w:cs="Arial" w:eastAsia="Arial" w:hAnsi="Arial"/>
                <w:sz w:val="10"/>
                <w:szCs w:val="10"/>
                <w:b w:val="1"/>
                <w:bCs w:val="1"/>
                <w:color w:val="auto"/>
                <w:w w:val="95"/>
              </w:rPr>
              <w:t>December 31, 2021</w:t>
            </w:r>
          </w:p>
        </w:tc>
        <w:tc>
          <w:tcPr>
            <w:tcW w:w="38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c>
          <w:tcPr>
            <w:tcW w:w="280" w:type="dxa"/>
            <w:vAlign w:val="bottom"/>
            <w:tcBorders>
              <w:bottom w:val="single" w:sz="8" w:color="DC202E"/>
            </w:tcBorders>
          </w:tcPr>
          <w:p>
            <w:pPr>
              <w:spacing w:after="0"/>
              <w:rPr>
                <w:sz w:val="13"/>
                <w:szCs w:val="13"/>
                <w:color w:val="auto"/>
              </w:rPr>
            </w:pPr>
          </w:p>
        </w:tc>
      </w:tr>
      <w:tr>
        <w:trPr>
          <w:trHeight w:val="151"/>
        </w:trPr>
        <w:tc>
          <w:tcPr>
            <w:tcW w:w="740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Total</w:t>
            </w:r>
          </w:p>
        </w:tc>
        <w:tc>
          <w:tcPr>
            <w:tcW w:w="42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Level 1</w:t>
            </w:r>
          </w:p>
        </w:tc>
        <w:tc>
          <w:tcPr>
            <w:tcW w:w="360" w:type="dxa"/>
            <w:vAlign w:val="bottom"/>
            <w:tcBorders>
              <w:bottom w:val="single" w:sz="8" w:color="DC202E"/>
            </w:tcBorders>
          </w:tcPr>
          <w:p>
            <w:pPr>
              <w:spacing w:after="0"/>
              <w:rPr>
                <w:sz w:val="13"/>
                <w:szCs w:val="13"/>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Level 3</w:t>
            </w:r>
          </w:p>
        </w:tc>
        <w:tc>
          <w:tcPr>
            <w:tcW w:w="280" w:type="dxa"/>
            <w:vAlign w:val="bottom"/>
            <w:tcBorders>
              <w:bottom w:val="single" w:sz="8" w:color="DC202E"/>
            </w:tcBorders>
          </w:tcPr>
          <w:p>
            <w:pPr>
              <w:spacing w:after="0"/>
              <w:rPr>
                <w:sz w:val="13"/>
                <w:szCs w:val="13"/>
                <w:color w:val="auto"/>
              </w:rPr>
            </w:pPr>
          </w:p>
        </w:tc>
      </w:tr>
      <w:tr>
        <w:trPr>
          <w:trHeight w:val="119"/>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Equities: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U.S. equities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229</w:t>
            </w:r>
          </w:p>
        </w:tc>
        <w:tc>
          <w:tcPr>
            <w:tcW w:w="620" w:type="dxa"/>
            <w:vAlign w:val="bottom"/>
            <w:tcBorders>
              <w:bottom w:val="single" w:sz="8" w:color="939598"/>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w:t>
            </w:r>
          </w:p>
        </w:tc>
        <w:tc>
          <w:tcPr>
            <w:tcW w:w="5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228</w:t>
            </w:r>
          </w:p>
        </w:tc>
        <w:tc>
          <w:tcPr>
            <w:tcW w:w="620" w:type="dxa"/>
            <w:vAlign w:val="bottom"/>
            <w:tcBorders>
              <w:bottom w:val="single" w:sz="8" w:color="939598"/>
            </w:tcBorders>
          </w:tcPr>
          <w:p>
            <w:pPr>
              <w:jc w:val="right"/>
              <w:ind w:right="37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Non-U.S. equities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824</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824</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Fixed income:</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Short-term investments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571</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571</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Government securities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3,893</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5"/>
              </w:rPr>
              <w:t>3,893</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Corporate bonds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1,681</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5"/>
              </w:rPr>
              <w:t>1,681</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Mortgage/Asset-backed securities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79</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79</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Insurance contracts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123</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123</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Insurance buy-in contracts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691</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691</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Investments in private funds: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74</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41</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33</w:t>
            </w:r>
          </w:p>
        </w:tc>
      </w:tr>
      <w:tr>
        <w:trPr>
          <w:trHeight w:val="115"/>
        </w:trPr>
        <w:tc>
          <w:tcPr>
            <w:tcW w:w="740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163</w:t>
            </w:r>
          </w:p>
        </w:tc>
        <w:tc>
          <w:tcPr>
            <w:tcW w:w="6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163</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8,328</w:t>
            </w:r>
          </w:p>
        </w:tc>
        <w:tc>
          <w:tcPr>
            <w:tcW w:w="62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572</w:t>
            </w:r>
          </w:p>
        </w:tc>
        <w:tc>
          <w:tcPr>
            <w:tcW w:w="5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5"/>
              </w:rPr>
              <w:t>6,869</w:t>
            </w:r>
          </w:p>
        </w:tc>
        <w:tc>
          <w:tcPr>
            <w:tcW w:w="62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887</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Investments measured at NAV:</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17</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51</w:t>
            </w:r>
          </w:p>
        </w:tc>
        <w:tc>
          <w:tcPr>
            <w:tcW w:w="6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assets at fair value</w:t>
            </w: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8,396</w:t>
            </w:r>
          </w:p>
        </w:tc>
        <w:tc>
          <w:tcPr>
            <w:tcW w:w="6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r>
      <w:tr>
        <w:trPr>
          <w:trHeight w:val="309"/>
        </w:trPr>
        <w:tc>
          <w:tcPr>
            <w:tcW w:w="7400" w:type="dxa"/>
            <w:vAlign w:val="bottom"/>
          </w:tcPr>
          <w:p>
            <w:pPr>
              <w:spacing w:after="0"/>
              <w:rPr>
                <w:sz w:val="24"/>
                <w:szCs w:val="24"/>
                <w:color w:val="auto"/>
              </w:rPr>
            </w:pPr>
          </w:p>
        </w:tc>
        <w:tc>
          <w:tcPr>
            <w:tcW w:w="640" w:type="dxa"/>
            <w:vAlign w:val="bottom"/>
            <w:tcBorders>
              <w:bottom w:val="single" w:sz="8" w:color="DC202E"/>
            </w:tcBorders>
          </w:tcPr>
          <w:p>
            <w:pPr>
              <w:spacing w:after="0"/>
              <w:rPr>
                <w:sz w:val="24"/>
                <w:szCs w:val="24"/>
                <w:color w:val="auto"/>
              </w:rPr>
            </w:pPr>
          </w:p>
        </w:tc>
        <w:tc>
          <w:tcPr>
            <w:tcW w:w="420" w:type="dxa"/>
            <w:vAlign w:val="bottom"/>
            <w:tcBorders>
              <w:bottom w:val="single" w:sz="8" w:color="DC202E"/>
            </w:tcBorders>
          </w:tcPr>
          <w:p>
            <w:pPr>
              <w:spacing w:after="0"/>
              <w:rPr>
                <w:sz w:val="24"/>
                <w:szCs w:val="24"/>
                <w:color w:val="auto"/>
              </w:rPr>
            </w:pPr>
          </w:p>
        </w:tc>
        <w:tc>
          <w:tcPr>
            <w:tcW w:w="1560" w:type="dxa"/>
            <w:vAlign w:val="bottom"/>
            <w:tcBorders>
              <w:bottom w:val="single" w:sz="8" w:color="DC202E"/>
            </w:tcBorders>
            <w:gridSpan w:val="3"/>
          </w:tcPr>
          <w:p>
            <w:pPr>
              <w:jc w:val="center"/>
              <w:ind w:left="172"/>
              <w:spacing w:after="0"/>
              <w:rPr>
                <w:sz w:val="20"/>
                <w:szCs w:val="20"/>
                <w:color w:val="auto"/>
              </w:rPr>
            </w:pPr>
            <w:r>
              <w:rPr>
                <w:rFonts w:ascii="Arial" w:cs="Arial" w:eastAsia="Arial" w:hAnsi="Arial"/>
                <w:sz w:val="10"/>
                <w:szCs w:val="10"/>
                <w:b w:val="1"/>
                <w:bCs w:val="1"/>
                <w:color w:val="auto"/>
                <w:w w:val="97"/>
              </w:rPr>
              <w:t>Non-U.S. Plans</w:t>
            </w:r>
          </w:p>
        </w:tc>
        <w:tc>
          <w:tcPr>
            <w:tcW w:w="380" w:type="dxa"/>
            <w:vAlign w:val="bottom"/>
            <w:tcBorders>
              <w:bottom w:val="single" w:sz="8" w:color="DC202E"/>
            </w:tcBorders>
          </w:tcPr>
          <w:p>
            <w:pPr>
              <w:spacing w:after="0"/>
              <w:rPr>
                <w:sz w:val="24"/>
                <w:szCs w:val="24"/>
                <w:color w:val="auto"/>
              </w:rPr>
            </w:pPr>
          </w:p>
        </w:tc>
        <w:tc>
          <w:tcPr>
            <w:tcW w:w="620" w:type="dxa"/>
            <w:vAlign w:val="bottom"/>
            <w:tcBorders>
              <w:bottom w:val="single" w:sz="8" w:color="DC202E"/>
            </w:tcBorders>
          </w:tcPr>
          <w:p>
            <w:pPr>
              <w:spacing w:after="0"/>
              <w:rPr>
                <w:sz w:val="24"/>
                <w:szCs w:val="24"/>
                <w:color w:val="auto"/>
              </w:rPr>
            </w:pPr>
          </w:p>
        </w:tc>
        <w:tc>
          <w:tcPr>
            <w:tcW w:w="280" w:type="dxa"/>
            <w:vAlign w:val="bottom"/>
            <w:tcBorders>
              <w:bottom w:val="single" w:sz="8" w:color="DC202E"/>
            </w:tcBorders>
          </w:tcPr>
          <w:p>
            <w:pPr>
              <w:spacing w:after="0"/>
              <w:rPr>
                <w:sz w:val="24"/>
                <w:szCs w:val="24"/>
                <w:color w:val="auto"/>
              </w:rPr>
            </w:pPr>
          </w:p>
        </w:tc>
      </w:tr>
      <w:tr>
        <w:trPr>
          <w:trHeight w:val="151"/>
        </w:trPr>
        <w:tc>
          <w:tcPr>
            <w:tcW w:w="7400" w:type="dxa"/>
            <w:vAlign w:val="bottom"/>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420" w:type="dxa"/>
            <w:vAlign w:val="bottom"/>
            <w:tcBorders>
              <w:bottom w:val="single" w:sz="8" w:color="DC202E"/>
            </w:tcBorders>
          </w:tcPr>
          <w:p>
            <w:pPr>
              <w:spacing w:after="0"/>
              <w:rPr>
                <w:sz w:val="13"/>
                <w:szCs w:val="13"/>
                <w:color w:val="auto"/>
              </w:rPr>
            </w:pPr>
          </w:p>
        </w:tc>
        <w:tc>
          <w:tcPr>
            <w:tcW w:w="1560" w:type="dxa"/>
            <w:vAlign w:val="bottom"/>
            <w:tcBorders>
              <w:bottom w:val="single" w:sz="8" w:color="DC202E"/>
            </w:tcBorders>
            <w:gridSpan w:val="3"/>
          </w:tcPr>
          <w:p>
            <w:pPr>
              <w:jc w:val="center"/>
              <w:ind w:left="172"/>
              <w:spacing w:after="0"/>
              <w:rPr>
                <w:sz w:val="20"/>
                <w:szCs w:val="20"/>
                <w:color w:val="auto"/>
              </w:rPr>
            </w:pPr>
            <w:r>
              <w:rPr>
                <w:rFonts w:ascii="Arial" w:cs="Arial" w:eastAsia="Arial" w:hAnsi="Arial"/>
                <w:sz w:val="10"/>
                <w:szCs w:val="10"/>
                <w:b w:val="1"/>
                <w:bCs w:val="1"/>
                <w:color w:val="auto"/>
                <w:w w:val="95"/>
              </w:rPr>
              <w:t>December 31, 2020</w:t>
            </w:r>
          </w:p>
        </w:tc>
        <w:tc>
          <w:tcPr>
            <w:tcW w:w="38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c>
          <w:tcPr>
            <w:tcW w:w="280" w:type="dxa"/>
            <w:vAlign w:val="bottom"/>
            <w:tcBorders>
              <w:bottom w:val="single" w:sz="8" w:color="DC202E"/>
            </w:tcBorders>
          </w:tcPr>
          <w:p>
            <w:pPr>
              <w:spacing w:after="0"/>
              <w:rPr>
                <w:sz w:val="13"/>
                <w:szCs w:val="13"/>
                <w:color w:val="auto"/>
              </w:rPr>
            </w:pPr>
          </w:p>
        </w:tc>
      </w:tr>
      <w:tr>
        <w:trPr>
          <w:trHeight w:val="151"/>
        </w:trPr>
        <w:tc>
          <w:tcPr>
            <w:tcW w:w="740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Total</w:t>
            </w:r>
          </w:p>
        </w:tc>
        <w:tc>
          <w:tcPr>
            <w:tcW w:w="42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Level 1</w:t>
            </w:r>
          </w:p>
        </w:tc>
        <w:tc>
          <w:tcPr>
            <w:tcW w:w="360" w:type="dxa"/>
            <w:vAlign w:val="bottom"/>
            <w:tcBorders>
              <w:bottom w:val="single" w:sz="8" w:color="DC202E"/>
            </w:tcBorders>
          </w:tcPr>
          <w:p>
            <w:pPr>
              <w:spacing w:after="0"/>
              <w:rPr>
                <w:sz w:val="13"/>
                <w:szCs w:val="13"/>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DC202E"/>
            </w:tcBorders>
          </w:tcPr>
          <w:p>
            <w:pPr>
              <w:spacing w:after="0"/>
              <w:rPr>
                <w:sz w:val="13"/>
                <w:szCs w:val="13"/>
                <w:color w:val="auto"/>
              </w:rPr>
            </w:pPr>
          </w:p>
        </w:tc>
        <w:tc>
          <w:tcPr>
            <w:tcW w:w="6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Level 3</w:t>
            </w:r>
          </w:p>
        </w:tc>
        <w:tc>
          <w:tcPr>
            <w:tcW w:w="280" w:type="dxa"/>
            <w:vAlign w:val="bottom"/>
            <w:tcBorders>
              <w:bottom w:val="single" w:sz="8" w:color="DC202E"/>
            </w:tcBorders>
          </w:tcPr>
          <w:p>
            <w:pPr>
              <w:spacing w:after="0"/>
              <w:rPr>
                <w:sz w:val="13"/>
                <w:szCs w:val="13"/>
                <w:color w:val="auto"/>
              </w:rPr>
            </w:pPr>
          </w:p>
        </w:tc>
      </w:tr>
      <w:tr>
        <w:trPr>
          <w:trHeight w:val="119"/>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Equities: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U.S. equities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207</w:t>
            </w:r>
          </w:p>
        </w:tc>
        <w:tc>
          <w:tcPr>
            <w:tcW w:w="620" w:type="dxa"/>
            <w:vAlign w:val="bottom"/>
            <w:tcBorders>
              <w:bottom w:val="single" w:sz="8" w:color="939598"/>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207</w:t>
            </w:r>
          </w:p>
        </w:tc>
        <w:tc>
          <w:tcPr>
            <w:tcW w:w="620" w:type="dxa"/>
            <w:vAlign w:val="bottom"/>
            <w:tcBorders>
              <w:bottom w:val="single" w:sz="8" w:color="939598"/>
            </w:tcBorders>
          </w:tcPr>
          <w:p>
            <w:pPr>
              <w:jc w:val="right"/>
              <w:ind w:right="37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Non-U.S. equities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1,614</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66</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5"/>
              </w:rPr>
              <w:t>1,548</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Fixed income:</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Short-term investments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596</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596</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Government securities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3,105</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5"/>
              </w:rPr>
              <w:t>3,105</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Corporate bonds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1,649</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5"/>
              </w:rPr>
              <w:t>1,649</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Mortgage/Asset-backed securities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93</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93</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Insurance contracts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142</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142</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Insurance buy-in contracts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767</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767</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Investments in private funds: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65</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36</w:t>
            </w: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w:t>
            </w:r>
          </w:p>
        </w:tc>
      </w:tr>
      <w:tr>
        <w:trPr>
          <w:trHeight w:val="115"/>
        </w:trPr>
        <w:tc>
          <w:tcPr>
            <w:tcW w:w="740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147</w:t>
            </w:r>
          </w:p>
        </w:tc>
        <w:tc>
          <w:tcPr>
            <w:tcW w:w="6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147</w:t>
            </w: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8,385</w:t>
            </w:r>
          </w:p>
        </w:tc>
        <w:tc>
          <w:tcPr>
            <w:tcW w:w="62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662</w:t>
            </w:r>
          </w:p>
        </w:tc>
        <w:tc>
          <w:tcPr>
            <w:tcW w:w="5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5"/>
              </w:rPr>
              <w:t>6,780</w:t>
            </w:r>
          </w:p>
        </w:tc>
        <w:tc>
          <w:tcPr>
            <w:tcW w:w="62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943</w:t>
            </w:r>
          </w:p>
        </w:tc>
      </w:tr>
      <w:tr>
        <w:trPr>
          <w:trHeight w:val="115"/>
        </w:trPr>
        <w:tc>
          <w:tcPr>
            <w:tcW w:w="7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Investments measured at NAV:</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939598"/>
            </w:tcBorders>
          </w:tcPr>
          <w:p>
            <w:pPr>
              <w:spacing w:after="0"/>
              <w:rPr>
                <w:sz w:val="10"/>
                <w:szCs w:val="10"/>
                <w:color w:val="auto"/>
              </w:rPr>
            </w:pPr>
          </w:p>
        </w:tc>
        <w:tc>
          <w:tcPr>
            <w:tcW w:w="4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18</w:t>
            </w:r>
          </w:p>
        </w:tc>
        <w:tc>
          <w:tcPr>
            <w:tcW w:w="62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spacing w:after="0"/>
              <w:rPr>
                <w:sz w:val="10"/>
                <w:szCs w:val="10"/>
                <w:color w:val="auto"/>
              </w:rPr>
            </w:pPr>
          </w:p>
        </w:tc>
        <w:tc>
          <w:tcPr>
            <w:tcW w:w="380" w:type="dxa"/>
            <w:vAlign w:val="bottom"/>
            <w:tcBorders>
              <w:bottom w:val="single" w:sz="8" w:color="939598"/>
            </w:tcBorders>
          </w:tcPr>
          <w:p>
            <w:pPr>
              <w:spacing w:after="0"/>
              <w:rPr>
                <w:sz w:val="10"/>
                <w:szCs w:val="10"/>
                <w:color w:val="auto"/>
              </w:rPr>
            </w:pPr>
          </w:p>
        </w:tc>
        <w:tc>
          <w:tcPr>
            <w:tcW w:w="62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r>
      <w:tr>
        <w:trPr>
          <w:trHeight w:val="115"/>
        </w:trPr>
        <w:tc>
          <w:tcPr>
            <w:tcW w:w="740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47</w:t>
            </w:r>
          </w:p>
        </w:tc>
        <w:tc>
          <w:tcPr>
            <w:tcW w:w="6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r>
      <w:tr>
        <w:trPr>
          <w:trHeight w:val="115"/>
        </w:trPr>
        <w:tc>
          <w:tcPr>
            <w:tcW w:w="7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 assets at fair value</w:t>
            </w: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8,450</w:t>
            </w:r>
          </w:p>
        </w:tc>
        <w:tc>
          <w:tcPr>
            <w:tcW w:w="62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r>
      <w:tr>
        <w:trPr>
          <w:trHeight w:val="709"/>
        </w:trPr>
        <w:tc>
          <w:tcPr>
            <w:tcW w:w="7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3"/>
          </w:tcPr>
          <w:p>
            <w:pPr>
              <w:jc w:val="right"/>
              <w:ind w:right="152"/>
              <w:spacing w:after="0"/>
              <w:rPr>
                <w:sz w:val="20"/>
                <w:szCs w:val="20"/>
                <w:color w:val="auto"/>
              </w:rPr>
            </w:pPr>
            <w:r>
              <w:rPr>
                <w:rFonts w:ascii="Arial" w:cs="Arial" w:eastAsia="Arial" w:hAnsi="Arial"/>
                <w:sz w:val="10"/>
                <w:szCs w:val="10"/>
                <w:color w:val="auto"/>
              </w:rPr>
              <w:t>Honeywell International Inc.</w:t>
            </w:r>
          </w:p>
        </w:tc>
        <w:tc>
          <w:tcPr>
            <w:tcW w:w="280" w:type="dxa"/>
            <w:vAlign w:val="bottom"/>
          </w:tcPr>
          <w:p>
            <w:pPr>
              <w:jc w:val="right"/>
              <w:spacing w:after="0"/>
              <w:rPr>
                <w:sz w:val="20"/>
                <w:szCs w:val="20"/>
                <w:color w:val="auto"/>
              </w:rPr>
            </w:pPr>
            <w:r>
              <w:rPr>
                <w:rFonts w:ascii="Arial" w:cs="Arial" w:eastAsia="Arial" w:hAnsi="Arial"/>
                <w:sz w:val="12"/>
                <w:szCs w:val="12"/>
                <w:b w:val="1"/>
                <w:bCs w:val="1"/>
                <w:color w:val="D7282F"/>
              </w:rPr>
              <w:t>107</w:t>
            </w:r>
          </w:p>
        </w:tc>
      </w:tr>
      <w:tr>
        <w:trPr>
          <w:trHeight w:val="144"/>
        </w:trPr>
        <w:tc>
          <w:tcPr>
            <w:tcW w:w="74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9" w:name="page110"/>
    <w:bookmarkEnd w:id="109"/>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changes in the fair value of Level 3 assets for both U.S. and Non-U.S. plans: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6120" w:type="dxa"/>
            <w:vAlign w:val="bottom"/>
          </w:tcPr>
          <w:p>
            <w:pPr>
              <w:spacing w:after="0"/>
              <w:rPr>
                <w:sz w:val="11"/>
                <w:szCs w:val="11"/>
                <w:color w:val="auto"/>
              </w:rPr>
            </w:pPr>
          </w:p>
        </w:tc>
        <w:tc>
          <w:tcPr>
            <w:tcW w:w="320" w:type="dxa"/>
            <w:vAlign w:val="bottom"/>
            <w:tcBorders>
              <w:bottom w:val="single" w:sz="8" w:color="DC202E"/>
            </w:tcBorders>
          </w:tcPr>
          <w:p>
            <w:pPr>
              <w:spacing w:after="0"/>
              <w:rPr>
                <w:sz w:val="11"/>
                <w:szCs w:val="11"/>
                <w:color w:val="auto"/>
              </w:rPr>
            </w:pPr>
          </w:p>
        </w:tc>
        <w:tc>
          <w:tcPr>
            <w:tcW w:w="9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U.S. Plans</w:t>
            </w:r>
          </w:p>
        </w:tc>
        <w:tc>
          <w:tcPr>
            <w:tcW w:w="560" w:type="dxa"/>
            <w:vAlign w:val="bottom"/>
            <w:tcBorders>
              <w:bottom w:val="single" w:sz="8" w:color="DC202E"/>
            </w:tcBorders>
          </w:tcPr>
          <w:p>
            <w:pPr>
              <w:spacing w:after="0"/>
              <w:rPr>
                <w:sz w:val="11"/>
                <w:szCs w:val="11"/>
                <w:color w:val="auto"/>
              </w:rPr>
            </w:pPr>
          </w:p>
        </w:tc>
        <w:tc>
          <w:tcPr>
            <w:tcW w:w="220" w:type="dxa"/>
            <w:vAlign w:val="bottom"/>
            <w:tcBorders>
              <w:bottom w:val="single" w:sz="8" w:color="DC202E"/>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DC202E"/>
            </w:tcBorders>
          </w:tcPr>
          <w:p>
            <w:pPr>
              <w:spacing w:after="0"/>
              <w:rPr>
                <w:sz w:val="11"/>
                <w:szCs w:val="11"/>
                <w:color w:val="auto"/>
              </w:rPr>
            </w:pPr>
          </w:p>
        </w:tc>
        <w:tc>
          <w:tcPr>
            <w:tcW w:w="720" w:type="dxa"/>
            <w:vAlign w:val="bottom"/>
            <w:tcBorders>
              <w:bottom w:val="single" w:sz="8" w:color="DC202E"/>
            </w:tcBorders>
          </w:tcPr>
          <w:p>
            <w:pPr>
              <w:spacing w:after="0"/>
              <w:rPr>
                <w:sz w:val="11"/>
                <w:szCs w:val="11"/>
                <w:color w:val="auto"/>
              </w:rPr>
            </w:pPr>
          </w:p>
        </w:tc>
        <w:tc>
          <w:tcPr>
            <w:tcW w:w="960" w:type="dxa"/>
            <w:vAlign w:val="bottom"/>
            <w:tcBorders>
              <w:bottom w:val="single" w:sz="8" w:color="DC202E"/>
            </w:tcBorders>
            <w:gridSpan w:val="2"/>
          </w:tcPr>
          <w:p>
            <w:pPr>
              <w:jc w:val="center"/>
              <w:ind w:right="52"/>
              <w:spacing w:after="0"/>
              <w:rPr>
                <w:sz w:val="20"/>
                <w:szCs w:val="20"/>
                <w:color w:val="auto"/>
              </w:rPr>
            </w:pPr>
            <w:r>
              <w:rPr>
                <w:rFonts w:ascii="Arial" w:cs="Arial" w:eastAsia="Arial" w:hAnsi="Arial"/>
                <w:sz w:val="10"/>
                <w:szCs w:val="10"/>
                <w:b w:val="1"/>
                <w:bCs w:val="1"/>
                <w:color w:val="auto"/>
                <w:w w:val="97"/>
              </w:rPr>
              <w:t>Non-U.S. Plans</w:t>
            </w:r>
          </w:p>
        </w:tc>
        <w:tc>
          <w:tcPr>
            <w:tcW w:w="700" w:type="dxa"/>
            <w:vAlign w:val="bottom"/>
            <w:tcBorders>
              <w:bottom w:val="single" w:sz="8" w:color="DC202E"/>
            </w:tcBorders>
          </w:tcPr>
          <w:p>
            <w:pPr>
              <w:spacing w:after="0"/>
              <w:rPr>
                <w:sz w:val="11"/>
                <w:szCs w:val="11"/>
                <w:color w:val="auto"/>
              </w:rPr>
            </w:pPr>
          </w:p>
        </w:tc>
        <w:tc>
          <w:tcPr>
            <w:tcW w:w="240" w:type="dxa"/>
            <w:vAlign w:val="bottom"/>
            <w:tcBorders>
              <w:bottom w:val="single" w:sz="8" w:color="DC202E"/>
            </w:tcBorders>
          </w:tcPr>
          <w:p>
            <w:pPr>
              <w:spacing w:after="0"/>
              <w:rPr>
                <w:sz w:val="11"/>
                <w:szCs w:val="11"/>
                <w:color w:val="auto"/>
              </w:rPr>
            </w:pPr>
          </w:p>
        </w:tc>
      </w:tr>
      <w:tr>
        <w:trPr>
          <w:trHeight w:val="137"/>
        </w:trPr>
        <w:tc>
          <w:tcPr>
            <w:tcW w:w="6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center"/>
              <w:ind w:right="472"/>
              <w:spacing w:after="0"/>
              <w:rPr>
                <w:sz w:val="20"/>
                <w:szCs w:val="20"/>
                <w:color w:val="auto"/>
              </w:rPr>
            </w:pPr>
            <w:r>
              <w:rPr>
                <w:rFonts w:ascii="Arial" w:cs="Arial" w:eastAsia="Arial" w:hAnsi="Arial"/>
                <w:sz w:val="10"/>
                <w:szCs w:val="10"/>
                <w:b w:val="1"/>
                <w:bCs w:val="1"/>
                <w:color w:val="auto"/>
                <w:w w:val="91"/>
              </w:rPr>
              <w:t>Direct</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08"/>
        </w:trPr>
        <w:tc>
          <w:tcPr>
            <w:tcW w:w="6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jc w:val="center"/>
              <w:ind w:right="492"/>
              <w:spacing w:after="0" w:line="108" w:lineRule="exact"/>
              <w:rPr>
                <w:sz w:val="20"/>
                <w:szCs w:val="20"/>
                <w:color w:val="auto"/>
              </w:rPr>
            </w:pPr>
            <w:r>
              <w:rPr>
                <w:rFonts w:ascii="Arial" w:cs="Arial" w:eastAsia="Arial" w:hAnsi="Arial"/>
                <w:sz w:val="10"/>
                <w:szCs w:val="10"/>
                <w:b w:val="1"/>
                <w:bCs w:val="1"/>
                <w:color w:val="auto"/>
                <w:w w:val="95"/>
              </w:rPr>
              <w:t>Private</w:t>
            </w:r>
          </w:p>
        </w:tc>
        <w:tc>
          <w:tcPr>
            <w:tcW w:w="560" w:type="dxa"/>
            <w:vAlign w:val="bottom"/>
          </w:tcPr>
          <w:p>
            <w:pPr>
              <w:ind w:left="40"/>
              <w:spacing w:after="0" w:line="108" w:lineRule="exact"/>
              <w:rPr>
                <w:sz w:val="20"/>
                <w:szCs w:val="20"/>
                <w:color w:val="auto"/>
              </w:rPr>
            </w:pPr>
            <w:r>
              <w:rPr>
                <w:rFonts w:ascii="Arial" w:cs="Arial" w:eastAsia="Arial" w:hAnsi="Arial"/>
                <w:sz w:val="10"/>
                <w:szCs w:val="10"/>
                <w:b w:val="1"/>
                <w:bCs w:val="1"/>
                <w:color w:val="auto"/>
                <w:w w:val="92"/>
              </w:rPr>
              <w:t>Real Estate</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jc w:val="right"/>
              <w:ind w:right="332"/>
              <w:spacing w:after="0" w:line="108" w:lineRule="exact"/>
              <w:rPr>
                <w:sz w:val="20"/>
                <w:szCs w:val="20"/>
                <w:color w:val="auto"/>
              </w:rPr>
            </w:pPr>
            <w:r>
              <w:rPr>
                <w:rFonts w:ascii="Arial" w:cs="Arial" w:eastAsia="Arial" w:hAnsi="Arial"/>
                <w:sz w:val="10"/>
                <w:szCs w:val="10"/>
                <w:b w:val="1"/>
                <w:bCs w:val="1"/>
                <w:color w:val="auto"/>
                <w:w w:val="95"/>
              </w:rPr>
              <w:t>Private</w:t>
            </w:r>
          </w:p>
        </w:tc>
        <w:tc>
          <w:tcPr>
            <w:tcW w:w="700" w:type="dxa"/>
            <w:vAlign w:val="bottom"/>
          </w:tcPr>
          <w:p>
            <w:pPr>
              <w:ind w:left="180"/>
              <w:spacing w:after="0" w:line="108" w:lineRule="exact"/>
              <w:rPr>
                <w:sz w:val="20"/>
                <w:szCs w:val="20"/>
                <w:color w:val="auto"/>
              </w:rPr>
            </w:pPr>
            <w:r>
              <w:rPr>
                <w:rFonts w:ascii="Arial" w:cs="Arial" w:eastAsia="Arial" w:hAnsi="Arial"/>
                <w:sz w:val="10"/>
                <w:szCs w:val="10"/>
                <w:b w:val="1"/>
                <w:bCs w:val="1"/>
                <w:color w:val="auto"/>
                <w:w w:val="92"/>
              </w:rPr>
              <w:t>Real Estate</w:t>
            </w:r>
          </w:p>
        </w:tc>
        <w:tc>
          <w:tcPr>
            <w:tcW w:w="260" w:type="dxa"/>
            <w:vAlign w:val="bottom"/>
          </w:tcPr>
          <w:p>
            <w:pPr>
              <w:spacing w:after="0"/>
              <w:rPr>
                <w:sz w:val="9"/>
                <w:szCs w:val="9"/>
                <w:color w:val="auto"/>
              </w:rPr>
            </w:pPr>
          </w:p>
        </w:tc>
        <w:tc>
          <w:tcPr>
            <w:tcW w:w="940" w:type="dxa"/>
            <w:vAlign w:val="bottom"/>
            <w:gridSpan w:val="2"/>
          </w:tcPr>
          <w:p>
            <w:pPr>
              <w:jc w:val="right"/>
              <w:ind w:right="52"/>
              <w:spacing w:after="0" w:line="108" w:lineRule="exact"/>
              <w:rPr>
                <w:sz w:val="20"/>
                <w:szCs w:val="20"/>
                <w:color w:val="auto"/>
              </w:rPr>
            </w:pPr>
            <w:r>
              <w:rPr>
                <w:rFonts w:ascii="Arial" w:cs="Arial" w:eastAsia="Arial" w:hAnsi="Arial"/>
                <w:sz w:val="10"/>
                <w:szCs w:val="10"/>
                <w:b w:val="1"/>
                <w:bCs w:val="1"/>
                <w:color w:val="auto"/>
              </w:rPr>
              <w:t>Insurance Buy-in</w:t>
            </w:r>
          </w:p>
        </w:tc>
      </w:tr>
      <w:tr>
        <w:trPr>
          <w:trHeight w:val="131"/>
        </w:trPr>
        <w:tc>
          <w:tcPr>
            <w:tcW w:w="6120" w:type="dxa"/>
            <w:vAlign w:val="bottom"/>
            <w:tcBorders>
              <w:bottom w:val="single" w:sz="8" w:color="DC202E"/>
            </w:tcBorders>
          </w:tcPr>
          <w:p>
            <w:pPr>
              <w:spacing w:after="0"/>
              <w:rPr>
                <w:sz w:val="11"/>
                <w:szCs w:val="11"/>
                <w:color w:val="auto"/>
              </w:rPr>
            </w:pPr>
          </w:p>
        </w:tc>
        <w:tc>
          <w:tcPr>
            <w:tcW w:w="1260" w:type="dxa"/>
            <w:vAlign w:val="bottom"/>
            <w:tcBorders>
              <w:bottom w:val="single" w:sz="8" w:color="DC202E"/>
            </w:tcBorders>
            <w:gridSpan w:val="2"/>
          </w:tcPr>
          <w:p>
            <w:pPr>
              <w:jc w:val="center"/>
              <w:ind w:right="172"/>
              <w:spacing w:after="0"/>
              <w:rPr>
                <w:sz w:val="20"/>
                <w:szCs w:val="20"/>
                <w:color w:val="auto"/>
              </w:rPr>
            </w:pPr>
            <w:r>
              <w:rPr>
                <w:rFonts w:ascii="Arial" w:cs="Arial" w:eastAsia="Arial" w:hAnsi="Arial"/>
                <w:sz w:val="10"/>
                <w:szCs w:val="10"/>
                <w:b w:val="1"/>
                <w:bCs w:val="1"/>
                <w:color w:val="auto"/>
                <w:w w:val="95"/>
              </w:rPr>
              <w:t>Investments</w:t>
            </w:r>
          </w:p>
        </w:tc>
        <w:tc>
          <w:tcPr>
            <w:tcW w:w="560" w:type="dxa"/>
            <w:vAlign w:val="bottom"/>
            <w:tcBorders>
              <w:bottom w:val="single" w:sz="8" w:color="DC202E"/>
            </w:tcBorders>
          </w:tcPr>
          <w:p>
            <w:pPr>
              <w:ind w:left="60"/>
              <w:spacing w:after="0"/>
              <w:rPr>
                <w:sz w:val="20"/>
                <w:szCs w:val="20"/>
                <w:color w:val="auto"/>
              </w:rPr>
            </w:pPr>
            <w:r>
              <w:rPr>
                <w:rFonts w:ascii="Arial" w:cs="Arial" w:eastAsia="Arial" w:hAnsi="Arial"/>
                <w:sz w:val="10"/>
                <w:szCs w:val="10"/>
                <w:b w:val="1"/>
                <w:bCs w:val="1"/>
                <w:color w:val="auto"/>
                <w:w w:val="96"/>
              </w:rPr>
              <w:t>Properties</w:t>
            </w:r>
          </w:p>
        </w:tc>
        <w:tc>
          <w:tcPr>
            <w:tcW w:w="220" w:type="dxa"/>
            <w:vAlign w:val="bottom"/>
            <w:tcBorders>
              <w:bottom w:val="single" w:sz="8" w:color="DC202E"/>
            </w:tcBorders>
          </w:tcPr>
          <w:p>
            <w:pPr>
              <w:spacing w:after="0"/>
              <w:rPr>
                <w:sz w:val="11"/>
                <w:szCs w:val="11"/>
                <w:color w:val="auto"/>
              </w:rPr>
            </w:pPr>
          </w:p>
        </w:tc>
        <w:tc>
          <w:tcPr>
            <w:tcW w:w="220" w:type="dxa"/>
            <w:vAlign w:val="bottom"/>
            <w:tcBorders>
              <w:bottom w:val="single" w:sz="8" w:color="DC202E"/>
            </w:tcBorders>
          </w:tcPr>
          <w:p>
            <w:pPr>
              <w:spacing w:after="0"/>
              <w:rPr>
                <w:sz w:val="11"/>
                <w:szCs w:val="11"/>
                <w:color w:val="auto"/>
              </w:rPr>
            </w:pPr>
          </w:p>
        </w:tc>
        <w:tc>
          <w:tcPr>
            <w:tcW w:w="300" w:type="dxa"/>
            <w:vAlign w:val="bottom"/>
            <w:tcBorders>
              <w:bottom w:val="single" w:sz="8" w:color="DC202E"/>
            </w:tcBorders>
          </w:tcPr>
          <w:p>
            <w:pPr>
              <w:spacing w:after="0"/>
              <w:rPr>
                <w:sz w:val="11"/>
                <w:szCs w:val="11"/>
                <w:color w:val="auto"/>
              </w:rPr>
            </w:pPr>
          </w:p>
        </w:tc>
        <w:tc>
          <w:tcPr>
            <w:tcW w:w="72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w w:val="99"/>
              </w:rPr>
              <w:t>Funds</w:t>
            </w:r>
          </w:p>
        </w:tc>
        <w:tc>
          <w:tcPr>
            <w:tcW w:w="700" w:type="dxa"/>
            <w:vAlign w:val="bottom"/>
            <w:tcBorders>
              <w:bottom w:val="single" w:sz="8" w:color="DC202E"/>
            </w:tcBorders>
          </w:tcPr>
          <w:p>
            <w:pPr>
              <w:jc w:val="center"/>
              <w:ind w:left="112"/>
              <w:spacing w:after="0"/>
              <w:rPr>
                <w:sz w:val="20"/>
                <w:szCs w:val="20"/>
                <w:color w:val="auto"/>
              </w:rPr>
            </w:pPr>
            <w:r>
              <w:rPr>
                <w:rFonts w:ascii="Arial" w:cs="Arial" w:eastAsia="Arial" w:hAnsi="Arial"/>
                <w:sz w:val="10"/>
                <w:szCs w:val="10"/>
                <w:b w:val="1"/>
                <w:bCs w:val="1"/>
                <w:color w:val="auto"/>
                <w:w w:val="99"/>
              </w:rPr>
              <w:t>Funds</w:t>
            </w:r>
          </w:p>
        </w:tc>
        <w:tc>
          <w:tcPr>
            <w:tcW w:w="260" w:type="dxa"/>
            <w:vAlign w:val="bottom"/>
            <w:tcBorders>
              <w:bottom w:val="single" w:sz="8" w:color="DC202E"/>
            </w:tcBorders>
          </w:tcPr>
          <w:p>
            <w:pPr>
              <w:spacing w:after="0"/>
              <w:rPr>
                <w:sz w:val="11"/>
                <w:szCs w:val="11"/>
                <w:color w:val="auto"/>
              </w:rPr>
            </w:pPr>
          </w:p>
        </w:tc>
        <w:tc>
          <w:tcPr>
            <w:tcW w:w="7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Contracts</w:t>
            </w:r>
          </w:p>
        </w:tc>
        <w:tc>
          <w:tcPr>
            <w:tcW w:w="240" w:type="dxa"/>
            <w:vAlign w:val="bottom"/>
            <w:tcBorders>
              <w:bottom w:val="single" w:sz="8" w:color="DC202E"/>
            </w:tcBorders>
          </w:tcPr>
          <w:p>
            <w:pPr>
              <w:spacing w:after="0"/>
              <w:rPr>
                <w:sz w:val="11"/>
                <w:szCs w:val="11"/>
                <w:color w:val="auto"/>
              </w:rPr>
            </w:pPr>
          </w:p>
        </w:tc>
      </w:tr>
      <w:tr>
        <w:trPr>
          <w:trHeight w:val="119"/>
        </w:trPr>
        <w:tc>
          <w:tcPr>
            <w:tcW w:w="61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December 31, 2019</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94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rPr>
              <w:t>950</w:t>
            </w:r>
          </w:p>
        </w:tc>
        <w:tc>
          <w:tcPr>
            <w:tcW w:w="560" w:type="dxa"/>
            <w:vAlign w:val="bottom"/>
            <w:tcBorders>
              <w:bottom w:val="single" w:sz="8" w:color="DC202E"/>
            </w:tcBorders>
          </w:tcPr>
          <w:p>
            <w:pPr>
              <w:ind w:left="40"/>
              <w:spacing w:after="0"/>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5"/>
              </w:rPr>
              <w:t>619</w:t>
            </w:r>
          </w:p>
        </w:tc>
        <w:tc>
          <w:tcPr>
            <w:tcW w:w="2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34</w:t>
            </w:r>
          </w:p>
        </w:tc>
        <w:tc>
          <w:tcPr>
            <w:tcW w:w="700" w:type="dxa"/>
            <w:vAlign w:val="bottom"/>
            <w:tcBorders>
              <w:bottom w:val="single" w:sz="8" w:color="DC202E"/>
            </w:tcBorders>
          </w:tcPr>
          <w:p>
            <w:pPr>
              <w:ind w:left="180"/>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w w:val="95"/>
              </w:rPr>
              <w:t>150</w:t>
            </w:r>
          </w:p>
        </w:tc>
        <w:tc>
          <w:tcPr>
            <w:tcW w:w="70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15"/>
        </w:trPr>
        <w:tc>
          <w:tcPr>
            <w:tcW w:w="61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Actual return on plan assets:</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Relating to assets still held at year-end</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100</w:t>
            </w:r>
          </w:p>
        </w:tc>
        <w:tc>
          <w:tcPr>
            <w:tcW w:w="5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w:t>
            </w:r>
          </w:p>
        </w:tc>
        <w:tc>
          <w:tcPr>
            <w:tcW w:w="2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(5)</w:t>
            </w: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(3)</w:t>
            </w: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Relating to assets sold during the year</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53</w:t>
            </w:r>
          </w:p>
        </w:tc>
        <w:tc>
          <w:tcPr>
            <w:tcW w:w="56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Purchases</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221</w:t>
            </w:r>
          </w:p>
        </w:tc>
        <w:tc>
          <w:tcPr>
            <w:tcW w:w="5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59</w:t>
            </w:r>
          </w:p>
        </w:tc>
        <w:tc>
          <w:tcPr>
            <w:tcW w:w="2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767</w:t>
            </w:r>
          </w:p>
        </w:tc>
      </w:tr>
      <w:tr>
        <w:trPr>
          <w:trHeight w:val="115"/>
        </w:trPr>
        <w:tc>
          <w:tcPr>
            <w:tcW w:w="61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Sales and settlements</w:t>
            </w:r>
          </w:p>
        </w:tc>
        <w:tc>
          <w:tcPr>
            <w:tcW w:w="320" w:type="dxa"/>
            <w:vAlign w:val="bottom"/>
            <w:tcBorders>
              <w:bottom w:val="single" w:sz="8" w:color="DC202E"/>
            </w:tcBorders>
          </w:tcPr>
          <w:p>
            <w:pPr>
              <w:spacing w:after="0"/>
              <w:rPr>
                <w:sz w:val="10"/>
                <w:szCs w:val="10"/>
                <w:color w:val="auto"/>
              </w:rPr>
            </w:pPr>
          </w:p>
        </w:tc>
        <w:tc>
          <w:tcPr>
            <w:tcW w:w="94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(104)</w:t>
            </w:r>
          </w:p>
        </w:tc>
        <w:tc>
          <w:tcPr>
            <w:tcW w:w="5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(23)</w:t>
            </w:r>
          </w:p>
        </w:tc>
        <w:tc>
          <w:tcPr>
            <w:tcW w:w="2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2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December 31, 2020</w:t>
            </w:r>
          </w:p>
        </w:tc>
        <w:tc>
          <w:tcPr>
            <w:tcW w:w="320" w:type="dxa"/>
            <w:vAlign w:val="bottom"/>
            <w:tcBorders>
              <w:bottom w:val="single" w:sz="8" w:color="DC202E"/>
            </w:tcBorders>
          </w:tcPr>
          <w:p>
            <w:pPr>
              <w:spacing w:after="0"/>
              <w:rPr>
                <w:sz w:val="10"/>
                <w:szCs w:val="10"/>
                <w:color w:val="auto"/>
              </w:rPr>
            </w:pPr>
          </w:p>
        </w:tc>
        <w:tc>
          <w:tcPr>
            <w:tcW w:w="94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rPr>
              <w:t>1,220</w:t>
            </w:r>
          </w:p>
        </w:tc>
        <w:tc>
          <w:tcPr>
            <w:tcW w:w="5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5"/>
              </w:rPr>
              <w:t>651</w:t>
            </w:r>
          </w:p>
        </w:tc>
        <w:tc>
          <w:tcPr>
            <w:tcW w:w="2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2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29</w:t>
            </w:r>
          </w:p>
        </w:tc>
        <w:tc>
          <w:tcPr>
            <w:tcW w:w="70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w w:val="95"/>
              </w:rPr>
              <w:t>147</w:t>
            </w:r>
          </w:p>
        </w:tc>
        <w:tc>
          <w:tcPr>
            <w:tcW w:w="7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767</w:t>
            </w:r>
          </w:p>
        </w:tc>
      </w:tr>
      <w:tr>
        <w:trPr>
          <w:trHeight w:val="115"/>
        </w:trPr>
        <w:tc>
          <w:tcPr>
            <w:tcW w:w="61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Actual return on plan assets:</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spacing w:after="0"/>
              <w:rPr>
                <w:sz w:val="10"/>
                <w:szCs w:val="10"/>
                <w:color w:val="auto"/>
              </w:rPr>
            </w:pPr>
          </w:p>
        </w:tc>
        <w:tc>
          <w:tcPr>
            <w:tcW w:w="5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Relating to assets still held at year-end</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11</w:t>
            </w:r>
          </w:p>
        </w:tc>
        <w:tc>
          <w:tcPr>
            <w:tcW w:w="5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96</w:t>
            </w:r>
          </w:p>
        </w:tc>
        <w:tc>
          <w:tcPr>
            <w:tcW w:w="2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4</w:t>
            </w: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23</w:t>
            </w: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(76)</w:t>
            </w:r>
          </w:p>
        </w:tc>
      </w:tr>
      <w:tr>
        <w:trPr>
          <w:trHeight w:val="115"/>
        </w:trPr>
        <w:tc>
          <w:tcPr>
            <w:tcW w:w="612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Relating to assets sold during the year</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174</w:t>
            </w:r>
          </w:p>
        </w:tc>
        <w:tc>
          <w:tcPr>
            <w:tcW w:w="56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4</w:t>
            </w: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Purchases</w:t>
            </w:r>
          </w:p>
        </w:tc>
        <w:tc>
          <w:tcPr>
            <w:tcW w:w="320" w:type="dxa"/>
            <w:vAlign w:val="bottom"/>
            <w:tcBorders>
              <w:bottom w:val="single" w:sz="8" w:color="939598"/>
            </w:tcBorders>
          </w:tcPr>
          <w:p>
            <w:pPr>
              <w:spacing w:after="0"/>
              <w:rPr>
                <w:sz w:val="10"/>
                <w:szCs w:val="10"/>
                <w:color w:val="auto"/>
              </w:rPr>
            </w:pPr>
          </w:p>
        </w:tc>
        <w:tc>
          <w:tcPr>
            <w:tcW w:w="940" w:type="dxa"/>
            <w:vAlign w:val="bottom"/>
            <w:tcBorders>
              <w:bottom w:val="single" w:sz="8" w:color="939598"/>
            </w:tcBorders>
          </w:tcPr>
          <w:p>
            <w:pPr>
              <w:jc w:val="right"/>
              <w:ind w:right="192"/>
              <w:spacing w:after="0"/>
              <w:rPr>
                <w:sz w:val="20"/>
                <w:szCs w:val="20"/>
                <w:color w:val="auto"/>
              </w:rPr>
            </w:pPr>
            <w:r>
              <w:rPr>
                <w:rFonts w:ascii="Arial" w:cs="Arial" w:eastAsia="Arial" w:hAnsi="Arial"/>
                <w:sz w:val="10"/>
                <w:szCs w:val="10"/>
                <w:color w:val="auto"/>
              </w:rPr>
              <w:t>194</w:t>
            </w:r>
          </w:p>
        </w:tc>
        <w:tc>
          <w:tcPr>
            <w:tcW w:w="56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99</w:t>
            </w:r>
          </w:p>
        </w:tc>
        <w:tc>
          <w:tcPr>
            <w:tcW w:w="22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Sales and settlements</w:t>
            </w:r>
          </w:p>
        </w:tc>
        <w:tc>
          <w:tcPr>
            <w:tcW w:w="320" w:type="dxa"/>
            <w:vAlign w:val="bottom"/>
            <w:tcBorders>
              <w:bottom w:val="single" w:sz="8" w:color="DC202E"/>
            </w:tcBorders>
          </w:tcPr>
          <w:p>
            <w:pPr>
              <w:spacing w:after="0"/>
              <w:rPr>
                <w:sz w:val="10"/>
                <w:szCs w:val="10"/>
                <w:color w:val="auto"/>
              </w:rPr>
            </w:pPr>
          </w:p>
        </w:tc>
        <w:tc>
          <w:tcPr>
            <w:tcW w:w="94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(263)</w:t>
            </w:r>
          </w:p>
        </w:tc>
        <w:tc>
          <w:tcPr>
            <w:tcW w:w="56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w:t>
            </w:r>
          </w:p>
        </w:tc>
        <w:tc>
          <w:tcPr>
            <w:tcW w:w="2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2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color w:val="auto"/>
              </w:rPr>
              <w:t>(11)</w:t>
            </w:r>
          </w:p>
        </w:tc>
        <w:tc>
          <w:tcPr>
            <w:tcW w:w="70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61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940" w:type="dxa"/>
            <w:vAlign w:val="bottom"/>
            <w:tcBorders>
              <w:bottom w:val="single" w:sz="8" w:color="DC202E"/>
            </w:tcBorders>
          </w:tcPr>
          <w:p>
            <w:pPr>
              <w:jc w:val="right"/>
              <w:ind w:right="192"/>
              <w:spacing w:after="0"/>
              <w:rPr>
                <w:sz w:val="20"/>
                <w:szCs w:val="20"/>
                <w:color w:val="auto"/>
              </w:rPr>
            </w:pPr>
            <w:r>
              <w:rPr>
                <w:rFonts w:ascii="Arial" w:cs="Arial" w:eastAsia="Arial" w:hAnsi="Arial"/>
                <w:sz w:val="10"/>
                <w:szCs w:val="10"/>
                <w:b w:val="1"/>
                <w:bCs w:val="1"/>
                <w:color w:val="auto"/>
              </w:rPr>
              <w:t>1,336</w:t>
            </w:r>
          </w:p>
        </w:tc>
        <w:tc>
          <w:tcPr>
            <w:tcW w:w="560" w:type="dxa"/>
            <w:vAlign w:val="bottom"/>
            <w:tcBorders>
              <w:bottom w:val="single" w:sz="8" w:color="DC202E"/>
            </w:tcBorders>
          </w:tcPr>
          <w:p>
            <w:pPr>
              <w:ind w:left="40"/>
              <w:spacing w:after="0"/>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w w:val="95"/>
              </w:rPr>
              <w:t>843</w:t>
            </w:r>
          </w:p>
        </w:tc>
        <w:tc>
          <w:tcPr>
            <w:tcW w:w="22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52"/>
              <w:spacing w:after="0"/>
              <w:rPr>
                <w:sz w:val="20"/>
                <w:szCs w:val="20"/>
                <w:color w:val="auto"/>
              </w:rPr>
            </w:pPr>
            <w:r>
              <w:rPr>
                <w:rFonts w:ascii="Arial" w:cs="Arial" w:eastAsia="Arial" w:hAnsi="Arial"/>
                <w:sz w:val="10"/>
                <w:szCs w:val="10"/>
                <w:b w:val="1"/>
                <w:bCs w:val="1"/>
                <w:color w:val="auto"/>
              </w:rPr>
              <w:t>33</w:t>
            </w:r>
          </w:p>
        </w:tc>
        <w:tc>
          <w:tcPr>
            <w:tcW w:w="700" w:type="dxa"/>
            <w:vAlign w:val="bottom"/>
            <w:tcBorders>
              <w:bottom w:val="single" w:sz="8" w:color="DC202E"/>
            </w:tcBorders>
          </w:tcPr>
          <w:p>
            <w:pPr>
              <w:ind w:left="180"/>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w w:val="95"/>
              </w:rPr>
              <w:t>163</w:t>
            </w:r>
          </w:p>
        </w:tc>
        <w:tc>
          <w:tcPr>
            <w:tcW w:w="70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691</w:t>
            </w:r>
          </w:p>
        </w:tc>
      </w:tr>
    </w:tbl>
    <w:p>
      <w:pPr>
        <w:spacing w:after="0" w:line="136"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Company enters into futures contracts to gain exposure to certain markets. Sufficient cash or cash equivalents are held by the Company's pension plans to cover the notional value of the futures contracts. At December 31, 2021 and 2020, the Company's U.S. plans had contracts with notional amounts of $4,415 million and $3,673 million. At December 31, 2021 and 2020, the Company's non-U.S. plans had contracts with notional amounts of $311 million and $564 million, respectively. In both the Company's U.S. and non-U.S. pension plans, the notional derivative exposure is related to outstanding equity and fixed income futures contracts.</w:t>
      </w:r>
    </w:p>
    <w:p>
      <w:pPr>
        <w:spacing w:after="0" w:line="67" w:lineRule="exact"/>
        <w:rPr>
          <w:sz w:val="20"/>
          <w:szCs w:val="20"/>
          <w:color w:val="auto"/>
        </w:rPr>
      </w:pPr>
    </w:p>
    <w:p>
      <w:pPr>
        <w:jc w:val="both"/>
        <w:ind w:left="8"/>
        <w:spacing w:after="0"/>
        <w:rPr>
          <w:sz w:val="20"/>
          <w:szCs w:val="20"/>
          <w:color w:val="auto"/>
        </w:rPr>
      </w:pPr>
      <w:r>
        <w:rPr>
          <w:rFonts w:ascii="Arial" w:cs="Arial" w:eastAsia="Arial" w:hAnsi="Arial"/>
          <w:sz w:val="11"/>
          <w:szCs w:val="11"/>
          <w:color w:val="auto"/>
        </w:rPr>
        <w:t>Common stocks, preferred stocks, real estate investment trusts, and short-term investments are valued at the closing price reported in the active market in which the individual securities are traded. Corporate bonds, mortgages/asset-backed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 The insurance buy-in contracts represent policies held by the Honeywell UK Pension Scheme, whereby the cost of providing pension benefits to plan participants is funded by the policies. The cash flows from the policies are intended to match the pension benefits. The fair value of these policies is based on an estimate of the policies' exit price.</w:t>
      </w:r>
    </w:p>
    <w:p>
      <w:pPr>
        <w:spacing w:after="0" w:line="69" w:lineRule="exact"/>
        <w:rPr>
          <w:sz w:val="20"/>
          <w:szCs w:val="20"/>
          <w:color w:val="auto"/>
        </w:rPr>
      </w:pPr>
    </w:p>
    <w:p>
      <w:pPr>
        <w:jc w:val="both"/>
        <w:ind w:left="8"/>
        <w:spacing w:after="0" w:line="241" w:lineRule="auto"/>
        <w:rPr>
          <w:sz w:val="20"/>
          <w:szCs w:val="20"/>
          <w:color w:val="auto"/>
        </w:rPr>
      </w:pPr>
      <w:r>
        <w:rPr>
          <w:rFonts w:ascii="Arial" w:cs="Arial" w:eastAsia="Arial" w:hAnsi="Arial"/>
          <w:sz w:val="11"/>
          <w:szCs w:val="11"/>
          <w:color w:val="auto"/>
        </w:rPr>
        <w:t>The Company's funding policy for qualified defined benefit pension plans is to contribute amounts at least sufficient to satisfy regulatory funding standards. In 2021, 2020, and 2019, the Company was not required to make contributions to the U.S. pension plans and no contributions were made. The Company is not required to make any contributions to the U.S. pension plans in 2022. In 2021, contributions of $94 million were made to the non-U.S. pension plans to satisfy regulatory funding requirements. In 2022, the Company expects to make contributions of cash and/or marketable securities of approximately $11 million to the non-U.S. pension plans to satisfy regulatory funding standards. Contributions for both the U.S. and non-U.S. pension plans do not reflect benefits paid directly from Company assets.</w:t>
      </w:r>
    </w:p>
    <w:p>
      <w:pPr>
        <w:spacing w:after="0" w:line="200" w:lineRule="exact"/>
        <w:rPr>
          <w:sz w:val="20"/>
          <w:szCs w:val="20"/>
          <w:color w:val="auto"/>
        </w:rPr>
      </w:pPr>
    </w:p>
    <w:p>
      <w:pPr>
        <w:spacing w:after="0" w:line="315" w:lineRule="exact"/>
        <w:rPr>
          <w:sz w:val="20"/>
          <w:szCs w:val="20"/>
          <w:color w:val="auto"/>
        </w:rPr>
      </w:pPr>
    </w:p>
    <w:p>
      <w:pPr>
        <w:ind w:left="528" w:hanging="528"/>
        <w:spacing w:after="0"/>
        <w:tabs>
          <w:tab w:leader="none" w:pos="528" w:val="left"/>
        </w:tabs>
        <w:numPr>
          <w:ilvl w:val="0"/>
          <w:numId w:val="10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0" w:name="page111"/>
    <w:bookmarkEnd w:id="110"/>
    <w:p>
      <w:pPr>
        <w:jc w:val="right"/>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Benefit payments, including amounts to be paid from Company assets, and reflecting expected future service, as appropriate, are expected to be paid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tcBorders>
              <w:bottom w:val="single" w:sz="8" w:color="DC202E"/>
            </w:tcBorders>
          </w:tcPr>
          <w:p>
            <w:pPr>
              <w:spacing w:after="0"/>
              <w:rPr>
                <w:sz w:val="10"/>
                <w:szCs w:val="10"/>
                <w:color w:val="auto"/>
              </w:rPr>
            </w:pPr>
          </w:p>
        </w:tc>
        <w:tc>
          <w:tcPr>
            <w:tcW w:w="49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U.S. Plans</w:t>
            </w:r>
          </w:p>
        </w:tc>
        <w:tc>
          <w:tcPr>
            <w:tcW w:w="28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28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Non-U.S. Plans</w:t>
            </w:r>
          </w:p>
        </w:tc>
      </w:tr>
      <w:tr>
        <w:trPr>
          <w:trHeight w:val="115"/>
        </w:trPr>
        <w:tc>
          <w:tcPr>
            <w:tcW w:w="4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2022</w:t>
            </w:r>
          </w:p>
        </w:tc>
        <w:tc>
          <w:tcPr>
            <w:tcW w:w="4900" w:type="dxa"/>
            <w:vAlign w:val="bottom"/>
            <w:tcBorders>
              <w:bottom w:val="single" w:sz="8" w:color="939598"/>
            </w:tcBorders>
          </w:tcPr>
          <w:p>
            <w:pPr>
              <w:jc w:val="right"/>
              <w:ind w:right="67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w w:val="95"/>
              </w:rPr>
              <w:t>1,135</w:t>
            </w:r>
          </w:p>
        </w:tc>
        <w:tc>
          <w:tcPr>
            <w:tcW w:w="26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261</w:t>
            </w:r>
          </w:p>
        </w:tc>
      </w:tr>
      <w:tr>
        <w:trPr>
          <w:trHeight w:val="115"/>
        </w:trPr>
        <w:tc>
          <w:tcPr>
            <w:tcW w:w="4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2023</w:t>
            </w:r>
          </w:p>
        </w:tc>
        <w:tc>
          <w:tcPr>
            <w:tcW w:w="49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w w:val="95"/>
              </w:rPr>
              <w:t>1,124</w:t>
            </w:r>
          </w:p>
        </w:tc>
        <w:tc>
          <w:tcPr>
            <w:tcW w:w="26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263</w:t>
            </w:r>
          </w:p>
        </w:tc>
      </w:tr>
      <w:tr>
        <w:trPr>
          <w:trHeight w:val="115"/>
        </w:trPr>
        <w:tc>
          <w:tcPr>
            <w:tcW w:w="4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2024</w:t>
            </w:r>
          </w:p>
        </w:tc>
        <w:tc>
          <w:tcPr>
            <w:tcW w:w="49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w w:val="95"/>
              </w:rPr>
              <w:t>1,115</w:t>
            </w:r>
          </w:p>
        </w:tc>
        <w:tc>
          <w:tcPr>
            <w:tcW w:w="26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268</w:t>
            </w:r>
          </w:p>
        </w:tc>
      </w:tr>
      <w:tr>
        <w:trPr>
          <w:trHeight w:val="115"/>
        </w:trPr>
        <w:tc>
          <w:tcPr>
            <w:tcW w:w="4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2025</w:t>
            </w:r>
          </w:p>
        </w:tc>
        <w:tc>
          <w:tcPr>
            <w:tcW w:w="49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w w:val="95"/>
              </w:rPr>
              <w:t>1,107</w:t>
            </w:r>
          </w:p>
        </w:tc>
        <w:tc>
          <w:tcPr>
            <w:tcW w:w="26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275</w:t>
            </w:r>
          </w:p>
        </w:tc>
      </w:tr>
      <w:tr>
        <w:trPr>
          <w:trHeight w:val="115"/>
        </w:trPr>
        <w:tc>
          <w:tcPr>
            <w:tcW w:w="45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2026</w:t>
            </w:r>
          </w:p>
        </w:tc>
        <w:tc>
          <w:tcPr>
            <w:tcW w:w="49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w w:val="95"/>
              </w:rPr>
              <w:t>1,097</w:t>
            </w:r>
          </w:p>
        </w:tc>
        <w:tc>
          <w:tcPr>
            <w:tcW w:w="260" w:type="dxa"/>
            <w:vAlign w:val="bottom"/>
            <w:tcBorders>
              <w:bottom w:val="single" w:sz="8" w:color="939598"/>
            </w:tcBorders>
          </w:tcPr>
          <w:p>
            <w:pPr>
              <w:spacing w:after="0"/>
              <w:rPr>
                <w:sz w:val="10"/>
                <w:szCs w:val="10"/>
                <w:color w:val="auto"/>
              </w:rPr>
            </w:pPr>
          </w:p>
        </w:tc>
        <w:tc>
          <w:tcPr>
            <w:tcW w:w="12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284</w:t>
            </w:r>
          </w:p>
        </w:tc>
      </w:tr>
      <w:tr>
        <w:trPr>
          <w:trHeight w:val="115"/>
        </w:trPr>
        <w:tc>
          <w:tcPr>
            <w:tcW w:w="45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2027-2031</w:t>
            </w:r>
          </w:p>
        </w:tc>
        <w:tc>
          <w:tcPr>
            <w:tcW w:w="49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w w:val="95"/>
              </w:rPr>
              <w:t>5,152</w:t>
            </w:r>
          </w:p>
        </w:tc>
        <w:tc>
          <w:tcPr>
            <w:tcW w:w="260" w:type="dxa"/>
            <w:vAlign w:val="bottom"/>
            <w:tcBorders>
              <w:bottom w:val="single" w:sz="8" w:color="DC202E"/>
            </w:tcBorders>
          </w:tcPr>
          <w:p>
            <w:pPr>
              <w:spacing w:after="0"/>
              <w:rPr>
                <w:sz w:val="10"/>
                <w:szCs w:val="10"/>
                <w:color w:val="auto"/>
              </w:rPr>
            </w:pPr>
          </w:p>
        </w:tc>
        <w:tc>
          <w:tcPr>
            <w:tcW w:w="1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1,455</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POSTRETIREMENT BENEFITS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180" w:type="dxa"/>
            <w:vAlign w:val="bottom"/>
          </w:tcPr>
          <w:p>
            <w:pPr>
              <w:spacing w:after="0"/>
              <w:rPr>
                <w:sz w:val="10"/>
                <w:szCs w:val="10"/>
                <w:color w:val="auto"/>
              </w:rPr>
            </w:pPr>
          </w:p>
        </w:tc>
        <w:tc>
          <w:tcPr>
            <w:tcW w:w="68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Borders>
              <w:bottom w:val="single" w:sz="8" w:color="DC202E"/>
            </w:tcBorders>
          </w:tcPr>
          <w:p>
            <w:pPr>
              <w:spacing w:after="0"/>
              <w:rPr>
                <w:sz w:val="10"/>
                <w:szCs w:val="10"/>
                <w:color w:val="auto"/>
              </w:rPr>
            </w:pPr>
          </w:p>
        </w:tc>
      </w:tr>
      <w:tr>
        <w:trPr>
          <w:trHeight w:val="151"/>
        </w:trPr>
        <w:tc>
          <w:tcPr>
            <w:tcW w:w="9860" w:type="dxa"/>
            <w:vAlign w:val="bottom"/>
            <w:tcBorders>
              <w:bottom w:val="single" w:sz="8" w:color="DC202E"/>
            </w:tcBorders>
            <w:gridSpan w:val="2"/>
          </w:tcPr>
          <w:p>
            <w:pPr>
              <w:ind w:left="9600"/>
              <w:spacing w:after="0"/>
              <w:rPr>
                <w:sz w:val="20"/>
                <w:szCs w:val="20"/>
                <w:color w:val="auto"/>
              </w:rPr>
            </w:pPr>
            <w:r>
              <w:rPr>
                <w:rFonts w:ascii="Arial" w:cs="Arial" w:eastAsia="Arial" w:hAnsi="Arial"/>
                <w:sz w:val="10"/>
                <w:szCs w:val="10"/>
                <w:b w:val="1"/>
                <w:bCs w:val="1"/>
                <w:color w:val="auto"/>
              </w:rPr>
              <w:t>2021</w:t>
            </w:r>
          </w:p>
        </w:tc>
        <w:tc>
          <w:tcPr>
            <w:tcW w:w="74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15"/>
        </w:trPr>
        <w:tc>
          <w:tcPr>
            <w:tcW w:w="986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Assumed health care cost trend rate:</w:t>
            </w:r>
          </w:p>
        </w:tc>
        <w:tc>
          <w:tcPr>
            <w:tcW w:w="74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r>
      <w:tr>
        <w:trPr>
          <w:trHeight w:val="115"/>
        </w:trPr>
        <w:tc>
          <w:tcPr>
            <w:tcW w:w="98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Health care cost trend rate assumed for next year</w:t>
            </w:r>
          </w:p>
        </w:tc>
        <w:tc>
          <w:tcPr>
            <w:tcW w:w="74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6.50 %</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7.00 %</w:t>
            </w:r>
          </w:p>
        </w:tc>
      </w:tr>
      <w:tr>
        <w:trPr>
          <w:trHeight w:val="115"/>
        </w:trPr>
        <w:tc>
          <w:tcPr>
            <w:tcW w:w="9860" w:type="dxa"/>
            <w:vAlign w:val="bottom"/>
            <w:tcBorders>
              <w:bottom w:val="single" w:sz="8" w:color="939598"/>
            </w:tcBorders>
            <w:gridSpan w:val="2"/>
          </w:tcPr>
          <w:p>
            <w:pPr>
              <w:ind w:left="220"/>
              <w:spacing w:after="0"/>
              <w:rPr>
                <w:sz w:val="20"/>
                <w:szCs w:val="20"/>
                <w:color w:val="auto"/>
              </w:rPr>
            </w:pPr>
            <w:r>
              <w:rPr>
                <w:rFonts w:ascii="Arial" w:cs="Arial" w:eastAsia="Arial" w:hAnsi="Arial"/>
                <w:sz w:val="10"/>
                <w:szCs w:val="10"/>
                <w:color w:val="auto"/>
              </w:rPr>
              <w:t>Rate that the cost trend rate gradually declines to</w:t>
            </w:r>
          </w:p>
        </w:tc>
        <w:tc>
          <w:tcPr>
            <w:tcW w:w="74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5.00 %</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5.00 %</w:t>
            </w:r>
          </w:p>
        </w:tc>
      </w:tr>
      <w:tr>
        <w:trPr>
          <w:trHeight w:val="115"/>
        </w:trPr>
        <w:tc>
          <w:tcPr>
            <w:tcW w:w="9860" w:type="dxa"/>
            <w:vAlign w:val="bottom"/>
            <w:tcBorders>
              <w:bottom w:val="single" w:sz="8" w:color="DC202E"/>
            </w:tcBorders>
            <w:gridSpan w:val="2"/>
          </w:tcPr>
          <w:p>
            <w:pPr>
              <w:ind w:left="220"/>
              <w:spacing w:after="0"/>
              <w:rPr>
                <w:sz w:val="20"/>
                <w:szCs w:val="20"/>
                <w:color w:val="auto"/>
              </w:rPr>
            </w:pPr>
            <w:r>
              <w:rPr>
                <w:rFonts w:ascii="Arial" w:cs="Arial" w:eastAsia="Arial" w:hAnsi="Arial"/>
                <w:sz w:val="10"/>
                <w:szCs w:val="10"/>
                <w:color w:val="auto"/>
              </w:rPr>
              <w:t>Year that the rate reaches the rate it is assumed to remain at</w:t>
            </w:r>
          </w:p>
        </w:tc>
        <w:tc>
          <w:tcPr>
            <w:tcW w:w="740" w:type="dxa"/>
            <w:vAlign w:val="bottom"/>
            <w:tcBorders>
              <w:bottom w:val="single" w:sz="8" w:color="DC202E"/>
            </w:tcBorders>
          </w:tcPr>
          <w:p>
            <w:pPr>
              <w:jc w:val="right"/>
              <w:ind w:right="452"/>
              <w:spacing w:after="0"/>
              <w:rPr>
                <w:sz w:val="20"/>
                <w:szCs w:val="20"/>
                <w:color w:val="auto"/>
              </w:rPr>
            </w:pPr>
            <w:r>
              <w:rPr>
                <w:rFonts w:ascii="Arial" w:cs="Arial" w:eastAsia="Arial" w:hAnsi="Arial"/>
                <w:sz w:val="10"/>
                <w:szCs w:val="10"/>
                <w:color w:val="auto"/>
                <w:w w:val="98"/>
              </w:rPr>
              <w:t>2029</w:t>
            </w:r>
          </w:p>
        </w:tc>
        <w:tc>
          <w:tcPr>
            <w:tcW w:w="70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2029</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Benefit payments reflecting expected future service, as appropriate, are expected to be paid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3580" w:type="dxa"/>
            <w:vAlign w:val="bottom"/>
          </w:tcPr>
          <w:p>
            <w:pPr>
              <w:ind w:left="2640"/>
              <w:spacing w:after="0"/>
              <w:rPr>
                <w:sz w:val="20"/>
                <w:szCs w:val="20"/>
                <w:color w:val="auto"/>
              </w:rPr>
            </w:pPr>
            <w:r>
              <w:rPr>
                <w:rFonts w:ascii="Arial" w:cs="Arial" w:eastAsia="Arial" w:hAnsi="Arial"/>
                <w:sz w:val="10"/>
                <w:szCs w:val="10"/>
                <w:b w:val="1"/>
                <w:bCs w:val="1"/>
                <w:color w:val="auto"/>
              </w:rPr>
              <w:t>Without Impact of</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jc w:val="right"/>
              <w:ind w:right="692"/>
              <w:spacing w:after="0"/>
              <w:rPr>
                <w:sz w:val="20"/>
                <w:szCs w:val="20"/>
                <w:color w:val="auto"/>
              </w:rPr>
            </w:pPr>
            <w:r>
              <w:rPr>
                <w:rFonts w:ascii="Arial" w:cs="Arial" w:eastAsia="Arial" w:hAnsi="Arial"/>
                <w:sz w:val="10"/>
                <w:szCs w:val="10"/>
                <w:b w:val="1"/>
                <w:bCs w:val="1"/>
                <w:color w:val="auto"/>
              </w:rPr>
              <w:t>Net of</w:t>
            </w:r>
          </w:p>
        </w:tc>
      </w:tr>
      <w:tr>
        <w:trPr>
          <w:trHeight w:val="117"/>
        </w:trPr>
        <w:tc>
          <w:tcPr>
            <w:tcW w:w="5700" w:type="dxa"/>
            <w:vAlign w:val="bottom"/>
            <w:tcBorders>
              <w:bottom w:val="single" w:sz="8" w:color="DC202E"/>
            </w:tcBorders>
          </w:tcPr>
          <w:p>
            <w:pPr>
              <w:spacing w:after="0"/>
              <w:rPr>
                <w:sz w:val="10"/>
                <w:szCs w:val="10"/>
                <w:color w:val="auto"/>
              </w:rPr>
            </w:pPr>
          </w:p>
        </w:tc>
        <w:tc>
          <w:tcPr>
            <w:tcW w:w="3580" w:type="dxa"/>
            <w:vAlign w:val="bottom"/>
            <w:tcBorders>
              <w:bottom w:val="single" w:sz="8" w:color="DC202E"/>
            </w:tcBorders>
          </w:tcPr>
          <w:p>
            <w:pPr>
              <w:ind w:left="2640"/>
              <w:spacing w:after="0"/>
              <w:rPr>
                <w:sz w:val="20"/>
                <w:szCs w:val="20"/>
                <w:color w:val="auto"/>
              </w:rPr>
            </w:pPr>
            <w:r>
              <w:rPr>
                <w:rFonts w:ascii="Arial" w:cs="Arial" w:eastAsia="Arial" w:hAnsi="Arial"/>
                <w:sz w:val="10"/>
                <w:szCs w:val="10"/>
                <w:b w:val="1"/>
                <w:bCs w:val="1"/>
                <w:color w:val="auto"/>
              </w:rPr>
              <w:t>Medicare Subsidy</w:t>
            </w:r>
          </w:p>
        </w:tc>
        <w:tc>
          <w:tcPr>
            <w:tcW w:w="26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1480" w:type="dxa"/>
            <w:vAlign w:val="bottom"/>
            <w:tcBorders>
              <w:bottom w:val="single" w:sz="8" w:color="DC202E"/>
            </w:tcBorders>
          </w:tcPr>
          <w:p>
            <w:pPr>
              <w:jc w:val="right"/>
              <w:ind w:right="412"/>
              <w:spacing w:after="0"/>
              <w:rPr>
                <w:sz w:val="20"/>
                <w:szCs w:val="20"/>
                <w:color w:val="auto"/>
              </w:rPr>
            </w:pPr>
            <w:r>
              <w:rPr>
                <w:rFonts w:ascii="Arial" w:cs="Arial" w:eastAsia="Arial" w:hAnsi="Arial"/>
                <w:sz w:val="10"/>
                <w:szCs w:val="10"/>
                <w:b w:val="1"/>
                <w:bCs w:val="1"/>
                <w:color w:val="auto"/>
              </w:rPr>
              <w:t>Medicare Subsidy</w:t>
            </w:r>
          </w:p>
        </w:tc>
      </w:tr>
      <w:tr>
        <w:trPr>
          <w:trHeight w:val="115"/>
        </w:trPr>
        <w:tc>
          <w:tcPr>
            <w:tcW w:w="57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2022</w:t>
            </w:r>
          </w:p>
        </w:tc>
        <w:tc>
          <w:tcPr>
            <w:tcW w:w="3580" w:type="dxa"/>
            <w:vAlign w:val="bottom"/>
            <w:tcBorders>
              <w:bottom w:val="single" w:sz="8" w:color="939598"/>
            </w:tcBorders>
          </w:tcPr>
          <w:p>
            <w:pPr>
              <w:jc w:val="right"/>
              <w:ind w:right="125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w:t>
            </w:r>
          </w:p>
        </w:tc>
        <w:tc>
          <w:tcPr>
            <w:tcW w:w="28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w:t>
            </w:r>
          </w:p>
        </w:tc>
      </w:tr>
      <w:tr>
        <w:trPr>
          <w:trHeight w:val="115"/>
        </w:trPr>
        <w:tc>
          <w:tcPr>
            <w:tcW w:w="57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2023</w:t>
            </w:r>
          </w:p>
        </w:tc>
        <w:tc>
          <w:tcPr>
            <w:tcW w:w="358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w:t>
            </w:r>
          </w:p>
        </w:tc>
        <w:tc>
          <w:tcPr>
            <w:tcW w:w="280" w:type="dxa"/>
            <w:vAlign w:val="bottom"/>
            <w:tcBorders>
              <w:bottom w:val="single" w:sz="8" w:color="939598"/>
            </w:tcBorders>
          </w:tcPr>
          <w:p>
            <w:pPr>
              <w:spacing w:after="0"/>
              <w:rPr>
                <w:sz w:val="10"/>
                <w:szCs w:val="10"/>
                <w:color w:val="auto"/>
              </w:rPr>
            </w:pPr>
          </w:p>
        </w:tc>
        <w:tc>
          <w:tcPr>
            <w:tcW w:w="1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w:t>
            </w:r>
          </w:p>
        </w:tc>
      </w:tr>
      <w:tr>
        <w:trPr>
          <w:trHeight w:val="115"/>
        </w:trPr>
        <w:tc>
          <w:tcPr>
            <w:tcW w:w="57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2024</w:t>
            </w:r>
          </w:p>
        </w:tc>
        <w:tc>
          <w:tcPr>
            <w:tcW w:w="358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c>
          <w:tcPr>
            <w:tcW w:w="280" w:type="dxa"/>
            <w:vAlign w:val="bottom"/>
            <w:tcBorders>
              <w:bottom w:val="single" w:sz="8" w:color="939598"/>
            </w:tcBorders>
          </w:tcPr>
          <w:p>
            <w:pPr>
              <w:spacing w:after="0"/>
              <w:rPr>
                <w:sz w:val="10"/>
                <w:szCs w:val="10"/>
                <w:color w:val="auto"/>
              </w:rPr>
            </w:pPr>
          </w:p>
        </w:tc>
        <w:tc>
          <w:tcPr>
            <w:tcW w:w="1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r>
      <w:tr>
        <w:trPr>
          <w:trHeight w:val="115"/>
        </w:trPr>
        <w:tc>
          <w:tcPr>
            <w:tcW w:w="57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2025</w:t>
            </w:r>
          </w:p>
        </w:tc>
        <w:tc>
          <w:tcPr>
            <w:tcW w:w="358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14</w:t>
            </w:r>
          </w:p>
        </w:tc>
        <w:tc>
          <w:tcPr>
            <w:tcW w:w="280" w:type="dxa"/>
            <w:vAlign w:val="bottom"/>
            <w:tcBorders>
              <w:bottom w:val="single" w:sz="8" w:color="939598"/>
            </w:tcBorders>
          </w:tcPr>
          <w:p>
            <w:pPr>
              <w:spacing w:after="0"/>
              <w:rPr>
                <w:sz w:val="10"/>
                <w:szCs w:val="10"/>
                <w:color w:val="auto"/>
              </w:rPr>
            </w:pPr>
          </w:p>
        </w:tc>
        <w:tc>
          <w:tcPr>
            <w:tcW w:w="1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w:t>
            </w:r>
          </w:p>
        </w:tc>
      </w:tr>
      <w:tr>
        <w:trPr>
          <w:trHeight w:val="115"/>
        </w:trPr>
        <w:tc>
          <w:tcPr>
            <w:tcW w:w="57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2026</w:t>
            </w:r>
          </w:p>
        </w:tc>
        <w:tc>
          <w:tcPr>
            <w:tcW w:w="3580" w:type="dxa"/>
            <w:vAlign w:val="bottom"/>
            <w:tcBorders>
              <w:bottom w:val="single" w:sz="8" w:color="939598"/>
            </w:tcBorders>
          </w:tcPr>
          <w:p>
            <w:pPr>
              <w:spacing w:after="0"/>
              <w:rPr>
                <w:sz w:val="10"/>
                <w:szCs w:val="10"/>
                <w:color w:val="auto"/>
              </w:rPr>
            </w:pP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13</w:t>
            </w:r>
          </w:p>
        </w:tc>
        <w:tc>
          <w:tcPr>
            <w:tcW w:w="280" w:type="dxa"/>
            <w:vAlign w:val="bottom"/>
            <w:tcBorders>
              <w:bottom w:val="single" w:sz="8" w:color="939598"/>
            </w:tcBorders>
          </w:tcPr>
          <w:p>
            <w:pPr>
              <w:spacing w:after="0"/>
              <w:rPr>
                <w:sz w:val="10"/>
                <w:szCs w:val="10"/>
                <w:color w:val="auto"/>
              </w:rPr>
            </w:pPr>
          </w:p>
        </w:tc>
        <w:tc>
          <w:tcPr>
            <w:tcW w:w="14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w:t>
            </w:r>
          </w:p>
        </w:tc>
      </w:tr>
      <w:tr>
        <w:trPr>
          <w:trHeight w:val="115"/>
        </w:trPr>
        <w:tc>
          <w:tcPr>
            <w:tcW w:w="57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2027-2031</w:t>
            </w:r>
          </w:p>
        </w:tc>
        <w:tc>
          <w:tcPr>
            <w:tcW w:w="358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57</w:t>
            </w:r>
          </w:p>
        </w:tc>
        <w:tc>
          <w:tcPr>
            <w:tcW w:w="280" w:type="dxa"/>
            <w:vAlign w:val="bottom"/>
            <w:tcBorders>
              <w:bottom w:val="single" w:sz="8" w:color="DC202E"/>
            </w:tcBorders>
          </w:tcPr>
          <w:p>
            <w:pPr>
              <w:spacing w:after="0"/>
              <w:rPr>
                <w:sz w:val="10"/>
                <w:szCs w:val="10"/>
                <w:color w:val="auto"/>
              </w:rPr>
            </w:pPr>
          </w:p>
        </w:tc>
        <w:tc>
          <w:tcPr>
            <w:tcW w:w="14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53</w:t>
            </w:r>
          </w:p>
        </w:tc>
      </w:tr>
      <w:tr>
        <w:trPr>
          <w:trHeight w:val="468"/>
        </w:trPr>
        <w:tc>
          <w:tcPr>
            <w:tcW w:w="5700" w:type="dxa"/>
            <w:vAlign w:val="bottom"/>
          </w:tcPr>
          <w:p>
            <w:pPr>
              <w:spacing w:after="0"/>
              <w:rPr>
                <w:sz w:val="20"/>
                <w:szCs w:val="20"/>
                <w:color w:val="auto"/>
              </w:rPr>
            </w:pPr>
            <w:r>
              <w:rPr>
                <w:rFonts w:ascii="Arial" w:cs="Arial" w:eastAsia="Arial" w:hAnsi="Arial"/>
                <w:sz w:val="19"/>
                <w:szCs w:val="19"/>
                <w:color w:val="D7282F"/>
              </w:rPr>
              <w:t>NOTE 21. OTHER (INCOME) EXPENSE</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150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44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r>
      <w:tr>
        <w:trPr>
          <w:trHeight w:val="124"/>
        </w:trPr>
        <w:tc>
          <w:tcPr>
            <w:tcW w:w="838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C202E"/>
            </w:tcBorders>
          </w:tcPr>
          <w:p>
            <w:pPr>
              <w:spacing w:after="0"/>
              <w:rPr>
                <w:sz w:val="10"/>
                <w:szCs w:val="10"/>
                <w:color w:val="auto"/>
              </w:rPr>
            </w:pPr>
          </w:p>
        </w:tc>
        <w:tc>
          <w:tcPr>
            <w:tcW w:w="5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2019</w:t>
            </w:r>
          </w:p>
        </w:tc>
        <w:tc>
          <w:tcPr>
            <w:tcW w:w="360" w:type="dxa"/>
            <w:vAlign w:val="bottom"/>
            <w:tcBorders>
              <w:bottom w:val="single" w:sz="8" w:color="DC202E"/>
            </w:tcBorders>
          </w:tcPr>
          <w:p>
            <w:pPr>
              <w:spacing w:after="0"/>
              <w:rPr>
                <w:sz w:val="10"/>
                <w:szCs w:val="10"/>
                <w:color w:val="auto"/>
              </w:rPr>
            </w:pP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Interest income</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(102)</w:t>
            </w:r>
          </w:p>
        </w:tc>
        <w:tc>
          <w:tcPr>
            <w:tcW w:w="560" w:type="dxa"/>
            <w:vAlign w:val="bottom"/>
            <w:tcBorders>
              <w:bottom w:val="single" w:sz="8" w:color="939598"/>
            </w:tcBorders>
          </w:tcPr>
          <w:p>
            <w:pPr>
              <w:jc w:val="right"/>
              <w:ind w:right="33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(107)</w:t>
            </w:r>
          </w:p>
        </w:tc>
        <w:tc>
          <w:tcPr>
            <w:tcW w:w="44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(255)</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Pension ongoing income—non-service</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w w:val="94"/>
              </w:rPr>
              <w:t>(1,202)</w:t>
            </w:r>
          </w:p>
        </w:tc>
        <w:tc>
          <w:tcPr>
            <w:tcW w:w="5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(901)</w:t>
            </w:r>
          </w:p>
        </w:tc>
        <w:tc>
          <w:tcPr>
            <w:tcW w:w="4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(606)</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Other postretirement income—non-service</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(71)</w:t>
            </w:r>
          </w:p>
        </w:tc>
        <w:tc>
          <w:tcPr>
            <w:tcW w:w="5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(57)</w:t>
            </w:r>
          </w:p>
        </w:tc>
        <w:tc>
          <w:tcPr>
            <w:tcW w:w="4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(47)</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Equity income of affiliated companies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(67)</w:t>
            </w:r>
          </w:p>
        </w:tc>
        <w:tc>
          <w:tcPr>
            <w:tcW w:w="5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(66)</w:t>
            </w:r>
          </w:p>
        </w:tc>
        <w:tc>
          <w:tcPr>
            <w:tcW w:w="4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(52)</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Loss (gain) on sale of non-strategic business and assets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(102)</w:t>
            </w:r>
          </w:p>
        </w:tc>
        <w:tc>
          <w:tcPr>
            <w:tcW w:w="5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w:t>
            </w:r>
          </w:p>
        </w:tc>
        <w:tc>
          <w:tcPr>
            <w:tcW w:w="4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Foreign exchange</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25</w:t>
            </w:r>
          </w:p>
        </w:tc>
        <w:tc>
          <w:tcPr>
            <w:tcW w:w="5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(68)</w:t>
            </w:r>
          </w:p>
        </w:tc>
        <w:tc>
          <w:tcPr>
            <w:tcW w:w="4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(120)</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Expense related to UOP Matters</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160</w:t>
            </w:r>
          </w:p>
        </w:tc>
        <w:tc>
          <w:tcPr>
            <w:tcW w:w="5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Reimbursement receivables charge</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939598"/>
            </w:tcBorders>
          </w:tcPr>
          <w:p>
            <w:pPr>
              <w:spacing w:after="0"/>
              <w:rPr>
                <w:sz w:val="10"/>
                <w:szCs w:val="10"/>
                <w:color w:val="auto"/>
              </w:rPr>
            </w:pPr>
          </w:p>
        </w:tc>
        <w:tc>
          <w:tcPr>
            <w:tcW w:w="50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509</w:t>
            </w:r>
          </w:p>
        </w:tc>
        <w:tc>
          <w:tcPr>
            <w:tcW w:w="44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(net)</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(19)</w:t>
            </w:r>
          </w:p>
        </w:tc>
        <w:tc>
          <w:tcPr>
            <w:tcW w:w="56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12</w:t>
            </w:r>
          </w:p>
        </w:tc>
        <w:tc>
          <w:tcPr>
            <w:tcW w:w="44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w:t>
            </w:r>
          </w:p>
        </w:tc>
      </w:tr>
      <w:tr>
        <w:trPr>
          <w:trHeight w:val="115"/>
        </w:trPr>
        <w:tc>
          <w:tcPr>
            <w:tcW w:w="838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w w:val="94"/>
              </w:rPr>
              <w:t>(1,378)</w:t>
            </w:r>
          </w:p>
        </w:tc>
        <w:tc>
          <w:tcPr>
            <w:tcW w:w="5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(675)</w:t>
            </w:r>
          </w:p>
        </w:tc>
        <w:tc>
          <w:tcPr>
            <w:tcW w:w="44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(1,065)</w:t>
            </w:r>
          </w:p>
        </w:tc>
      </w:tr>
      <w:tr>
        <w:trPr>
          <w:trHeight w:val="255"/>
        </w:trPr>
        <w:tc>
          <w:tcPr>
            <w:tcW w:w="8380" w:type="dxa"/>
            <w:vAlign w:val="bottom"/>
          </w:tcPr>
          <w:p>
            <w:pPr>
              <w:spacing w:after="0"/>
              <w:rPr>
                <w:sz w:val="20"/>
                <w:szCs w:val="20"/>
                <w:color w:val="auto"/>
              </w:rPr>
            </w:pPr>
            <w:r>
              <w:rPr>
                <w:rFonts w:ascii="Arial" w:cs="Arial" w:eastAsia="Arial" w:hAnsi="Arial"/>
                <w:sz w:val="11"/>
                <w:szCs w:val="11"/>
                <w:color w:val="auto"/>
              </w:rPr>
              <w:t>For more information on the UOP Matters and reimbursement receivables related to Garrett, see Note 19 Commitments and Contingencies.</w:t>
            </w: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27"/>
        </w:trPr>
        <w:tc>
          <w:tcPr>
            <w:tcW w:w="8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3"/>
          </w:tcPr>
          <w:p>
            <w:pPr>
              <w:jc w:val="right"/>
              <w:ind w:right="72"/>
              <w:spacing w:after="0"/>
              <w:rPr>
                <w:sz w:val="20"/>
                <w:szCs w:val="20"/>
                <w:color w:val="auto"/>
              </w:rPr>
            </w:pPr>
            <w:r>
              <w:rPr>
                <w:rFonts w:ascii="Arial" w:cs="Arial" w:eastAsia="Arial" w:hAnsi="Arial"/>
                <w:sz w:val="10"/>
                <w:szCs w:val="10"/>
                <w:color w:val="auto"/>
              </w:rPr>
              <w:t>Honeywell International Inc.</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D7282F"/>
              </w:rPr>
              <w:t>109</w:t>
            </w:r>
          </w:p>
        </w:tc>
      </w:tr>
      <w:tr>
        <w:trPr>
          <w:trHeight w:val="144"/>
        </w:trPr>
        <w:tc>
          <w:tcPr>
            <w:tcW w:w="83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1" w:name="page112"/>
    <w:bookmarkEnd w:id="111"/>
    <w:p>
      <w:pPr>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D7282F"/>
        </w:rPr>
        <w:t>NOTE 22. SEGMENT FINANCIAL DATA</w:t>
      </w:r>
    </w:p>
    <w:p>
      <w:pPr>
        <w:spacing w:after="0" w:line="155" w:lineRule="exact"/>
        <w:rPr>
          <w:sz w:val="20"/>
          <w:szCs w:val="20"/>
          <w:color w:val="auto"/>
        </w:rPr>
      </w:pPr>
    </w:p>
    <w:p>
      <w:pPr>
        <w:spacing w:after="0" w:line="245" w:lineRule="auto"/>
        <w:rPr>
          <w:sz w:val="20"/>
          <w:szCs w:val="20"/>
          <w:color w:val="auto"/>
        </w:rPr>
      </w:pPr>
      <w:r>
        <w:rPr>
          <w:rFonts w:ascii="Arial" w:cs="Arial" w:eastAsia="Arial" w:hAnsi="Arial"/>
          <w:sz w:val="11"/>
          <w:szCs w:val="11"/>
          <w:color w:val="auto"/>
        </w:rPr>
        <w:t>Honeywell globally manages its business operations through four reportable operating segments. Segment information is consistent with how management reviews the businesses, makes investing and resource allocation decisions, and assesses operating performance.</w:t>
      </w:r>
    </w:p>
    <w:p>
      <w:pPr>
        <w:spacing w:after="0" w:line="66" w:lineRule="exact"/>
        <w:rPr>
          <w:sz w:val="20"/>
          <w:szCs w:val="20"/>
          <w:color w:val="auto"/>
        </w:rPr>
      </w:pPr>
    </w:p>
    <w:p>
      <w:pPr>
        <w:spacing w:after="0" w:line="245" w:lineRule="auto"/>
        <w:rPr>
          <w:sz w:val="20"/>
          <w:szCs w:val="20"/>
          <w:color w:val="auto"/>
        </w:rPr>
      </w:pPr>
      <w:r>
        <w:rPr>
          <w:rFonts w:ascii="Arial" w:cs="Arial" w:eastAsia="Arial" w:hAnsi="Arial"/>
          <w:sz w:val="11"/>
          <w:szCs w:val="11"/>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600" w:type="dxa"/>
            <w:vAlign w:val="bottom"/>
            <w:tcBorders>
              <w:bottom w:val="single" w:sz="8" w:color="DC202E"/>
            </w:tcBorders>
          </w:tcPr>
          <w:p>
            <w:pPr>
              <w:spacing w:after="0"/>
              <w:rPr>
                <w:sz w:val="11"/>
                <w:szCs w:val="11"/>
                <w:color w:val="auto"/>
              </w:rPr>
            </w:pPr>
          </w:p>
        </w:tc>
        <w:tc>
          <w:tcPr>
            <w:tcW w:w="1520" w:type="dxa"/>
            <w:vAlign w:val="bottom"/>
            <w:tcBorders>
              <w:bottom w:val="single" w:sz="8" w:color="DC202E"/>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r>
      <w:tr>
        <w:trPr>
          <w:trHeight w:val="160"/>
        </w:trPr>
        <w:tc>
          <w:tcPr>
            <w:tcW w:w="200" w:type="dxa"/>
            <w:vAlign w:val="bottom"/>
            <w:tcBorders>
              <w:bottom w:val="single" w:sz="8" w:color="DC202E"/>
            </w:tcBorders>
          </w:tcPr>
          <w:p>
            <w:pPr>
              <w:spacing w:after="0"/>
              <w:rPr>
                <w:sz w:val="13"/>
                <w:szCs w:val="13"/>
                <w:color w:val="auto"/>
              </w:rPr>
            </w:pPr>
          </w:p>
        </w:tc>
        <w:tc>
          <w:tcPr>
            <w:tcW w:w="818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9"/>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Net Sales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6,158</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7,194</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8,766</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4,868</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4,350</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5,288</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7"/>
              </w:rPr>
              <w:t>11,026</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11,544</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14,054</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4,098</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3,868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4,395</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1,441</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1,321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1,322</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5,539</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5,189</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5,717</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8,008</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7,548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8,732</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2,005</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1,875</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2,102</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7"/>
              </w:rPr>
              <w:t>10,013</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9,423</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10,834</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7,379</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6,127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5,736</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435</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354</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368</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7,814</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6,481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6,104</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7"/>
              </w:rPr>
              <w:t>34,392</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32,637</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36,709</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Depreciation and amortization</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278</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241</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234</w:t>
            </w: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55</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63</w:t>
            </w: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454</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440</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493</w:t>
            </w: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237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223</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222</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102</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44</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76</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1,138</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1,003</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1,088</w:t>
            </w:r>
          </w:p>
        </w:tc>
      </w:tr>
      <w:tr>
        <w:trPr>
          <w:trHeight w:val="115"/>
        </w:trPr>
        <w:tc>
          <w:tcPr>
            <w:tcW w:w="8380" w:type="dxa"/>
            <w:vAlign w:val="bottom"/>
            <w:tcBorders>
              <w:bottom w:val="single" w:sz="8" w:color="939598"/>
            </w:tcBorders>
            <w:gridSpan w:val="2"/>
          </w:tcPr>
          <w:p>
            <w:pPr>
              <w:spacing w:after="0"/>
              <w:rPr>
                <w:sz w:val="20"/>
                <w:szCs w:val="20"/>
                <w:color w:val="auto"/>
              </w:rPr>
            </w:pPr>
            <w:r>
              <w:rPr>
                <w:rFonts w:ascii="Arial" w:cs="Arial" w:eastAsia="Arial" w:hAnsi="Arial"/>
                <w:sz w:val="10"/>
                <w:szCs w:val="10"/>
                <w:color w:val="auto"/>
              </w:rPr>
              <w:t>Segment Profit</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3,051</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2,904</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3,607</w:t>
            </w: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1,238</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1,099</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1,165</w:t>
            </w: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2,120</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1,851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2,433</w:t>
            </w:r>
          </w:p>
        </w:tc>
      </w:tr>
      <w:tr>
        <w:trPr>
          <w:trHeight w:val="115"/>
        </w:trPr>
        <w:tc>
          <w:tcPr>
            <w:tcW w:w="200" w:type="dxa"/>
            <w:vAlign w:val="bottom"/>
            <w:tcBorders>
              <w:bottom w:val="single" w:sz="8" w:color="939598"/>
            </w:tcBorders>
          </w:tcPr>
          <w:p>
            <w:pPr>
              <w:spacing w:after="0"/>
              <w:rPr>
                <w:sz w:val="10"/>
                <w:szCs w:val="10"/>
                <w:color w:val="auto"/>
              </w:rPr>
            </w:pPr>
          </w:p>
        </w:tc>
        <w:tc>
          <w:tcPr>
            <w:tcW w:w="8180" w:type="dxa"/>
            <w:vAlign w:val="bottom"/>
            <w:tcBorders>
              <w:bottom w:val="single" w:sz="8" w:color="939598"/>
            </w:tcBorders>
          </w:tcPr>
          <w:p>
            <w:pPr>
              <w:ind w:left="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1,029</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907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790</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(226)</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(96)</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(256)</w:t>
            </w:r>
          </w:p>
        </w:tc>
      </w:tr>
      <w:tr>
        <w:trPr>
          <w:trHeight w:val="115"/>
        </w:trPr>
        <w:tc>
          <w:tcPr>
            <w:tcW w:w="200" w:type="dxa"/>
            <w:vAlign w:val="bottom"/>
            <w:tcBorders>
              <w:bottom w:val="single" w:sz="8" w:color="DC202E"/>
            </w:tcBorders>
          </w:tcPr>
          <w:p>
            <w:pPr>
              <w:spacing w:after="0"/>
              <w:rPr>
                <w:sz w:val="10"/>
                <w:szCs w:val="10"/>
                <w:color w:val="auto"/>
              </w:rPr>
            </w:pPr>
          </w:p>
        </w:tc>
        <w:tc>
          <w:tcPr>
            <w:tcW w:w="818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7,212</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6,665</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7,739</w:t>
            </w:r>
          </w:p>
        </w:tc>
      </w:tr>
      <w:tr>
        <w:trPr>
          <w:trHeight w:val="484"/>
        </w:trPr>
        <w:tc>
          <w:tcPr>
            <w:tcW w:w="200" w:type="dxa"/>
            <w:vAlign w:val="bottom"/>
          </w:tcPr>
          <w:p>
            <w:pPr>
              <w:spacing w:after="0"/>
              <w:rPr>
                <w:sz w:val="20"/>
                <w:szCs w:val="20"/>
                <w:color w:val="auto"/>
              </w:rPr>
            </w:pPr>
            <w:r>
              <w:rPr>
                <w:rFonts w:ascii="Arial" w:cs="Arial" w:eastAsia="Arial" w:hAnsi="Arial"/>
                <w:sz w:val="12"/>
                <w:szCs w:val="12"/>
                <w:b w:val="1"/>
                <w:bCs w:val="1"/>
                <w:color w:val="D7282F"/>
                <w:w w:val="89"/>
              </w:rPr>
              <w:t>110</w:t>
            </w:r>
          </w:p>
        </w:tc>
        <w:tc>
          <w:tcPr>
            <w:tcW w:w="8180" w:type="dxa"/>
            <w:vAlign w:val="bottom"/>
          </w:tcPr>
          <w:p>
            <w:pPr>
              <w:ind w:left="320"/>
              <w:spacing w:after="0"/>
              <w:rPr>
                <w:sz w:val="20"/>
                <w:szCs w:val="20"/>
                <w:color w:val="auto"/>
              </w:rPr>
            </w:pPr>
            <w:r>
              <w:rPr>
                <w:rFonts w:ascii="Arial" w:cs="Arial" w:eastAsia="Arial" w:hAnsi="Arial"/>
                <w:sz w:val="10"/>
                <w:szCs w:val="10"/>
                <w:color w:val="auto"/>
              </w:rPr>
              <w:t>Honeywell International Inc.</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4"/>
        </w:trPr>
        <w:tc>
          <w:tcPr>
            <w:tcW w:w="200" w:type="dxa"/>
            <w:vAlign w:val="bottom"/>
            <w:tcBorders>
              <w:bottom w:val="single" w:sz="8" w:color="9A9A9A"/>
            </w:tcBorders>
          </w:tcPr>
          <w:p>
            <w:pPr>
              <w:spacing w:after="0"/>
              <w:rPr>
                <w:sz w:val="12"/>
                <w:szCs w:val="12"/>
                <w:color w:val="auto"/>
              </w:rPr>
            </w:pPr>
          </w:p>
        </w:tc>
        <w:tc>
          <w:tcPr>
            <w:tcW w:w="81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2" w:name="page113"/>
    <w:bookmarkEnd w:id="112"/>
    <w:p>
      <w:pPr>
        <w:ind w:left="904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0"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8380" w:type="dxa"/>
            <w:vAlign w:val="bottom"/>
          </w:tcPr>
          <w:p>
            <w:pPr>
              <w:spacing w:after="0"/>
              <w:rPr>
                <w:sz w:val="11"/>
                <w:szCs w:val="11"/>
                <w:color w:val="auto"/>
              </w:rPr>
            </w:pPr>
          </w:p>
        </w:tc>
        <w:tc>
          <w:tcPr>
            <w:tcW w:w="600" w:type="dxa"/>
            <w:vAlign w:val="bottom"/>
            <w:tcBorders>
              <w:bottom w:val="single" w:sz="8" w:color="DC202E"/>
            </w:tcBorders>
          </w:tcPr>
          <w:p>
            <w:pPr>
              <w:spacing w:after="0"/>
              <w:rPr>
                <w:sz w:val="11"/>
                <w:szCs w:val="11"/>
                <w:color w:val="auto"/>
              </w:rPr>
            </w:pPr>
          </w:p>
        </w:tc>
        <w:tc>
          <w:tcPr>
            <w:tcW w:w="1520" w:type="dxa"/>
            <w:vAlign w:val="bottom"/>
            <w:tcBorders>
              <w:bottom w:val="single" w:sz="8" w:color="DC202E"/>
            </w:tcBorders>
            <w:gridSpan w:val="3"/>
          </w:tcPr>
          <w:p>
            <w:pPr>
              <w:jc w:val="center"/>
              <w:ind w:left="132"/>
              <w:spacing w:after="0"/>
              <w:rPr>
                <w:sz w:val="20"/>
                <w:szCs w:val="20"/>
                <w:color w:val="auto"/>
              </w:rPr>
            </w:pPr>
            <w:r>
              <w:rPr>
                <w:rFonts w:ascii="Arial" w:cs="Arial" w:eastAsia="Arial" w:hAnsi="Arial"/>
                <w:sz w:val="10"/>
                <w:szCs w:val="10"/>
                <w:b w:val="1"/>
                <w:bCs w:val="1"/>
                <w:color w:val="auto"/>
                <w:w w:val="94"/>
              </w:rPr>
              <w:t>Years Ended December 31,</w:t>
            </w:r>
          </w:p>
        </w:tc>
        <w:tc>
          <w:tcPr>
            <w:tcW w:w="14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r>
      <w:tr>
        <w:trPr>
          <w:trHeight w:val="160"/>
        </w:trPr>
        <w:tc>
          <w:tcPr>
            <w:tcW w:w="838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center"/>
              <w:ind w:right="472"/>
              <w:spacing w:after="0"/>
              <w:rPr>
                <w:sz w:val="20"/>
                <w:szCs w:val="20"/>
                <w:color w:val="auto"/>
              </w:rPr>
            </w:pPr>
            <w:r>
              <w:rPr>
                <w:rFonts w:ascii="Arial" w:cs="Arial" w:eastAsia="Arial" w:hAnsi="Arial"/>
                <w:sz w:val="10"/>
                <w:szCs w:val="10"/>
                <w:b w:val="1"/>
                <w:bCs w:val="1"/>
                <w:color w:val="auto"/>
                <w:w w:val="98"/>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9"/>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Capital expenditures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284</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248</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272</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62</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66</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43</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265</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252</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314</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190</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288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82</w:t>
            </w:r>
          </w:p>
        </w:tc>
      </w:tr>
      <w:tr>
        <w:trPr>
          <w:trHeight w:val="115"/>
        </w:trPr>
        <w:tc>
          <w:tcPr>
            <w:tcW w:w="838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94</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52</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128</w:t>
            </w:r>
          </w:p>
        </w:tc>
      </w:tr>
      <w:tr>
        <w:trPr>
          <w:trHeight w:val="115"/>
        </w:trPr>
        <w:tc>
          <w:tcPr>
            <w:tcW w:w="838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895</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906</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839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Total Assets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7"/>
              </w:rPr>
              <w:t>11,490</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11,035</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11,378</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6,543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6,351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5,968</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7"/>
              </w:rPr>
              <w:t>18,021</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16,772</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16,888</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7"/>
              </w:rPr>
              <w:t>11,242</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10,640</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9,888</w:t>
            </w:r>
          </w:p>
        </w:tc>
      </w:tr>
      <w:tr>
        <w:trPr>
          <w:trHeight w:val="115"/>
        </w:trPr>
        <w:tc>
          <w:tcPr>
            <w:tcW w:w="838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w w:val="97"/>
              </w:rPr>
              <w:t>17,174</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19,788</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14,557</w:t>
            </w:r>
          </w:p>
        </w:tc>
      </w:tr>
      <w:tr>
        <w:trPr>
          <w:trHeight w:val="115"/>
        </w:trPr>
        <w:tc>
          <w:tcPr>
            <w:tcW w:w="8380" w:type="dxa"/>
            <w:vAlign w:val="bottom"/>
            <w:tcBorders>
              <w:bottom w:val="single" w:sz="8" w:color="DC202E"/>
            </w:tcBorders>
          </w:tcPr>
          <w:p>
            <w:pPr>
              <w:spacing w:after="0"/>
              <w:rPr>
                <w:sz w:val="10"/>
                <w:szCs w:val="10"/>
                <w:color w:val="auto"/>
              </w:rPr>
            </w:pPr>
          </w:p>
        </w:tc>
        <w:tc>
          <w:tcPr>
            <w:tcW w:w="6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7"/>
              </w:rPr>
              <w:t>64,470</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64,586</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58,679</w:t>
            </w:r>
          </w:p>
        </w:tc>
      </w:tr>
      <w:tr>
        <w:trPr>
          <w:trHeight w:val="255"/>
        </w:trPr>
        <w:tc>
          <w:tcPr>
            <w:tcW w:w="8380" w:type="dxa"/>
            <w:vAlign w:val="bottom"/>
          </w:tcPr>
          <w:p>
            <w:pPr>
              <w:spacing w:after="0"/>
              <w:rPr>
                <w:sz w:val="20"/>
                <w:szCs w:val="20"/>
                <w:color w:val="auto"/>
              </w:rPr>
            </w:pPr>
            <w:r>
              <w:rPr>
                <w:rFonts w:ascii="Arial" w:cs="Arial" w:eastAsia="Arial" w:hAnsi="Arial"/>
                <w:sz w:val="11"/>
                <w:szCs w:val="11"/>
                <w:color w:val="auto"/>
              </w:rPr>
              <w:t>A reconciliation of segment profit to consolidated income before taxes are as follows:</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61"/>
        </w:trPr>
        <w:tc>
          <w:tcPr>
            <w:tcW w:w="8380" w:type="dxa"/>
            <w:vAlign w:val="bottom"/>
          </w:tcPr>
          <w:p>
            <w:pPr>
              <w:spacing w:after="0"/>
              <w:rPr>
                <w:sz w:val="22"/>
                <w:szCs w:val="22"/>
                <w:color w:val="auto"/>
              </w:rPr>
            </w:pPr>
          </w:p>
        </w:tc>
        <w:tc>
          <w:tcPr>
            <w:tcW w:w="600" w:type="dxa"/>
            <w:vAlign w:val="bottom"/>
            <w:tcBorders>
              <w:bottom w:val="single" w:sz="8" w:color="DC202E"/>
            </w:tcBorders>
          </w:tcPr>
          <w:p>
            <w:pPr>
              <w:spacing w:after="0"/>
              <w:rPr>
                <w:sz w:val="22"/>
                <w:szCs w:val="22"/>
                <w:color w:val="auto"/>
              </w:rPr>
            </w:pPr>
          </w:p>
        </w:tc>
        <w:tc>
          <w:tcPr>
            <w:tcW w:w="1520" w:type="dxa"/>
            <w:vAlign w:val="bottom"/>
            <w:tcBorders>
              <w:bottom w:val="single" w:sz="8" w:color="DC202E"/>
            </w:tcBorders>
            <w:gridSpan w:val="3"/>
          </w:tcPr>
          <w:p>
            <w:pPr>
              <w:jc w:val="center"/>
              <w:ind w:left="132"/>
              <w:spacing w:after="0"/>
              <w:rPr>
                <w:sz w:val="20"/>
                <w:szCs w:val="20"/>
                <w:color w:val="auto"/>
              </w:rPr>
            </w:pPr>
            <w:r>
              <w:rPr>
                <w:rFonts w:ascii="Arial" w:cs="Arial" w:eastAsia="Arial" w:hAnsi="Arial"/>
                <w:sz w:val="10"/>
                <w:szCs w:val="10"/>
                <w:b w:val="1"/>
                <w:bCs w:val="1"/>
                <w:color w:val="auto"/>
                <w:w w:val="94"/>
              </w:rPr>
              <w:t>Years Ended December 31,</w:t>
            </w:r>
          </w:p>
        </w:tc>
        <w:tc>
          <w:tcPr>
            <w:tcW w:w="140" w:type="dxa"/>
            <w:vAlign w:val="bottom"/>
            <w:tcBorders>
              <w:bottom w:val="single" w:sz="8" w:color="DC202E"/>
            </w:tcBorders>
          </w:tcPr>
          <w:p>
            <w:pPr>
              <w:spacing w:after="0"/>
              <w:rPr>
                <w:sz w:val="22"/>
                <w:szCs w:val="22"/>
                <w:color w:val="auto"/>
              </w:rPr>
            </w:pPr>
          </w:p>
        </w:tc>
        <w:tc>
          <w:tcPr>
            <w:tcW w:w="660" w:type="dxa"/>
            <w:vAlign w:val="bottom"/>
            <w:tcBorders>
              <w:bottom w:val="single" w:sz="8" w:color="DC202E"/>
            </w:tcBorders>
          </w:tcPr>
          <w:p>
            <w:pPr>
              <w:spacing w:after="0"/>
              <w:rPr>
                <w:sz w:val="22"/>
                <w:szCs w:val="22"/>
                <w:color w:val="auto"/>
              </w:rPr>
            </w:pPr>
          </w:p>
        </w:tc>
      </w:tr>
      <w:tr>
        <w:trPr>
          <w:trHeight w:val="160"/>
        </w:trPr>
        <w:tc>
          <w:tcPr>
            <w:tcW w:w="8380" w:type="dxa"/>
            <w:vAlign w:val="bottom"/>
            <w:tcBorders>
              <w:bottom w:val="single" w:sz="8" w:color="DC202E"/>
            </w:tcBorders>
          </w:tcPr>
          <w:p>
            <w:pPr>
              <w:spacing w:after="0"/>
              <w:rPr>
                <w:sz w:val="13"/>
                <w:szCs w:val="13"/>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3"/>
                <w:szCs w:val="13"/>
                <w:color w:val="auto"/>
              </w:rPr>
            </w:pPr>
          </w:p>
        </w:tc>
        <w:tc>
          <w:tcPr>
            <w:tcW w:w="24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center"/>
              <w:ind w:right="472"/>
              <w:spacing w:after="0"/>
              <w:rPr>
                <w:sz w:val="20"/>
                <w:szCs w:val="20"/>
                <w:color w:val="auto"/>
              </w:rPr>
            </w:pPr>
            <w:r>
              <w:rPr>
                <w:rFonts w:ascii="Arial" w:cs="Arial" w:eastAsia="Arial" w:hAnsi="Arial"/>
                <w:sz w:val="10"/>
                <w:szCs w:val="10"/>
                <w:b w:val="1"/>
                <w:bCs w:val="1"/>
                <w:color w:val="auto"/>
                <w:w w:val="98"/>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9"/>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Segment Profit</w:t>
            </w:r>
          </w:p>
        </w:tc>
        <w:tc>
          <w:tcPr>
            <w:tcW w:w="600" w:type="dxa"/>
            <w:vAlign w:val="bottom"/>
            <w:tcBorders>
              <w:bottom w:val="single" w:sz="8" w:color="939598"/>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7,212</w:t>
            </w:r>
          </w:p>
        </w:tc>
        <w:tc>
          <w:tcPr>
            <w:tcW w:w="2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6,665</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7,739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Interest and other financial charges</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(343)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(359)</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(357)</w:t>
            </w:r>
          </w:p>
        </w:tc>
      </w:tr>
      <w:tr>
        <w:trPr>
          <w:trHeight w:val="115"/>
        </w:trPr>
        <w:tc>
          <w:tcPr>
            <w:tcW w:w="838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Stock compensation expense</w:t>
            </w:r>
            <w:r>
              <w:rPr>
                <w:rFonts w:ascii="Arial" w:cs="Arial" w:eastAsia="Arial" w:hAnsi="Arial"/>
                <w:sz w:val="12"/>
                <w:szCs w:val="12"/>
                <w:color w:val="auto"/>
                <w:vertAlign w:val="superscript"/>
              </w:rPr>
              <w:t>(1)</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(217)</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(168)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(153)</w:t>
            </w:r>
          </w:p>
        </w:tc>
      </w:tr>
      <w:tr>
        <w:trPr>
          <w:trHeight w:val="115"/>
        </w:trPr>
        <w:tc>
          <w:tcPr>
            <w:tcW w:w="838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Pension ongoing income (expense)</w:t>
            </w:r>
            <w:r>
              <w:rPr>
                <w:rFonts w:ascii="Arial" w:cs="Arial" w:eastAsia="Arial" w:hAnsi="Arial"/>
                <w:sz w:val="12"/>
                <w:szCs w:val="12"/>
                <w:color w:val="auto"/>
                <w:vertAlign w:val="superscript"/>
              </w:rPr>
              <w:t>(2)</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1,083</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785</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592</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Pension mark-to-market expense</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(40)</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(44)</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(123)</w:t>
            </w:r>
          </w:p>
        </w:tc>
      </w:tr>
      <w:tr>
        <w:trPr>
          <w:trHeight w:val="115"/>
        </w:trPr>
        <w:tc>
          <w:tcPr>
            <w:tcW w:w="838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Other postretirement income</w:t>
            </w:r>
            <w:r>
              <w:rPr>
                <w:rFonts w:ascii="Arial" w:cs="Arial" w:eastAsia="Arial" w:hAnsi="Arial"/>
                <w:sz w:val="12"/>
                <w:szCs w:val="12"/>
                <w:color w:val="auto"/>
                <w:vertAlign w:val="superscript"/>
              </w:rPr>
              <w:t>(2)</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71</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57</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47</w:t>
            </w:r>
          </w:p>
        </w:tc>
      </w:tr>
      <w:tr>
        <w:trPr>
          <w:trHeight w:val="115"/>
        </w:trPr>
        <w:tc>
          <w:tcPr>
            <w:tcW w:w="8380" w:type="dxa"/>
            <w:vAlign w:val="bottom"/>
            <w:tcBorders>
              <w:bottom w:val="single" w:sz="8" w:color="939598"/>
            </w:tcBorders>
          </w:tcPr>
          <w:p>
            <w:pPr>
              <w:spacing w:after="0" w:line="115" w:lineRule="exact"/>
              <w:rPr>
                <w:sz w:val="20"/>
                <w:szCs w:val="20"/>
                <w:color w:val="auto"/>
              </w:rPr>
            </w:pPr>
            <w:r>
              <w:rPr>
                <w:rFonts w:ascii="Arial" w:cs="Arial" w:eastAsia="Arial" w:hAnsi="Arial"/>
                <w:sz w:val="10"/>
                <w:szCs w:val="10"/>
                <w:color w:val="auto"/>
              </w:rPr>
              <w:t>Repositioning and other charges</w:t>
            </w:r>
            <w:r>
              <w:rPr>
                <w:rFonts w:ascii="Arial" w:cs="Arial" w:eastAsia="Arial" w:hAnsi="Arial"/>
                <w:sz w:val="12"/>
                <w:szCs w:val="12"/>
                <w:color w:val="auto"/>
                <w:vertAlign w:val="superscript"/>
              </w:rPr>
              <w:t>(3)</w:t>
            </w:r>
          </w:p>
        </w:tc>
        <w:tc>
          <w:tcPr>
            <w:tcW w:w="600" w:type="dxa"/>
            <w:vAlign w:val="bottom"/>
            <w:tcBorders>
              <w:bottom w:val="single" w:sz="8" w:color="939598"/>
            </w:tcBorders>
          </w:tcPr>
          <w:p>
            <w:pPr>
              <w:spacing w:after="0"/>
              <w:rPr>
                <w:sz w:val="10"/>
                <w:szCs w:val="10"/>
                <w:color w:val="auto"/>
              </w:rPr>
            </w:pPr>
          </w:p>
        </w:tc>
        <w:tc>
          <w:tcPr>
            <w:tcW w:w="46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(569)</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(575)</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(546)</w:t>
            </w:r>
          </w:p>
        </w:tc>
      </w:tr>
      <w:tr>
        <w:trPr>
          <w:trHeight w:val="115"/>
        </w:trPr>
        <w:tc>
          <w:tcPr>
            <w:tcW w:w="8380" w:type="dxa"/>
            <w:vAlign w:val="bottom"/>
            <w:tcBorders>
              <w:bottom w:val="single" w:sz="8" w:color="DC202E"/>
            </w:tcBorders>
          </w:tcPr>
          <w:p>
            <w:pPr>
              <w:spacing w:after="0" w:line="115" w:lineRule="exact"/>
              <w:rPr>
                <w:sz w:val="20"/>
                <w:szCs w:val="20"/>
                <w:color w:val="auto"/>
              </w:rPr>
            </w:pPr>
            <w:r>
              <w:rPr>
                <w:rFonts w:ascii="Arial" w:cs="Arial" w:eastAsia="Arial" w:hAnsi="Arial"/>
                <w:sz w:val="10"/>
                <w:szCs w:val="10"/>
                <w:color w:val="auto"/>
              </w:rPr>
              <w:t>Other</w:t>
            </w:r>
            <w:r>
              <w:rPr>
                <w:rFonts w:ascii="Arial" w:cs="Arial" w:eastAsia="Arial" w:hAnsi="Arial"/>
                <w:sz w:val="12"/>
                <w:szCs w:val="12"/>
                <w:color w:val="auto"/>
                <w:vertAlign w:val="superscript"/>
              </w:rPr>
              <w:t>(4)</w:t>
            </w:r>
          </w:p>
        </w:tc>
        <w:tc>
          <w:tcPr>
            <w:tcW w:w="600" w:type="dxa"/>
            <w:vAlign w:val="bottom"/>
            <w:tcBorders>
              <w:bottom w:val="single" w:sz="8" w:color="DC202E"/>
            </w:tcBorders>
          </w:tcPr>
          <w:p>
            <w:pPr>
              <w:spacing w:after="0"/>
              <w:rPr>
                <w:sz w:val="10"/>
                <w:szCs w:val="10"/>
                <w:color w:val="auto"/>
              </w:rPr>
            </w:pP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38</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(349)</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360</w:t>
            </w:r>
          </w:p>
        </w:tc>
      </w:tr>
      <w:tr>
        <w:trPr>
          <w:trHeight w:val="115"/>
        </w:trPr>
        <w:tc>
          <w:tcPr>
            <w:tcW w:w="8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Income before taxes</w:t>
            </w:r>
          </w:p>
        </w:tc>
        <w:tc>
          <w:tcPr>
            <w:tcW w:w="600" w:type="dxa"/>
            <w:vAlign w:val="bottom"/>
            <w:tcBorders>
              <w:bottom w:val="single" w:sz="8" w:color="DC202E"/>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7,235</w:t>
            </w:r>
          </w:p>
        </w:tc>
        <w:tc>
          <w:tcPr>
            <w:tcW w:w="2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6,012</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7,559</w:t>
            </w:r>
          </w:p>
        </w:tc>
      </w:tr>
    </w:tbl>
    <w:p>
      <w:pPr>
        <w:spacing w:after="0" w:line="78" w:lineRule="exact"/>
        <w:rPr>
          <w:sz w:val="20"/>
          <w:szCs w:val="20"/>
          <w:color w:val="auto"/>
        </w:rPr>
      </w:pPr>
    </w:p>
    <w:p>
      <w:pPr>
        <w:ind w:left="188" w:hanging="188"/>
        <w:spacing w:after="0"/>
        <w:tabs>
          <w:tab w:leader="none" w:pos="188" w:val="left"/>
        </w:tabs>
        <w:numPr>
          <w:ilvl w:val="0"/>
          <w:numId w:val="106"/>
        </w:numPr>
        <w:rPr>
          <w:rFonts w:ascii="Arial" w:cs="Arial" w:eastAsia="Arial" w:hAnsi="Arial"/>
          <w:sz w:val="11"/>
          <w:szCs w:val="11"/>
          <w:color w:val="auto"/>
          <w:vertAlign w:val="superscript"/>
        </w:rPr>
      </w:pPr>
      <w:r>
        <w:rPr>
          <w:rFonts w:ascii="Arial" w:cs="Arial" w:eastAsia="Arial" w:hAnsi="Arial"/>
          <w:sz w:val="8"/>
          <w:szCs w:val="8"/>
          <w:color w:val="auto"/>
        </w:rPr>
        <w:t>Amounts included in Selling, general and administrative expenses.</w:t>
      </w:r>
    </w:p>
    <w:p>
      <w:pPr>
        <w:spacing w:after="0" w:line="30" w:lineRule="exact"/>
        <w:rPr>
          <w:rFonts w:ascii="Arial" w:cs="Arial" w:eastAsia="Arial" w:hAnsi="Arial"/>
          <w:sz w:val="11"/>
          <w:szCs w:val="11"/>
          <w:color w:val="auto"/>
          <w:vertAlign w:val="superscript"/>
        </w:rPr>
      </w:pPr>
    </w:p>
    <w:p>
      <w:pPr>
        <w:ind w:left="168" w:hanging="168"/>
        <w:spacing w:after="0" w:line="216" w:lineRule="auto"/>
        <w:tabs>
          <w:tab w:leader="none" w:pos="168" w:val="left"/>
        </w:tabs>
        <w:numPr>
          <w:ilvl w:val="0"/>
          <w:numId w:val="106"/>
        </w:numPr>
        <w:rPr>
          <w:rFonts w:ascii="Arial" w:cs="Arial" w:eastAsia="Arial" w:hAnsi="Arial"/>
          <w:sz w:val="11"/>
          <w:szCs w:val="11"/>
          <w:color w:val="auto"/>
          <w:vertAlign w:val="superscript"/>
        </w:rPr>
      </w:pPr>
      <w:r>
        <w:rPr>
          <w:rFonts w:ascii="Arial" w:cs="Arial" w:eastAsia="Arial" w:hAnsi="Arial"/>
          <w:sz w:val="8"/>
          <w:szCs w:val="8"/>
          <w:color w:val="auto"/>
        </w:rPr>
        <w:t>Amounts included in Cost of products and services sold and Selling, general and administrative expenses (service cost component) and Other (income) expense (non-service cost component).</w:t>
      </w:r>
    </w:p>
    <w:p>
      <w:pPr>
        <w:spacing w:after="0" w:line="39" w:lineRule="exact"/>
        <w:rPr>
          <w:rFonts w:ascii="Arial" w:cs="Arial" w:eastAsia="Arial" w:hAnsi="Arial"/>
          <w:sz w:val="11"/>
          <w:szCs w:val="11"/>
          <w:color w:val="auto"/>
          <w:vertAlign w:val="superscript"/>
        </w:rPr>
      </w:pPr>
    </w:p>
    <w:p>
      <w:pPr>
        <w:ind w:left="168" w:hanging="168"/>
        <w:spacing w:after="0" w:line="199" w:lineRule="auto"/>
        <w:tabs>
          <w:tab w:leader="none" w:pos="168" w:val="left"/>
        </w:tabs>
        <w:numPr>
          <w:ilvl w:val="0"/>
          <w:numId w:val="106"/>
        </w:numPr>
        <w:rPr>
          <w:rFonts w:ascii="Arial" w:cs="Arial" w:eastAsia="Arial" w:hAnsi="Arial"/>
          <w:sz w:val="11"/>
          <w:szCs w:val="11"/>
          <w:color w:val="auto"/>
          <w:vertAlign w:val="superscript"/>
        </w:rPr>
      </w:pPr>
      <w:r>
        <w:rPr>
          <w:rFonts w:ascii="Arial" w:cs="Arial" w:eastAsia="Arial" w:hAnsi="Arial"/>
          <w:sz w:val="8"/>
          <w:szCs w:val="8"/>
          <w:color w:val="auto"/>
        </w:rPr>
        <w:t>Amounts included in Cost of products and services sold, Selling, general and administrative expenses, and Other (income) expense.</w:t>
      </w:r>
    </w:p>
    <w:p>
      <w:pPr>
        <w:spacing w:after="0" w:line="39" w:lineRule="exact"/>
        <w:rPr>
          <w:rFonts w:ascii="Arial" w:cs="Arial" w:eastAsia="Arial" w:hAnsi="Arial"/>
          <w:sz w:val="11"/>
          <w:szCs w:val="11"/>
          <w:color w:val="auto"/>
          <w:vertAlign w:val="superscript"/>
        </w:rPr>
      </w:pPr>
    </w:p>
    <w:p>
      <w:pPr>
        <w:ind w:left="168" w:hanging="168"/>
        <w:spacing w:after="0" w:line="216" w:lineRule="auto"/>
        <w:tabs>
          <w:tab w:leader="none" w:pos="168" w:val="left"/>
        </w:tabs>
        <w:numPr>
          <w:ilvl w:val="0"/>
          <w:numId w:val="106"/>
        </w:numPr>
        <w:rPr>
          <w:rFonts w:ascii="Arial" w:cs="Arial" w:eastAsia="Arial" w:hAnsi="Arial"/>
          <w:sz w:val="11"/>
          <w:szCs w:val="11"/>
          <w:color w:val="auto"/>
          <w:vertAlign w:val="superscript"/>
        </w:rPr>
      </w:pPr>
      <w:r>
        <w:rPr>
          <w:rFonts w:ascii="Arial" w:cs="Arial" w:eastAsia="Arial" w:hAnsi="Arial"/>
          <w:sz w:val="8"/>
          <w:szCs w:val="8"/>
          <w:color w:val="auto"/>
        </w:rPr>
        <w:t>Amounts include the other components of Other (income) expense not included within other categories in this reconciliation. Equity income of affiliated companies is included in segment profit.</w:t>
      </w:r>
    </w:p>
    <w:p>
      <w:pPr>
        <w:spacing w:after="0" w:line="25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111</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3" w:name="page114"/>
    <w:bookmarkEnd w:id="113"/>
    <w:p>
      <w:pPr>
        <w:ind w:left="8"/>
        <w:spacing w:after="0"/>
        <w:rPr>
          <w:sz w:val="20"/>
          <w:szCs w:val="20"/>
          <w:color w:val="auto"/>
        </w:rPr>
      </w:pPr>
      <w:r>
        <w:rPr>
          <w:rFonts w:ascii="Arial" w:cs="Arial" w:eastAsia="Arial" w:hAnsi="Arial"/>
          <w:sz w:val="8"/>
          <w:szCs w:val="8"/>
          <w:b w:val="1"/>
          <w:bCs w:val="1"/>
          <w:color w:val="D7282F"/>
        </w:rPr>
        <w:t>FINANCIAL STATEMENTS AND SUPPLEMENTARY DATA</w:t>
      </w:r>
    </w:p>
    <w:p>
      <w:pPr>
        <w:spacing w:after="0" w:line="18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23. GEOGRAPHIC AREAS—FINANCIAL DATA</w:t>
      </w: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240" w:type="dxa"/>
            <w:vAlign w:val="bottom"/>
          </w:tcPr>
          <w:p>
            <w:pPr>
              <w:spacing w:after="0"/>
              <w:rPr>
                <w:sz w:val="10"/>
                <w:szCs w:val="10"/>
                <w:color w:val="auto"/>
              </w:rPr>
            </w:pP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gridSpan w:val="2"/>
          </w:tcPr>
          <w:p>
            <w:pPr>
              <w:ind w:left="140"/>
              <w:spacing w:after="0"/>
              <w:rPr>
                <w:sz w:val="20"/>
                <w:szCs w:val="20"/>
                <w:color w:val="auto"/>
              </w:rPr>
            </w:pPr>
            <w:r>
              <w:rPr>
                <w:rFonts w:ascii="Arial" w:cs="Arial" w:eastAsia="Arial" w:hAnsi="Arial"/>
                <w:sz w:val="10"/>
                <w:szCs w:val="10"/>
                <w:b w:val="1"/>
                <w:bCs w:val="1"/>
                <w:color w:val="auto"/>
              </w:rPr>
              <w:t>Net Sales</w:t>
            </w:r>
            <w:r>
              <w:rPr>
                <w:rFonts w:ascii="Arial" w:cs="Arial" w:eastAsia="Arial" w:hAnsi="Arial"/>
                <w:sz w:val="6"/>
                <w:szCs w:val="6"/>
                <w:b w:val="1"/>
                <w:bCs w:val="1"/>
                <w:color w:val="auto"/>
              </w:rPr>
              <w:t>(1)</w:t>
            </w:r>
          </w:p>
        </w:tc>
        <w:tc>
          <w:tcPr>
            <w:tcW w:w="1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160" w:type="dxa"/>
            <w:vAlign w:val="bottom"/>
            <w:tcBorders>
              <w:bottom w:val="single" w:sz="8" w:color="DC202E"/>
            </w:tcBorders>
            <w:gridSpan w:val="2"/>
          </w:tcPr>
          <w:p>
            <w:pPr>
              <w:jc w:val="center"/>
              <w:ind w:right="132"/>
              <w:spacing w:after="0"/>
              <w:rPr>
                <w:sz w:val="20"/>
                <w:szCs w:val="20"/>
                <w:color w:val="auto"/>
              </w:rPr>
            </w:pPr>
            <w:r>
              <w:rPr>
                <w:rFonts w:ascii="Arial" w:cs="Arial" w:eastAsia="Arial" w:hAnsi="Arial"/>
                <w:sz w:val="10"/>
                <w:szCs w:val="10"/>
                <w:b w:val="1"/>
                <w:bCs w:val="1"/>
                <w:color w:val="auto"/>
                <w:w w:val="96"/>
              </w:rPr>
              <w:t>Long-lived Assets</w:t>
            </w:r>
            <w:r>
              <w:rPr>
                <w:rFonts w:ascii="Arial" w:cs="Arial" w:eastAsia="Arial" w:hAnsi="Arial"/>
                <w:sz w:val="6"/>
                <w:szCs w:val="6"/>
                <w:b w:val="1"/>
                <w:bCs w:val="1"/>
                <w:color w:val="auto"/>
                <w:w w:val="96"/>
              </w:rPr>
              <w:t>(2)</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51"/>
        </w:trPr>
        <w:tc>
          <w:tcPr>
            <w:tcW w:w="5240" w:type="dxa"/>
            <w:vAlign w:val="bottom"/>
          </w:tcPr>
          <w:p>
            <w:pPr>
              <w:spacing w:after="0"/>
              <w:rPr>
                <w:sz w:val="13"/>
                <w:szCs w:val="13"/>
                <w:color w:val="auto"/>
              </w:rPr>
            </w:pPr>
          </w:p>
        </w:tc>
        <w:tc>
          <w:tcPr>
            <w:tcW w:w="620" w:type="dxa"/>
            <w:vAlign w:val="bottom"/>
            <w:tcBorders>
              <w:bottom w:val="single" w:sz="8" w:color="DC202E"/>
            </w:tcBorders>
          </w:tcPr>
          <w:p>
            <w:pPr>
              <w:spacing w:after="0"/>
              <w:rPr>
                <w:sz w:val="13"/>
                <w:szCs w:val="13"/>
                <w:color w:val="auto"/>
              </w:rPr>
            </w:pPr>
          </w:p>
        </w:tc>
        <w:tc>
          <w:tcPr>
            <w:tcW w:w="1500" w:type="dxa"/>
            <w:vAlign w:val="bottom"/>
            <w:tcBorders>
              <w:bottom w:val="single" w:sz="8" w:color="DC202E"/>
            </w:tcBorders>
            <w:gridSpan w:val="3"/>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16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320" w:type="dxa"/>
            <w:vAlign w:val="bottom"/>
            <w:tcBorders>
              <w:bottom w:val="single" w:sz="8" w:color="DC202E"/>
            </w:tcBorders>
          </w:tcPr>
          <w:p>
            <w:pPr>
              <w:spacing w:after="0"/>
              <w:rPr>
                <w:sz w:val="13"/>
                <w:szCs w:val="13"/>
                <w:color w:val="auto"/>
              </w:rPr>
            </w:pPr>
          </w:p>
        </w:tc>
        <w:tc>
          <w:tcPr>
            <w:tcW w:w="1800" w:type="dxa"/>
            <w:vAlign w:val="bottom"/>
            <w:tcBorders>
              <w:bottom w:val="single" w:sz="8" w:color="DC202E"/>
            </w:tcBorders>
            <w:gridSpan w:val="3"/>
          </w:tcPr>
          <w:p>
            <w:pPr>
              <w:jc w:val="center"/>
              <w:ind w:left="412"/>
              <w:spacing w:after="0"/>
              <w:rPr>
                <w:sz w:val="20"/>
                <w:szCs w:val="20"/>
                <w:color w:val="auto"/>
              </w:rPr>
            </w:pPr>
            <w:r>
              <w:rPr>
                <w:rFonts w:ascii="Arial" w:cs="Arial" w:eastAsia="Arial" w:hAnsi="Arial"/>
                <w:sz w:val="10"/>
                <w:szCs w:val="10"/>
                <w:b w:val="1"/>
                <w:bCs w:val="1"/>
                <w:color w:val="auto"/>
                <w:w w:val="94"/>
              </w:rPr>
              <w:t>Years Ended December 31,</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spacing w:after="0"/>
              <w:rPr>
                <w:sz w:val="13"/>
                <w:szCs w:val="13"/>
                <w:color w:val="auto"/>
              </w:rPr>
            </w:pPr>
          </w:p>
        </w:tc>
      </w:tr>
      <w:tr>
        <w:trPr>
          <w:trHeight w:val="115"/>
        </w:trPr>
        <w:tc>
          <w:tcPr>
            <w:tcW w:w="524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center"/>
              <w:ind w:right="472"/>
              <w:spacing w:after="0"/>
              <w:rPr>
                <w:sz w:val="20"/>
                <w:szCs w:val="20"/>
                <w:color w:val="auto"/>
              </w:rPr>
            </w:pPr>
            <w:r>
              <w:rPr>
                <w:rFonts w:ascii="Arial" w:cs="Arial" w:eastAsia="Arial" w:hAnsi="Arial"/>
                <w:sz w:val="10"/>
                <w:szCs w:val="10"/>
                <w:b w:val="1"/>
                <w:bCs w:val="1"/>
                <w:color w:val="auto"/>
                <w:w w:val="98"/>
              </w:rPr>
              <w:t>2020</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United States</w:t>
            </w:r>
          </w:p>
        </w:tc>
        <w:tc>
          <w:tcPr>
            <w:tcW w:w="620" w:type="dxa"/>
            <w:vAlign w:val="bottom"/>
            <w:tcBorders>
              <w:bottom w:val="single" w:sz="8" w:color="939598"/>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w w:val="91"/>
              </w:rPr>
              <w:t>20,662</w:t>
            </w:r>
          </w:p>
        </w:tc>
        <w:tc>
          <w:tcPr>
            <w:tcW w:w="24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19,665</w:t>
            </w:r>
          </w:p>
        </w:tc>
        <w:tc>
          <w:tcPr>
            <w:tcW w:w="16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21,910</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3,964</w:t>
            </w:r>
          </w:p>
        </w:tc>
        <w:tc>
          <w:tcPr>
            <w:tcW w:w="34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3,823</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3,649</w:t>
            </w:r>
          </w:p>
        </w:tc>
      </w:tr>
      <w:tr>
        <w:trPr>
          <w:trHeight w:val="115"/>
        </w:trPr>
        <w:tc>
          <w:tcPr>
            <w:tcW w:w="524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Europe</w:t>
            </w:r>
          </w:p>
        </w:tc>
        <w:tc>
          <w:tcPr>
            <w:tcW w:w="62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6,800</w:t>
            </w:r>
          </w:p>
        </w:tc>
        <w:tc>
          <w:tcPr>
            <w:tcW w:w="2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6,356</w:t>
            </w:r>
          </w:p>
        </w:tc>
        <w:tc>
          <w:tcPr>
            <w:tcW w:w="16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7,424</w:t>
            </w:r>
          </w:p>
        </w:tc>
        <w:tc>
          <w:tcPr>
            <w:tcW w:w="220" w:type="dxa"/>
            <w:vAlign w:val="bottom"/>
            <w:tcBorders>
              <w:bottom w:val="single" w:sz="8" w:color="939598"/>
            </w:tcBorders>
          </w:tcPr>
          <w:p>
            <w:pPr>
              <w:spacing w:after="0"/>
              <w:rPr>
                <w:sz w:val="10"/>
                <w:szCs w:val="10"/>
                <w:color w:val="auto"/>
              </w:rPr>
            </w:pPr>
          </w:p>
        </w:tc>
        <w:tc>
          <w:tcPr>
            <w:tcW w:w="320" w:type="dxa"/>
            <w:vAlign w:val="bottom"/>
            <w:tcBorders>
              <w:bottom w:val="single" w:sz="8" w:color="939598"/>
            </w:tcBorders>
          </w:tcPr>
          <w:p>
            <w:pPr>
              <w:spacing w:after="0"/>
              <w:rPr>
                <w:sz w:val="10"/>
                <w:szCs w:val="10"/>
                <w:color w:val="auto"/>
              </w:rPr>
            </w:pP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566</w:t>
            </w:r>
          </w:p>
        </w:tc>
        <w:tc>
          <w:tcPr>
            <w:tcW w:w="34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628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579</w:t>
            </w:r>
          </w:p>
        </w:tc>
      </w:tr>
      <w:tr>
        <w:trPr>
          <w:trHeight w:val="115"/>
        </w:trPr>
        <w:tc>
          <w:tcPr>
            <w:tcW w:w="524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International</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6,930</w:t>
            </w:r>
          </w:p>
        </w:tc>
        <w:tc>
          <w:tcPr>
            <w:tcW w:w="2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6,616</w:t>
            </w:r>
          </w:p>
        </w:tc>
        <w:tc>
          <w:tcPr>
            <w:tcW w:w="16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7,375</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1,032</w:t>
            </w:r>
          </w:p>
        </w:tc>
        <w:tc>
          <w:tcPr>
            <w:tcW w:w="34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1,119</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1,097</w:t>
            </w:r>
          </w:p>
        </w:tc>
      </w:tr>
      <w:tr>
        <w:trPr>
          <w:trHeight w:val="115"/>
        </w:trPr>
        <w:tc>
          <w:tcPr>
            <w:tcW w:w="5240" w:type="dxa"/>
            <w:vAlign w:val="bottom"/>
            <w:tcBorders>
              <w:bottom w:val="single" w:sz="8" w:color="DC202E"/>
            </w:tcBorders>
          </w:tcPr>
          <w:p>
            <w:pPr>
              <w:spacing w:after="0"/>
              <w:rPr>
                <w:sz w:val="10"/>
                <w:szCs w:val="10"/>
                <w:color w:val="auto"/>
              </w:rPr>
            </w:pP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1"/>
              </w:rPr>
              <w:t>34,392</w:t>
            </w:r>
          </w:p>
        </w:tc>
        <w:tc>
          <w:tcPr>
            <w:tcW w:w="240" w:type="dxa"/>
            <w:vAlign w:val="bottom"/>
            <w:tcBorders>
              <w:bottom w:val="single" w:sz="8" w:color="DC202E"/>
            </w:tcBorders>
          </w:tcPr>
          <w:p>
            <w:pPr>
              <w:ind w:left="140"/>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32,637</w:t>
            </w:r>
          </w:p>
        </w:tc>
        <w:tc>
          <w:tcPr>
            <w:tcW w:w="16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36,709</w:t>
            </w:r>
          </w:p>
        </w:tc>
        <w:tc>
          <w:tcPr>
            <w:tcW w:w="220" w:type="dxa"/>
            <w:vAlign w:val="bottom"/>
            <w:tcBorders>
              <w:bottom w:val="single" w:sz="8" w:color="DC202E"/>
            </w:tcBorders>
          </w:tcPr>
          <w:p>
            <w:pPr>
              <w:spacing w:after="0"/>
              <w:rPr>
                <w:sz w:val="10"/>
                <w:szCs w:val="10"/>
                <w:color w:val="auto"/>
              </w:rPr>
            </w:pPr>
          </w:p>
        </w:tc>
        <w:tc>
          <w:tcPr>
            <w:tcW w:w="3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5,562</w:t>
            </w:r>
          </w:p>
        </w:tc>
        <w:tc>
          <w:tcPr>
            <w:tcW w:w="3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b w:val="1"/>
                <w:bCs w:val="1"/>
                <w:color w:val="auto"/>
              </w:rPr>
              <w:t>5,570</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5,325</w:t>
            </w:r>
          </w:p>
        </w:tc>
      </w:tr>
    </w:tbl>
    <w:p>
      <w:pPr>
        <w:spacing w:after="0" w:line="104" w:lineRule="exact"/>
        <w:rPr>
          <w:sz w:val="20"/>
          <w:szCs w:val="20"/>
          <w:color w:val="auto"/>
        </w:rPr>
      </w:pPr>
    </w:p>
    <w:p>
      <w:pPr>
        <w:ind w:left="168" w:hanging="168"/>
        <w:spacing w:after="0" w:line="218" w:lineRule="auto"/>
        <w:tabs>
          <w:tab w:leader="none" w:pos="188" w:val="left"/>
        </w:tabs>
        <w:numPr>
          <w:ilvl w:val="0"/>
          <w:numId w:val="107"/>
        </w:numPr>
        <w:rPr>
          <w:rFonts w:ascii="Arial" w:cs="Arial" w:eastAsia="Arial" w:hAnsi="Arial"/>
          <w:sz w:val="11"/>
          <w:szCs w:val="11"/>
          <w:color w:val="auto"/>
          <w:vertAlign w:val="superscript"/>
        </w:rPr>
      </w:pPr>
      <w:r>
        <w:rPr>
          <w:rFonts w:ascii="Arial" w:cs="Arial" w:eastAsia="Arial" w:hAnsi="Arial"/>
          <w:sz w:val="8"/>
          <w:szCs w:val="8"/>
          <w:color w:val="auto"/>
        </w:rPr>
        <w:t>Sales between geographic areas approximate market value and are not significant. Net sales are classified according to their country of origin. Included in United States Net sales are export sales of $4,037 million, $4,000 million and $5,415 million for the years ended December 31, 2021, 2020 and 2019, respectively.</w:t>
      </w:r>
    </w:p>
    <w:p>
      <w:pPr>
        <w:spacing w:after="0" w:line="27" w:lineRule="exact"/>
        <w:rPr>
          <w:rFonts w:ascii="Arial" w:cs="Arial" w:eastAsia="Arial" w:hAnsi="Arial"/>
          <w:sz w:val="11"/>
          <w:szCs w:val="11"/>
          <w:color w:val="auto"/>
          <w:vertAlign w:val="superscript"/>
        </w:rPr>
      </w:pPr>
    </w:p>
    <w:p>
      <w:pPr>
        <w:ind w:left="168" w:hanging="168"/>
        <w:spacing w:after="0"/>
        <w:tabs>
          <w:tab w:leader="none" w:pos="168" w:val="left"/>
        </w:tabs>
        <w:numPr>
          <w:ilvl w:val="0"/>
          <w:numId w:val="107"/>
        </w:numPr>
        <w:rPr>
          <w:rFonts w:ascii="Arial" w:cs="Arial" w:eastAsia="Arial" w:hAnsi="Arial"/>
          <w:sz w:val="11"/>
          <w:szCs w:val="11"/>
          <w:color w:val="auto"/>
          <w:vertAlign w:val="superscript"/>
        </w:rPr>
      </w:pPr>
      <w:r>
        <w:rPr>
          <w:rFonts w:ascii="Arial" w:cs="Arial" w:eastAsia="Arial" w:hAnsi="Arial"/>
          <w:sz w:val="8"/>
          <w:szCs w:val="8"/>
          <w:color w:val="auto"/>
        </w:rPr>
        <w:t>Long-lived assets are comprised of Property, plant and equipment - net.</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24. SUPPLEMENTAL CASH FLOW INFORMATION</w:t>
      </w: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8380" w:type="dxa"/>
            <w:vAlign w:val="bottom"/>
          </w:tcPr>
          <w:p>
            <w:pPr>
              <w:spacing w:after="0"/>
              <w:rPr>
                <w:sz w:val="10"/>
                <w:szCs w:val="10"/>
                <w:color w:val="auto"/>
              </w:rPr>
            </w:pPr>
          </w:p>
        </w:tc>
        <w:tc>
          <w:tcPr>
            <w:tcW w:w="640" w:type="dxa"/>
            <w:vAlign w:val="bottom"/>
            <w:tcBorders>
              <w:bottom w:val="single" w:sz="8" w:color="DC202E"/>
            </w:tcBorders>
          </w:tcPr>
          <w:p>
            <w:pPr>
              <w:spacing w:after="0"/>
              <w:rPr>
                <w:sz w:val="10"/>
                <w:szCs w:val="10"/>
                <w:color w:val="auto"/>
              </w:rPr>
            </w:pPr>
          </w:p>
        </w:tc>
        <w:tc>
          <w:tcPr>
            <w:tcW w:w="1480" w:type="dxa"/>
            <w:vAlign w:val="bottom"/>
            <w:tcBorders>
              <w:bottom w:val="single" w:sz="8" w:color="DC202E"/>
            </w:tcBorders>
            <w:gridSpan w:val="3"/>
          </w:tcPr>
          <w:p>
            <w:pPr>
              <w:ind w:left="200"/>
              <w:spacing w:after="0"/>
              <w:rPr>
                <w:sz w:val="20"/>
                <w:szCs w:val="20"/>
                <w:color w:val="auto"/>
              </w:rPr>
            </w:pPr>
            <w:r>
              <w:rPr>
                <w:rFonts w:ascii="Arial" w:cs="Arial" w:eastAsia="Arial" w:hAnsi="Arial"/>
                <w:sz w:val="10"/>
                <w:szCs w:val="10"/>
                <w:b w:val="1"/>
                <w:bCs w:val="1"/>
                <w:color w:val="auto"/>
                <w:w w:val="98"/>
              </w:rPr>
              <w:t>Years Ended December 31,</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r>
      <w:tr>
        <w:trPr>
          <w:trHeight w:val="160"/>
        </w:trPr>
        <w:tc>
          <w:tcPr>
            <w:tcW w:w="8380" w:type="dxa"/>
            <w:vAlign w:val="bottom"/>
            <w:tcBorders>
              <w:bottom w:val="single" w:sz="8" w:color="DC202E"/>
            </w:tcBorders>
          </w:tcPr>
          <w:p>
            <w:pPr>
              <w:spacing w:after="0"/>
              <w:rPr>
                <w:sz w:val="13"/>
                <w:szCs w:val="13"/>
                <w:color w:val="auto"/>
              </w:rPr>
            </w:pPr>
          </w:p>
        </w:tc>
        <w:tc>
          <w:tcPr>
            <w:tcW w:w="64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C202E"/>
            </w:tcBorders>
          </w:tcPr>
          <w:p>
            <w:pPr>
              <w:spacing w:after="0"/>
              <w:rPr>
                <w:sz w:val="13"/>
                <w:szCs w:val="13"/>
                <w:color w:val="auto"/>
              </w:rPr>
            </w:pPr>
          </w:p>
        </w:tc>
        <w:tc>
          <w:tcPr>
            <w:tcW w:w="220" w:type="dxa"/>
            <w:vAlign w:val="bottom"/>
            <w:tcBorders>
              <w:bottom w:val="single" w:sz="8" w:color="DC202E"/>
            </w:tcBorders>
          </w:tcPr>
          <w:p>
            <w:pPr>
              <w:spacing w:after="0"/>
              <w:rPr>
                <w:sz w:val="13"/>
                <w:szCs w:val="13"/>
                <w:color w:val="auto"/>
              </w:rPr>
            </w:pPr>
          </w:p>
        </w:tc>
        <w:tc>
          <w:tcPr>
            <w:tcW w:w="82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C202E"/>
            </w:tcBorders>
          </w:tcPr>
          <w:p>
            <w:pPr>
              <w:spacing w:after="0"/>
              <w:rPr>
                <w:sz w:val="13"/>
                <w:szCs w:val="13"/>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2019</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Net payments for repositioning and other charges: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Severance and exit cost payments</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(382)</w:t>
            </w:r>
          </w:p>
        </w:tc>
        <w:tc>
          <w:tcPr>
            <w:tcW w:w="22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(564)</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(249)</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Environmental payments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(210)</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(216)</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(256)</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Reimbursement receipts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140</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176</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292</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Insurance receipts for asbestos related liabilities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ind w:left="200"/>
              <w:spacing w:after="0"/>
              <w:rPr>
                <w:sz w:val="20"/>
                <w:szCs w:val="20"/>
                <w:color w:val="auto"/>
              </w:rPr>
            </w:pPr>
            <w:r>
              <w:rPr>
                <w:rFonts w:ascii="Arial" w:cs="Arial" w:eastAsia="Arial" w:hAnsi="Arial"/>
                <w:sz w:val="10"/>
                <w:szCs w:val="10"/>
                <w:color w:val="auto"/>
              </w:rPr>
              <w:t>46</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58</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68</w:t>
            </w:r>
          </w:p>
        </w:tc>
      </w:tr>
      <w:tr>
        <w:trPr>
          <w:trHeight w:val="115"/>
        </w:trPr>
        <w:tc>
          <w:tcPr>
            <w:tcW w:w="8380" w:type="dxa"/>
            <w:vAlign w:val="bottom"/>
            <w:tcBorders>
              <w:bottom w:val="single" w:sz="8" w:color="DC202E"/>
            </w:tcBorders>
          </w:tcPr>
          <w:p>
            <w:pPr>
              <w:ind w:left="220"/>
              <w:spacing w:after="0"/>
              <w:rPr>
                <w:sz w:val="20"/>
                <w:szCs w:val="20"/>
                <w:color w:val="auto"/>
              </w:rPr>
            </w:pPr>
            <w:r>
              <w:rPr>
                <w:rFonts w:ascii="Arial" w:cs="Arial" w:eastAsia="Arial" w:hAnsi="Arial"/>
                <w:sz w:val="10"/>
                <w:szCs w:val="10"/>
                <w:color w:val="auto"/>
              </w:rPr>
              <w:t>Asbestos related liability payments</w:t>
            </w:r>
          </w:p>
        </w:tc>
        <w:tc>
          <w:tcPr>
            <w:tcW w:w="64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(286)</w:t>
            </w:r>
          </w:p>
        </w:tc>
        <w:tc>
          <w:tcPr>
            <w:tcW w:w="22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color w:val="auto"/>
              </w:rPr>
              <w:t>(287)</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(231)</w:t>
            </w:r>
          </w:p>
        </w:tc>
      </w:tr>
      <w:tr>
        <w:trPr>
          <w:trHeight w:val="115"/>
        </w:trPr>
        <w:tc>
          <w:tcPr>
            <w:tcW w:w="838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(692)</w:t>
            </w:r>
          </w:p>
        </w:tc>
        <w:tc>
          <w:tcPr>
            <w:tcW w:w="220" w:type="dxa"/>
            <w:vAlign w:val="bottom"/>
            <w:tcBorders>
              <w:bottom w:val="single" w:sz="8" w:color="DC202E"/>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C202E"/>
            </w:tcBorders>
          </w:tcPr>
          <w:p>
            <w:pPr>
              <w:jc w:val="right"/>
              <w:ind w:right="152"/>
              <w:spacing w:after="0"/>
              <w:rPr>
                <w:sz w:val="20"/>
                <w:szCs w:val="20"/>
                <w:color w:val="auto"/>
              </w:rPr>
            </w:pPr>
            <w:r>
              <w:rPr>
                <w:rFonts w:ascii="Arial" w:cs="Arial" w:eastAsia="Arial" w:hAnsi="Arial"/>
                <w:sz w:val="10"/>
                <w:szCs w:val="10"/>
                <w:b w:val="1"/>
                <w:bCs w:val="1"/>
                <w:color w:val="auto"/>
              </w:rPr>
              <w:t>(833)</w:t>
            </w: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(376)</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Interest paid, net of amounts capitalized</w:t>
            </w:r>
          </w:p>
        </w:tc>
        <w:tc>
          <w:tcPr>
            <w:tcW w:w="640" w:type="dxa"/>
            <w:vAlign w:val="bottom"/>
            <w:tcBorders>
              <w:bottom w:val="single" w:sz="8" w:color="939598"/>
            </w:tcBorders>
          </w:tcPr>
          <w:p>
            <w:pPr>
              <w:jc w:val="right"/>
              <w:ind w:right="31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339</w:t>
            </w:r>
          </w:p>
        </w:tc>
        <w:tc>
          <w:tcPr>
            <w:tcW w:w="22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329</w:t>
            </w:r>
          </w:p>
        </w:tc>
        <w:tc>
          <w:tcPr>
            <w:tcW w:w="14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344</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Income taxes paid, net of refunds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1,202</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1,173</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1,564</w:t>
            </w:r>
          </w:p>
        </w:tc>
      </w:tr>
      <w:tr>
        <w:trPr>
          <w:trHeight w:val="115"/>
        </w:trPr>
        <w:tc>
          <w:tcPr>
            <w:tcW w:w="838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Non-cash investing and financing activities: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spacing w:after="0"/>
              <w:rPr>
                <w:sz w:val="10"/>
                <w:szCs w:val="10"/>
                <w:color w:val="auto"/>
              </w:rPr>
            </w:pP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spacing w:after="0"/>
              <w:rPr>
                <w:sz w:val="10"/>
                <w:szCs w:val="10"/>
                <w:color w:val="auto"/>
              </w:rPr>
            </w:pP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spacing w:after="0"/>
              <w:rPr>
                <w:sz w:val="10"/>
                <w:szCs w:val="10"/>
                <w:color w:val="auto"/>
              </w:rPr>
            </w:pP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Common stock contributed to savings plans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191</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211</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159</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Marketable securities contributed to non-U.S. pension plans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81</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93</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380" w:type="dxa"/>
            <w:vAlign w:val="bottom"/>
            <w:tcBorders>
              <w:bottom w:val="single" w:sz="8" w:color="939598"/>
            </w:tcBorders>
          </w:tcPr>
          <w:p>
            <w:pPr>
              <w:ind w:left="220"/>
              <w:spacing w:after="0" w:line="115" w:lineRule="exact"/>
              <w:rPr>
                <w:sz w:val="20"/>
                <w:szCs w:val="20"/>
                <w:color w:val="auto"/>
              </w:rPr>
            </w:pPr>
            <w:r>
              <w:rPr>
                <w:rFonts w:ascii="Arial" w:cs="Arial" w:eastAsia="Arial" w:hAnsi="Arial"/>
                <w:sz w:val="10"/>
                <w:szCs w:val="10"/>
                <w:color w:val="auto"/>
              </w:rPr>
              <w:t>Impact of Quantinuum contribution</w:t>
            </w:r>
            <w:r>
              <w:rPr>
                <w:rFonts w:ascii="Arial" w:cs="Arial" w:eastAsia="Arial" w:hAnsi="Arial"/>
                <w:sz w:val="12"/>
                <w:szCs w:val="12"/>
                <w:color w:val="auto"/>
                <w:vertAlign w:val="superscript"/>
              </w:rPr>
              <w:t>(1)</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460</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380" w:type="dxa"/>
            <w:vAlign w:val="bottom"/>
            <w:tcBorders>
              <w:bottom w:val="single" w:sz="8" w:color="939598"/>
            </w:tcBorders>
          </w:tcPr>
          <w:p>
            <w:pPr>
              <w:ind w:left="220"/>
              <w:spacing w:after="0" w:line="115" w:lineRule="exact"/>
              <w:rPr>
                <w:sz w:val="20"/>
                <w:szCs w:val="20"/>
                <w:color w:val="auto"/>
              </w:rPr>
            </w:pPr>
            <w:r>
              <w:rPr>
                <w:rFonts w:ascii="Arial" w:cs="Arial" w:eastAsia="Arial" w:hAnsi="Arial"/>
                <w:sz w:val="10"/>
                <w:szCs w:val="10"/>
                <w:color w:val="auto"/>
              </w:rPr>
              <w:t>Noncontrolling interest non-cash contribution</w:t>
            </w:r>
            <w:r>
              <w:rPr>
                <w:rFonts w:ascii="Arial" w:cs="Arial" w:eastAsia="Arial" w:hAnsi="Arial"/>
                <w:sz w:val="12"/>
                <w:szCs w:val="12"/>
                <w:color w:val="auto"/>
                <w:vertAlign w:val="superscript"/>
              </w:rPr>
              <w:t>(1)</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419</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380" w:type="dxa"/>
            <w:vAlign w:val="bottom"/>
            <w:tcBorders>
              <w:bottom w:val="single" w:sz="8" w:color="939598"/>
            </w:tcBorders>
          </w:tcPr>
          <w:p>
            <w:pPr>
              <w:ind w:left="220"/>
              <w:spacing w:after="0"/>
              <w:rPr>
                <w:sz w:val="20"/>
                <w:szCs w:val="20"/>
                <w:color w:val="auto"/>
              </w:rPr>
            </w:pPr>
            <w:r>
              <w:rPr>
                <w:rFonts w:ascii="Arial" w:cs="Arial" w:eastAsia="Arial" w:hAnsi="Arial"/>
                <w:sz w:val="10"/>
                <w:szCs w:val="10"/>
                <w:color w:val="auto"/>
              </w:rPr>
              <w:t>Loan in exchange for prepaid assets</w:t>
            </w:r>
          </w:p>
        </w:tc>
        <w:tc>
          <w:tcPr>
            <w:tcW w:w="640" w:type="dxa"/>
            <w:vAlign w:val="bottom"/>
            <w:tcBorders>
              <w:bottom w:val="single" w:sz="8" w:color="939598"/>
            </w:tcBorders>
          </w:tcPr>
          <w:p>
            <w:pPr>
              <w:spacing w:after="0"/>
              <w:rPr>
                <w:sz w:val="10"/>
                <w:szCs w:val="10"/>
                <w:color w:val="auto"/>
              </w:rPr>
            </w:pPr>
          </w:p>
        </w:tc>
        <w:tc>
          <w:tcPr>
            <w:tcW w:w="4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25</w:t>
            </w:r>
          </w:p>
        </w:tc>
        <w:tc>
          <w:tcPr>
            <w:tcW w:w="220" w:type="dxa"/>
            <w:vAlign w:val="bottom"/>
            <w:tcBorders>
              <w:bottom w:val="single" w:sz="8" w:color="939598"/>
            </w:tcBorders>
          </w:tcPr>
          <w:p>
            <w:pPr>
              <w:spacing w:after="0"/>
              <w:rPr>
                <w:sz w:val="10"/>
                <w:szCs w:val="10"/>
                <w:color w:val="auto"/>
              </w:rPr>
            </w:pPr>
          </w:p>
        </w:tc>
        <w:tc>
          <w:tcPr>
            <w:tcW w:w="820" w:type="dxa"/>
            <w:vAlign w:val="bottom"/>
            <w:tcBorders>
              <w:bottom w:val="single" w:sz="8" w:color="939598"/>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939598"/>
            </w:tcBorders>
          </w:tcPr>
          <w:p>
            <w:pPr>
              <w:spacing w:after="0"/>
              <w:rPr>
                <w:sz w:val="10"/>
                <w:szCs w:val="10"/>
                <w:color w:val="auto"/>
              </w:rPr>
            </w:pP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r>
      <w:tr>
        <w:trPr>
          <w:trHeight w:val="115"/>
        </w:trPr>
        <w:tc>
          <w:tcPr>
            <w:tcW w:w="8380" w:type="dxa"/>
            <w:vAlign w:val="bottom"/>
            <w:tcBorders>
              <w:bottom w:val="single" w:sz="8" w:color="DC202E"/>
            </w:tcBorders>
          </w:tcPr>
          <w:p>
            <w:pPr>
              <w:ind w:left="220"/>
              <w:spacing w:after="0" w:line="115" w:lineRule="exact"/>
              <w:rPr>
                <w:sz w:val="20"/>
                <w:szCs w:val="20"/>
                <w:color w:val="auto"/>
              </w:rPr>
            </w:pPr>
            <w:r>
              <w:rPr>
                <w:rFonts w:ascii="Arial" w:cs="Arial" w:eastAsia="Arial" w:hAnsi="Arial"/>
                <w:sz w:val="10"/>
                <w:szCs w:val="10"/>
                <w:color w:val="auto"/>
              </w:rPr>
              <w:t>Receipt of Garrett Series B Preferred Stock</w:t>
            </w:r>
            <w:r>
              <w:rPr>
                <w:rFonts w:ascii="Arial" w:cs="Arial" w:eastAsia="Arial" w:hAnsi="Arial"/>
                <w:sz w:val="12"/>
                <w:szCs w:val="12"/>
                <w:color w:val="auto"/>
                <w:vertAlign w:val="superscript"/>
              </w:rPr>
              <w:t>(2)</w:t>
            </w:r>
          </w:p>
        </w:tc>
        <w:tc>
          <w:tcPr>
            <w:tcW w:w="64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577</w:t>
            </w:r>
          </w:p>
        </w:tc>
        <w:tc>
          <w:tcPr>
            <w:tcW w:w="220" w:type="dxa"/>
            <w:vAlign w:val="bottom"/>
            <w:tcBorders>
              <w:bottom w:val="single" w:sz="8" w:color="DC202E"/>
            </w:tcBorders>
          </w:tcPr>
          <w:p>
            <w:pPr>
              <w:spacing w:after="0"/>
              <w:rPr>
                <w:sz w:val="10"/>
                <w:szCs w:val="10"/>
                <w:color w:val="auto"/>
              </w:rPr>
            </w:pPr>
          </w:p>
        </w:tc>
        <w:tc>
          <w:tcPr>
            <w:tcW w:w="820" w:type="dxa"/>
            <w:vAlign w:val="bottom"/>
            <w:tcBorders>
              <w:bottom w:val="single" w:sz="8" w:color="DC202E"/>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w:t>
            </w:r>
          </w:p>
        </w:tc>
      </w:tr>
    </w:tbl>
    <w:p>
      <w:pPr>
        <w:spacing w:after="0" w:line="131" w:lineRule="exact"/>
        <w:rPr>
          <w:sz w:val="20"/>
          <w:szCs w:val="20"/>
          <w:color w:val="auto"/>
        </w:rPr>
      </w:pPr>
    </w:p>
    <w:p>
      <w:pPr>
        <w:ind w:left="168" w:hanging="168"/>
        <w:spacing w:after="0"/>
        <w:tabs>
          <w:tab w:leader="none" w:pos="188" w:val="left"/>
        </w:tabs>
        <w:numPr>
          <w:ilvl w:val="0"/>
          <w:numId w:val="108"/>
        </w:numPr>
        <w:rPr>
          <w:rFonts w:ascii="Arial" w:cs="Arial" w:eastAsia="Arial" w:hAnsi="Arial"/>
          <w:sz w:val="11"/>
          <w:szCs w:val="11"/>
          <w:color w:val="auto"/>
          <w:vertAlign w:val="superscript"/>
        </w:rPr>
      </w:pPr>
      <w:r>
        <w:rPr>
          <w:rFonts w:ascii="Arial" w:cs="Arial" w:eastAsia="Arial" w:hAnsi="Arial"/>
          <w:sz w:val="8"/>
          <w:szCs w:val="8"/>
          <w:color w:val="auto"/>
        </w:rPr>
        <w:t>See Note 2 Acquisitions and Divestitures for additional information for non-cash amounts recognized related to the combination of Honeywell Quantum Solutions and Cambridge Quantum Computing to form Quantinuum, a newly formed entity, Honeywell consolidates as the controlling majority-owner.</w:t>
      </w:r>
    </w:p>
    <w:p>
      <w:pPr>
        <w:spacing w:after="0" w:line="116" w:lineRule="exact"/>
        <w:rPr>
          <w:rFonts w:ascii="Arial" w:cs="Arial" w:eastAsia="Arial" w:hAnsi="Arial"/>
          <w:sz w:val="11"/>
          <w:szCs w:val="11"/>
          <w:color w:val="auto"/>
          <w:vertAlign w:val="superscript"/>
        </w:rPr>
      </w:pPr>
    </w:p>
    <w:p>
      <w:pPr>
        <w:jc w:val="both"/>
        <w:ind w:left="168" w:hanging="168"/>
        <w:spacing w:after="0"/>
        <w:tabs>
          <w:tab w:leader="none" w:pos="170" w:val="left"/>
        </w:tabs>
        <w:numPr>
          <w:ilvl w:val="0"/>
          <w:numId w:val="108"/>
        </w:numPr>
        <w:rPr>
          <w:rFonts w:ascii="Arial" w:cs="Arial" w:eastAsia="Arial" w:hAnsi="Arial"/>
          <w:sz w:val="11"/>
          <w:szCs w:val="11"/>
          <w:color w:val="auto"/>
          <w:vertAlign w:val="superscript"/>
        </w:rPr>
      </w:pPr>
      <w:r>
        <w:rPr>
          <w:rFonts w:ascii="Arial" w:cs="Arial" w:eastAsia="Arial" w:hAnsi="Arial"/>
          <w:sz w:val="8"/>
          <w:szCs w:val="8"/>
          <w:color w:val="auto"/>
        </w:rPr>
        <w:t>See Note 19 Commitments and Contingencies for additional information for non-cash amounts recognized related to the receipt of 834.8 million shares of Garrett Series B Preferred Stock in exchange for the full and final satisfaction of the Garrett Indemnity, Tax Matters Agreement and pending litigation between the Company and Garrett. The non-cash amount reflects the fair value of the Garrett Series B Preferred Stock as of April 30, 2021, the date Garrett issued the Series B Preferred Stock to the Company. See Note 12 for additional information for the fair value determination of the Garrett Series B Preferred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8" w:hanging="528"/>
        <w:spacing w:after="0"/>
        <w:tabs>
          <w:tab w:leader="none" w:pos="528" w:val="left"/>
        </w:tabs>
        <w:numPr>
          <w:ilvl w:val="0"/>
          <w:numId w:val="10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4" w:name="page115"/>
    <w:bookmarkEnd w:id="114"/>
    <w:p>
      <w:pPr>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To the shareowners and the Board of Directors of Honeywell International Inc.</w:t>
      </w:r>
    </w:p>
    <w:p>
      <w:pPr>
        <w:spacing w:after="0" w:line="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Opinions on the Financial Statements and Internal Control over Financial Reporting</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 xml:space="preserve">We have audited the accompanying consolidated balance sheets of Honeywell International Inc. and subsidiaries (the "Company" or “Honeywell”) as of December 31, 2021 and 2020, and the related consolidated statements of operations, comprehensive income, shareowners’ equity, and cash flows, for each of the three years in the period ended December 31, 2021, and the related notes (collectively referred to as the "financial statements"). We also have audited the Company’s internal control over financial reporting as of December 31, 2021,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(COSO).</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 xml:space="preserve">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COSO.</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Basis for Opinions</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1"/>
          <w:szCs w:val="11"/>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Definition and Limitations of Internal Control over Financial Reporting</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113</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115" w:name="page116"/>
    <w:bookmarkEnd w:id="115"/>
    <w:p>
      <w:pPr>
        <w:ind w:left="8"/>
        <w:spacing w:after="0"/>
        <w:rPr>
          <w:sz w:val="20"/>
          <w:szCs w:val="20"/>
          <w:color w:val="auto"/>
        </w:rPr>
      </w:pPr>
      <w:r>
        <w:rPr>
          <w:rFonts w:ascii="Arial" w:cs="Arial" w:eastAsia="Arial" w:hAnsi="Arial"/>
          <w:sz w:val="8"/>
          <w:szCs w:val="8"/>
          <w:b w:val="1"/>
          <w:bCs w:val="1"/>
          <w:color w:val="D7282F"/>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Critical Audit Matters</w:t>
      </w:r>
    </w:p>
    <w:p>
      <w:pPr>
        <w:spacing w:after="0" w:line="12"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5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Asbestos Related Liabilities - North American Refractories Company (NARCO) Asbestos Liability – Refer to Note 19 to the financial statements</w:t>
      </w:r>
    </w:p>
    <w:p>
      <w:pPr>
        <w:spacing w:after="0" w:line="5"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Critical Audit Matter Description</w:t>
      </w:r>
    </w:p>
    <w:p>
      <w:pPr>
        <w:jc w:val="both"/>
        <w:ind w:left="8"/>
        <w:spacing w:after="0" w:line="245" w:lineRule="auto"/>
        <w:rPr>
          <w:sz w:val="20"/>
          <w:szCs w:val="20"/>
          <w:color w:val="auto"/>
        </w:rPr>
      </w:pPr>
      <w:r>
        <w:rPr>
          <w:rFonts w:ascii="Arial" w:cs="Arial" w:eastAsia="Arial" w:hAnsi="Arial"/>
          <w:sz w:val="11"/>
          <w:szCs w:val="11"/>
          <w:color w:val="auto"/>
        </w:rPr>
        <w:t>The Company records an estimated liability for asbestos related personal injury claims related to a predecessor company, NARCO. Such claims arise primarily from alleged occupational exposure to asbestos-containing refractory brick and mortar.</w:t>
      </w:r>
    </w:p>
    <w:p>
      <w:pPr>
        <w:spacing w:after="0" w:line="66" w:lineRule="exact"/>
        <w:rPr>
          <w:sz w:val="20"/>
          <w:szCs w:val="20"/>
          <w:color w:val="auto"/>
        </w:rPr>
      </w:pPr>
    </w:p>
    <w:p>
      <w:pPr>
        <w:jc w:val="both"/>
        <w:ind w:left="8"/>
        <w:spacing w:after="0" w:line="273" w:lineRule="auto"/>
        <w:rPr>
          <w:sz w:val="20"/>
          <w:szCs w:val="20"/>
          <w:color w:val="auto"/>
        </w:rPr>
      </w:pPr>
      <w:r>
        <w:rPr>
          <w:rFonts w:ascii="Arial" w:cs="Arial" w:eastAsia="Arial" w:hAnsi="Arial"/>
          <w:sz w:val="10"/>
          <w:szCs w:val="10"/>
          <w:color w:val="auto"/>
        </w:rPr>
        <w:t>The Company’s NARCO asbestos-related liability reflects an estimated liability for the resolution of asserted and unasserted NARCO-related asbestos claims that are probable of occurrence and reasonably estimable. The Company records an estimated liability for the resolution of asserted Annual Contribution Claims and Pre-Established Unliquidated Claims filed with the NARCO Trust using average payment values for the relevant historical period. The Company also records an estimated liability for unasserted Annual Contribution Claims and Pre-Established Unliquidated Claims based on historic and anticipated claims filing experience and payment rates, disease classifications and type of claim, and average payment values by the NARCO Trust for the relevant historical period. Beginning in 2020, with three years of sufficiently reliable claims data, the Company updated its estimate of the NARCO asbestos-related liability.</w:t>
      </w:r>
    </w:p>
    <w:p>
      <w:pPr>
        <w:spacing w:after="0" w:line="53"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Accounting for the NARCO asbestos-related liability is an inherently subjective exercise as it requires management to make significant assumptions and judgments. Given the subjectivity related to estimating the NARCO asbestos-related liability and the assessment of the sufficiency and reliability of the claims data, auditing the NARCO asbestos-related liability involved especially subjective judgment.</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How the Critical Audit Matter Was Addressed in the Audit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audit procedures related to the NARCO asbestos-related liability included the following, among others:</w:t>
      </w:r>
    </w:p>
    <w:p>
      <w:pPr>
        <w:spacing w:after="0" w:line="72" w:lineRule="exact"/>
        <w:rPr>
          <w:sz w:val="20"/>
          <w:szCs w:val="20"/>
          <w:color w:val="auto"/>
        </w:rPr>
      </w:pPr>
    </w:p>
    <w:p>
      <w:pPr>
        <w:ind w:left="128" w:hanging="128"/>
        <w:spacing w:after="0" w:line="245" w:lineRule="auto"/>
        <w:tabs>
          <w:tab w:leader="none" w:pos="126" w:val="left"/>
        </w:tabs>
        <w:numPr>
          <w:ilvl w:val="0"/>
          <w:numId w:val="110"/>
        </w:numPr>
        <w:rPr>
          <w:rFonts w:ascii="Arial" w:cs="Arial" w:eastAsia="Arial" w:hAnsi="Arial"/>
          <w:sz w:val="11"/>
          <w:szCs w:val="11"/>
          <w:color w:val="D7282F"/>
        </w:rPr>
      </w:pPr>
      <w:r>
        <w:rPr>
          <w:rFonts w:ascii="Arial" w:cs="Arial" w:eastAsia="Arial" w:hAnsi="Arial"/>
          <w:sz w:val="11"/>
          <w:szCs w:val="11"/>
          <w:color w:val="auto"/>
        </w:rPr>
        <w:t>We tested the effectiveness of internal controls over the estimate of the NARCO asbestos-related liability including management’s controls over the estimate for asserted and unasserted Annual Contribution Claims and Pre-Established Unliquidated Claims.</w:t>
      </w:r>
    </w:p>
    <w:p>
      <w:pPr>
        <w:spacing w:after="0" w:line="38" w:lineRule="exact"/>
        <w:rPr>
          <w:rFonts w:ascii="Arial" w:cs="Arial" w:eastAsia="Arial" w:hAnsi="Arial"/>
          <w:sz w:val="11"/>
          <w:szCs w:val="11"/>
          <w:color w:val="D7282F"/>
        </w:rPr>
      </w:pPr>
    </w:p>
    <w:p>
      <w:pPr>
        <w:ind w:left="128" w:hanging="128"/>
        <w:spacing w:after="0"/>
        <w:tabs>
          <w:tab w:leader="none" w:pos="128" w:val="left"/>
        </w:tabs>
        <w:numPr>
          <w:ilvl w:val="0"/>
          <w:numId w:val="110"/>
        </w:numPr>
        <w:rPr>
          <w:rFonts w:ascii="Arial" w:cs="Arial" w:eastAsia="Arial" w:hAnsi="Arial"/>
          <w:sz w:val="11"/>
          <w:szCs w:val="11"/>
          <w:color w:val="D7282F"/>
        </w:rPr>
      </w:pPr>
      <w:r>
        <w:rPr>
          <w:rFonts w:ascii="Arial" w:cs="Arial" w:eastAsia="Arial" w:hAnsi="Arial"/>
          <w:sz w:val="11"/>
          <w:szCs w:val="11"/>
          <w:color w:val="auto"/>
        </w:rPr>
        <w:t>We evaluated the methods and assumptions used by management to estimate the NARCO asbestos-related liability by:</w:t>
      </w:r>
    </w:p>
    <w:p>
      <w:pPr>
        <w:spacing w:after="0" w:line="53" w:lineRule="exact"/>
        <w:rPr>
          <w:rFonts w:ascii="Arial" w:cs="Arial" w:eastAsia="Arial" w:hAnsi="Arial"/>
          <w:sz w:val="11"/>
          <w:szCs w:val="11"/>
          <w:color w:val="D7282F"/>
        </w:rPr>
      </w:pPr>
    </w:p>
    <w:p>
      <w:pPr>
        <w:ind w:left="268" w:hanging="138"/>
        <w:spacing w:after="0"/>
        <w:tabs>
          <w:tab w:leader="none" w:pos="268" w:val="left"/>
        </w:tabs>
        <w:numPr>
          <w:ilvl w:val="1"/>
          <w:numId w:val="110"/>
        </w:numPr>
        <w:rPr>
          <w:rFonts w:ascii="Arial" w:cs="Arial" w:eastAsia="Arial" w:hAnsi="Arial"/>
          <w:sz w:val="11"/>
          <w:szCs w:val="11"/>
          <w:color w:val="D7282F"/>
        </w:rPr>
      </w:pPr>
      <w:r>
        <w:rPr>
          <w:rFonts w:ascii="Arial" w:cs="Arial" w:eastAsia="Arial" w:hAnsi="Arial"/>
          <w:sz w:val="11"/>
          <w:szCs w:val="11"/>
          <w:color w:val="auto"/>
        </w:rPr>
        <w:t>Reading the Company’s analysis and third-party assessment to evaluate the Company’s methodology used in the analysis.</w:t>
      </w:r>
    </w:p>
    <w:p>
      <w:pPr>
        <w:spacing w:after="0" w:line="44" w:lineRule="exact"/>
        <w:rPr>
          <w:rFonts w:ascii="Arial" w:cs="Arial" w:eastAsia="Arial" w:hAnsi="Arial"/>
          <w:sz w:val="11"/>
          <w:szCs w:val="11"/>
          <w:color w:val="D7282F"/>
        </w:rPr>
      </w:pPr>
    </w:p>
    <w:p>
      <w:pPr>
        <w:ind w:left="268" w:hanging="138"/>
        <w:spacing w:after="0"/>
        <w:tabs>
          <w:tab w:leader="none" w:pos="268" w:val="left"/>
        </w:tabs>
        <w:numPr>
          <w:ilvl w:val="1"/>
          <w:numId w:val="110"/>
        </w:numPr>
        <w:rPr>
          <w:rFonts w:ascii="Arial" w:cs="Arial" w:eastAsia="Arial" w:hAnsi="Arial"/>
          <w:sz w:val="11"/>
          <w:szCs w:val="11"/>
          <w:color w:val="D7282F"/>
        </w:rPr>
      </w:pPr>
      <w:r>
        <w:rPr>
          <w:rFonts w:ascii="Arial" w:cs="Arial" w:eastAsia="Arial" w:hAnsi="Arial"/>
          <w:sz w:val="11"/>
          <w:szCs w:val="11"/>
          <w:color w:val="auto"/>
        </w:rPr>
        <w:t>Confirming the claims data with the NARCO Trust to evaluate the appropriateness of the underlying data used in the analysis.</w:t>
      </w:r>
    </w:p>
    <w:p>
      <w:pPr>
        <w:spacing w:after="0" w:line="44" w:lineRule="exact"/>
        <w:rPr>
          <w:rFonts w:ascii="Arial" w:cs="Arial" w:eastAsia="Arial" w:hAnsi="Arial"/>
          <w:sz w:val="11"/>
          <w:szCs w:val="11"/>
          <w:color w:val="D7282F"/>
        </w:rPr>
      </w:pPr>
    </w:p>
    <w:p>
      <w:pPr>
        <w:ind w:left="268" w:hanging="138"/>
        <w:spacing w:after="0"/>
        <w:tabs>
          <w:tab w:leader="none" w:pos="268" w:val="left"/>
        </w:tabs>
        <w:numPr>
          <w:ilvl w:val="1"/>
          <w:numId w:val="110"/>
        </w:numPr>
        <w:rPr>
          <w:rFonts w:ascii="Arial" w:cs="Arial" w:eastAsia="Arial" w:hAnsi="Arial"/>
          <w:sz w:val="11"/>
          <w:szCs w:val="11"/>
          <w:color w:val="D7282F"/>
        </w:rPr>
      </w:pPr>
      <w:r>
        <w:rPr>
          <w:rFonts w:ascii="Arial" w:cs="Arial" w:eastAsia="Arial" w:hAnsi="Arial"/>
          <w:sz w:val="11"/>
          <w:szCs w:val="11"/>
          <w:color w:val="auto"/>
        </w:rPr>
        <w:t>Making inquiries of the Company’s third-party specialist to identify the significant assumptions used to develop the analysis.</w:t>
      </w:r>
    </w:p>
    <w:p>
      <w:pPr>
        <w:spacing w:after="0" w:line="53" w:lineRule="exact"/>
        <w:rPr>
          <w:rFonts w:ascii="Arial" w:cs="Arial" w:eastAsia="Arial" w:hAnsi="Arial"/>
          <w:sz w:val="11"/>
          <w:szCs w:val="11"/>
          <w:color w:val="D7282F"/>
        </w:rPr>
      </w:pPr>
    </w:p>
    <w:p>
      <w:pPr>
        <w:ind w:left="268" w:hanging="138"/>
        <w:spacing w:after="0"/>
        <w:tabs>
          <w:tab w:leader="none" w:pos="268" w:val="left"/>
        </w:tabs>
        <w:numPr>
          <w:ilvl w:val="1"/>
          <w:numId w:val="110"/>
        </w:numPr>
        <w:rPr>
          <w:rFonts w:ascii="Arial" w:cs="Arial" w:eastAsia="Arial" w:hAnsi="Arial"/>
          <w:sz w:val="11"/>
          <w:szCs w:val="11"/>
          <w:color w:val="D7282F"/>
        </w:rPr>
      </w:pPr>
      <w:r>
        <w:rPr>
          <w:rFonts w:ascii="Arial" w:cs="Arial" w:eastAsia="Arial" w:hAnsi="Arial"/>
          <w:sz w:val="11"/>
          <w:szCs w:val="11"/>
          <w:color w:val="auto"/>
        </w:rPr>
        <w:t>Making inquiries of internal and external legal counsel regarding the regulatory and litigation environments related to the NARCO asbestos-related liability.</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110"/>
        </w:numPr>
        <w:rPr>
          <w:rFonts w:ascii="Arial" w:cs="Arial" w:eastAsia="Arial" w:hAnsi="Arial"/>
          <w:sz w:val="11"/>
          <w:szCs w:val="11"/>
          <w:color w:val="D7282F"/>
        </w:rPr>
      </w:pPr>
      <w:r>
        <w:rPr>
          <w:rFonts w:ascii="Arial" w:cs="Arial" w:eastAsia="Arial" w:hAnsi="Arial"/>
          <w:sz w:val="11"/>
          <w:szCs w:val="11"/>
          <w:color w:val="auto"/>
        </w:rPr>
        <w:t>With the assistance of our internal actuarial specialists, we developed a range of independent estimates and compared those to the Company’s recorded NARCO asbestos-related liability.</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Revenue Recognition and Contracts with Customers – Long-Term Contracts – Refer to Note 1 and Note 3 to the financial statements</w:t>
      </w:r>
    </w:p>
    <w:p>
      <w:pPr>
        <w:spacing w:after="0" w:line="5"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Critical Audit Matter Description</w:t>
      </w:r>
    </w:p>
    <w:p>
      <w:pPr>
        <w:jc w:val="both"/>
        <w:ind w:left="8"/>
        <w:spacing w:after="0" w:line="245" w:lineRule="auto"/>
        <w:rPr>
          <w:sz w:val="20"/>
          <w:szCs w:val="20"/>
          <w:color w:val="auto"/>
        </w:rPr>
      </w:pPr>
      <w:r>
        <w:rPr>
          <w:rFonts w:ascii="Arial" w:cs="Arial" w:eastAsia="Arial" w:hAnsi="Arial"/>
          <w:sz w:val="11"/>
          <w:szCs w:val="11"/>
          <w:color w:val="auto"/>
        </w:rPr>
        <w:t>The Company has several businesses which enter into long-term contracts whereby revenue is recognized over the contract term (“over time”) as the work progresses and control of the goods and services are continuously transferred to the customer. Revenue for these contracts is recognized based on the extent of progress towards completion, generally measured by using a cost-to-cost input method.</w:t>
      </w:r>
    </w:p>
    <w:p>
      <w:pPr>
        <w:spacing w:after="0" w:line="66"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Accounting for long-term contracts requires management’s judgment in estimating total contract costs. Contract costs, which can be incurred over several years, are largely determined based on negotiated or estimated purchase contract terms and consider factors such as historical performance trends, inflationary trends, technical and schedule risk, internal and subcontractor performance trends, business volume assumptions, asset utilization and anticipated labor agreements.</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color w:val="auto"/>
        </w:rPr>
        <w:t>Given the significance of the judgments necessary to estimate costs associated with these long-term contracts (which varies upon the length of the contract), auditing long-term contracts requires a high degree of auditor judgment.</w:t>
      </w:r>
    </w:p>
    <w:p>
      <w:pPr>
        <w:spacing w:after="0" w:line="284" w:lineRule="exact"/>
        <w:rPr>
          <w:sz w:val="20"/>
          <w:szCs w:val="20"/>
          <w:color w:val="auto"/>
        </w:rPr>
      </w:pPr>
    </w:p>
    <w:p>
      <w:pPr>
        <w:ind w:left="528" w:hanging="528"/>
        <w:spacing w:after="0"/>
        <w:tabs>
          <w:tab w:leader="none" w:pos="528" w:val="left"/>
        </w:tabs>
        <w:numPr>
          <w:ilvl w:val="0"/>
          <w:numId w:val="11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8"/>
          <w:szCs w:val="8"/>
          <w:b w:val="1"/>
          <w:bCs w:val="1"/>
          <w:color w:val="D7282F"/>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How the Critical Audit Matter Was Addressed in the Audit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audit procedures related to long-term contracts included the following, among others:</w:t>
      </w:r>
    </w:p>
    <w:p>
      <w:pPr>
        <w:spacing w:after="0" w:line="45" w:lineRule="exact"/>
        <w:rPr>
          <w:sz w:val="20"/>
          <w:szCs w:val="20"/>
          <w:color w:val="auto"/>
        </w:rPr>
      </w:pPr>
    </w:p>
    <w:p>
      <w:pPr>
        <w:ind w:left="128" w:right="20" w:hanging="128"/>
        <w:spacing w:after="0" w:line="245" w:lineRule="auto"/>
        <w:tabs>
          <w:tab w:leader="none" w:pos="126" w:val="left"/>
        </w:tabs>
        <w:numPr>
          <w:ilvl w:val="0"/>
          <w:numId w:val="112"/>
        </w:numPr>
        <w:rPr>
          <w:rFonts w:ascii="Arial" w:cs="Arial" w:eastAsia="Arial" w:hAnsi="Arial"/>
          <w:sz w:val="11"/>
          <w:szCs w:val="11"/>
          <w:color w:val="D7282F"/>
        </w:rPr>
      </w:pPr>
      <w:r>
        <w:rPr>
          <w:rFonts w:ascii="Arial" w:cs="Arial" w:eastAsia="Arial" w:hAnsi="Arial"/>
          <w:sz w:val="11"/>
          <w:szCs w:val="11"/>
          <w:color w:val="auto"/>
        </w:rPr>
        <w:t>We tested the effectiveness of internal controls over the recognition of revenue and the determination of estimated contract costs including controls over the review of management’s assumptions and key inputs used to recognize revenue and costs on long-term contracts using the cost-to-cost input method.</w:t>
      </w:r>
    </w:p>
    <w:p>
      <w:pPr>
        <w:spacing w:after="0" w:line="47" w:lineRule="exact"/>
        <w:rPr>
          <w:rFonts w:ascii="Arial" w:cs="Arial" w:eastAsia="Arial" w:hAnsi="Arial"/>
          <w:sz w:val="11"/>
          <w:szCs w:val="11"/>
          <w:color w:val="D7282F"/>
        </w:rPr>
      </w:pPr>
    </w:p>
    <w:p>
      <w:pPr>
        <w:ind w:left="128" w:hanging="128"/>
        <w:spacing w:after="0"/>
        <w:tabs>
          <w:tab w:leader="none" w:pos="128" w:val="left"/>
        </w:tabs>
        <w:numPr>
          <w:ilvl w:val="0"/>
          <w:numId w:val="112"/>
        </w:numPr>
        <w:rPr>
          <w:rFonts w:ascii="Arial" w:cs="Arial" w:eastAsia="Arial" w:hAnsi="Arial"/>
          <w:sz w:val="11"/>
          <w:szCs w:val="11"/>
          <w:color w:val="D7282F"/>
        </w:rPr>
      </w:pPr>
      <w:r>
        <w:rPr>
          <w:rFonts w:ascii="Arial" w:cs="Arial" w:eastAsia="Arial" w:hAnsi="Arial"/>
          <w:sz w:val="11"/>
          <w:szCs w:val="11"/>
          <w:color w:val="auto"/>
        </w:rPr>
        <w:t>We evaluated the appropriateness and consistency of management’s methods and assumptions used to recognize revenue and costs on long-term contracts using the cost-to-cost input method to recognize revenue over time.</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112"/>
        </w:numPr>
        <w:rPr>
          <w:rFonts w:ascii="Arial" w:cs="Arial" w:eastAsia="Arial" w:hAnsi="Arial"/>
          <w:sz w:val="11"/>
          <w:szCs w:val="11"/>
          <w:color w:val="D7282F"/>
        </w:rPr>
      </w:pPr>
      <w:r>
        <w:rPr>
          <w:rFonts w:ascii="Arial" w:cs="Arial" w:eastAsia="Arial" w:hAnsi="Arial"/>
          <w:sz w:val="11"/>
          <w:szCs w:val="11"/>
          <w:color w:val="auto"/>
        </w:rPr>
        <w:t>We tested recorded revenue using a combination of analytical procedures and detailed contract testing.</w:t>
      </w:r>
    </w:p>
    <w:p>
      <w:pPr>
        <w:spacing w:after="0" w:line="44" w:lineRule="exact"/>
        <w:rPr>
          <w:rFonts w:ascii="Arial" w:cs="Arial" w:eastAsia="Arial" w:hAnsi="Arial"/>
          <w:sz w:val="11"/>
          <w:szCs w:val="11"/>
          <w:color w:val="D7282F"/>
        </w:rPr>
      </w:pPr>
    </w:p>
    <w:p>
      <w:pPr>
        <w:ind w:left="128" w:hanging="128"/>
        <w:spacing w:after="0" w:line="245" w:lineRule="auto"/>
        <w:tabs>
          <w:tab w:leader="none" w:pos="126" w:val="left"/>
        </w:tabs>
        <w:numPr>
          <w:ilvl w:val="0"/>
          <w:numId w:val="112"/>
        </w:numPr>
        <w:rPr>
          <w:rFonts w:ascii="Arial" w:cs="Arial" w:eastAsia="Arial" w:hAnsi="Arial"/>
          <w:sz w:val="11"/>
          <w:szCs w:val="11"/>
          <w:color w:val="D7282F"/>
        </w:rPr>
      </w:pPr>
      <w:r>
        <w:rPr>
          <w:rFonts w:ascii="Arial" w:cs="Arial" w:eastAsia="Arial" w:hAnsi="Arial"/>
          <w:sz w:val="11"/>
          <w:szCs w:val="11"/>
          <w:color w:val="auto"/>
        </w:rPr>
        <w:t>We profiled the population of long-term contracts with longer duration and evaluated a selection of loss contracts or contracts with significant gross margin changes against historical performance to assess management’s ability to achieve estimates and to identify potential bias in the recognition of revenue over time.</w:t>
      </w:r>
    </w:p>
    <w:p>
      <w:pPr>
        <w:spacing w:after="0" w:line="3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 DELOITTE &amp; TOUCHE LLP</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Charlotte, North Carolina</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11, 2022</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have served as the Company's auditor since 2014.</w:t>
      </w:r>
    </w:p>
    <w:p>
      <w:pPr>
        <w:spacing w:after="0" w:line="27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115</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7" w:name="page118"/>
    <w:bookmarkEnd w:id="117"/>
    <w:p>
      <w:pPr>
        <w:ind w:left="8" w:right="420"/>
        <w:spacing w:after="0" w:line="287" w:lineRule="auto"/>
        <w:rPr>
          <w:sz w:val="20"/>
          <w:szCs w:val="20"/>
          <w:color w:val="auto"/>
        </w:rPr>
      </w:pPr>
      <w:r>
        <w:rPr>
          <w:rFonts w:ascii="Arial" w:cs="Arial" w:eastAsia="Arial" w:hAnsi="Arial"/>
          <w:sz w:val="24"/>
          <w:szCs w:val="24"/>
          <w:b w:val="1"/>
          <w:bCs w:val="1"/>
          <w:color w:val="auto"/>
        </w:rPr>
        <w:t>CHANGES IN AND DISAGREEMENTS WITH ACCOUNTANTS ON ACCOUNTING AND FINANCIAL DISCLOSURE</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1"/>
          <w:szCs w:val="11"/>
          <w:color w:val="auto"/>
        </w:rPr>
        <w:t>Not Applicable.</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CONTROLS AND PROCEDURES</w:t>
      </w:r>
    </w:p>
    <w:p>
      <w:pPr>
        <w:spacing w:after="0" w:line="278"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Honeywell management maintains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2021.</w:t>
      </w:r>
    </w:p>
    <w:p>
      <w:pPr>
        <w:spacing w:after="0" w:line="67"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Our management, with the participation of our CEO and CFO, evaluated the effectiveness of our disclosure controls and procedures (as defined in Rules 13a-15(e) or 15d-15(e) promulgated under the Exchange Act) as of December 31, 2021. Based on these evaluations, our CEO and CFO concluded that our disclosure controls and procedures were effective as of December 31, 2021.</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MANAGEMENT'S REPORT ON INTERNAL CONTROL OVER FINANCIAL REPORTING</w:t>
      </w:r>
    </w:p>
    <w:p>
      <w:pPr>
        <w:spacing w:after="0" w:line="269" w:lineRule="exact"/>
        <w:rPr>
          <w:sz w:val="20"/>
          <w:szCs w:val="20"/>
          <w:color w:val="auto"/>
        </w:rPr>
      </w:pPr>
    </w:p>
    <w:p>
      <w:pPr>
        <w:jc w:val="both"/>
        <w:ind w:left="8"/>
        <w:spacing w:after="0" w:line="242" w:lineRule="auto"/>
        <w:rPr>
          <w:sz w:val="20"/>
          <w:szCs w:val="20"/>
          <w:color w:val="auto"/>
        </w:rPr>
      </w:pPr>
      <w:r>
        <w:rPr>
          <w:rFonts w:ascii="Arial" w:cs="Arial" w:eastAsia="Arial" w:hAnsi="Arial"/>
          <w:sz w:val="11"/>
          <w:szCs w:val="11"/>
          <w:color w:val="auto"/>
        </w:rPr>
        <w:t>Honeywell management is responsible for establishing and maintaining adequate internal control over financial reporting and for its assessment of the effectiveness of internal control over financial reporting as defined in Rules 13a-15(f) or 15d-15(f) under the Exchange Act.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w:t>
      </w:r>
    </w:p>
    <w:p>
      <w:pPr>
        <w:spacing w:after="0" w:line="72"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 xml:space="preserve">Management assessed the effectiveness of Honeywell’s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1"/>
          <w:szCs w:val="11"/>
          <w:i w:val="1"/>
          <w:iCs w:val="1"/>
          <w:color w:val="auto"/>
        </w:rPr>
        <w:t>Internal Control—Integrated Framework (2013)</w:t>
      </w:r>
      <w:r>
        <w:rPr>
          <w:rFonts w:ascii="Arial" w:cs="Arial" w:eastAsia="Arial" w:hAnsi="Arial"/>
          <w:sz w:val="11"/>
          <w:szCs w:val="11"/>
          <w:color w:val="auto"/>
        </w:rPr>
        <w:t>.</w:t>
      </w:r>
    </w:p>
    <w:p>
      <w:pPr>
        <w:spacing w:after="0" w:line="66" w:lineRule="exact"/>
        <w:rPr>
          <w:sz w:val="20"/>
          <w:szCs w:val="20"/>
          <w:color w:val="auto"/>
        </w:rPr>
      </w:pPr>
    </w:p>
    <w:p>
      <w:pPr>
        <w:ind w:left="8"/>
        <w:spacing w:after="0"/>
        <w:rPr>
          <w:sz w:val="20"/>
          <w:szCs w:val="20"/>
          <w:color w:val="auto"/>
        </w:rPr>
      </w:pPr>
      <w:r>
        <w:rPr>
          <w:rFonts w:ascii="Arial" w:cs="Arial" w:eastAsia="Arial" w:hAnsi="Arial"/>
          <w:sz w:val="11"/>
          <w:szCs w:val="11"/>
          <w:color w:val="auto"/>
        </w:rPr>
        <w:t>Based on this assessment, management determined that Honeywell maintained effective internal control over financial reporting as of December 31, 2021.</w:t>
      </w:r>
    </w:p>
    <w:p>
      <w:pPr>
        <w:spacing w:after="0" w:line="72" w:lineRule="exact"/>
        <w:rPr>
          <w:sz w:val="20"/>
          <w:szCs w:val="20"/>
          <w:color w:val="auto"/>
        </w:rPr>
      </w:pPr>
    </w:p>
    <w:p>
      <w:pPr>
        <w:jc w:val="both"/>
        <w:ind w:left="8" w:right="20"/>
        <w:spacing w:after="0" w:line="245" w:lineRule="auto"/>
        <w:rPr>
          <w:sz w:val="20"/>
          <w:szCs w:val="20"/>
          <w:color w:val="auto"/>
        </w:rPr>
      </w:pPr>
      <w:r>
        <w:rPr>
          <w:rFonts w:ascii="Arial" w:cs="Arial" w:eastAsia="Arial" w:hAnsi="Arial"/>
          <w:sz w:val="11"/>
          <w:szCs w:val="11"/>
          <w:color w:val="auto"/>
        </w:rPr>
        <w:t>We have not experienced any material impact to our internal control over financial reporting during the COVID-19 pandemic. Most of our employees worked remotely during the year in which we prepared these financial statements due to the impact of COVID-19. We are continually monitoring and assessing the need to modify or enhance our disclosure controls to ensure disclosure controls and procedures continue to be effective.</w:t>
      </w:r>
    </w:p>
    <w:p>
      <w:pPr>
        <w:spacing w:after="0" w:line="66"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The effectiveness of Honeywell’s internal control over financial reporting as of December 31, 2021, has been audited by Deloitte &amp; Touche LLP, an independent registered public accounting firm, as stated in their report which is included in the section titled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8" w:hanging="528"/>
        <w:spacing w:after="0"/>
        <w:tabs>
          <w:tab w:leader="none" w:pos="528" w:val="left"/>
        </w:tabs>
        <w:numPr>
          <w:ilvl w:val="0"/>
          <w:numId w:val="11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118" w:name="page119"/>
    <w:bookmarkEnd w:id="118"/>
    <w:p>
      <w:pPr>
        <w:spacing w:after="0"/>
        <w:rPr>
          <w:sz w:val="20"/>
          <w:szCs w:val="20"/>
          <w:color w:val="auto"/>
        </w:rPr>
      </w:pPr>
      <w:r>
        <w:rPr>
          <w:rFonts w:ascii="Arial" w:cs="Arial" w:eastAsia="Arial" w:hAnsi="Arial"/>
          <w:sz w:val="24"/>
          <w:szCs w:val="24"/>
          <w:b w:val="1"/>
          <w:bCs w:val="1"/>
          <w:color w:val="auto"/>
        </w:rPr>
        <w:t>OTHER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DISCLOSURE REGARDING FOREIGN JURISDICTIONS THAT PREVENT INSPECTIONS</w:t>
      </w: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DIRECTORS, EXECUTIVE OFFICERS AND CORPORATE GOVERNANCE</w:t>
      </w:r>
    </w:p>
    <w:p>
      <w:pPr>
        <w:spacing w:after="0" w:line="278" w:lineRule="exact"/>
        <w:rPr>
          <w:sz w:val="20"/>
          <w:szCs w:val="20"/>
          <w:color w:val="auto"/>
        </w:rPr>
      </w:pPr>
    </w:p>
    <w:p>
      <w:pPr>
        <w:jc w:val="both"/>
        <w:ind w:right="20"/>
        <w:spacing w:after="0" w:line="242" w:lineRule="auto"/>
        <w:rPr>
          <w:sz w:val="20"/>
          <w:szCs w:val="20"/>
          <w:color w:val="auto"/>
        </w:rPr>
      </w:pPr>
      <w:r>
        <w:rPr>
          <w:rFonts w:ascii="Arial" w:cs="Arial" w:eastAsia="Arial" w:hAnsi="Arial"/>
          <w:sz w:val="11"/>
          <w:szCs w:val="11"/>
          <w:color w:val="auto"/>
        </w:rPr>
        <w:t>Information relating to the Directors of Honeywell, as well as information relating to compliance with Section 16(a) of the Securities Exchange Act of 1934, will be contained in the Proxy Statement, which will be filed with the SEC pursuant to Regulation 14A not later than 120 days after December 31, 2021, and such information is incorporated herein by reference. Certain information relating to the Executive Officers of Honeywell appears in this Form 10-K under the heading titled Information about our Executive Officers.</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The members of the Audit Committee of our Board of Directors are: George Paz (Chair), Kevin Burke, D. Scott Davis, Judd A. Gregg and Robin L. Washington. The Board has determined that Mr. Paz, Mr. Burke, Mr. Davis and Ms. Washington are audit committee financial experts as defined by applicable SEC rules and that Mr. Paz, Mr. Davis, and Ms. Washington satisfy the financial sophistication criteria established by the Nasdaq. All members of the Audit Committee are independent as that term is defined in applicable SEC rules and Nasdaq listing standards.</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Honeywell’s corporate governance policies and procedures, including the Code of Business Conduct, Corporate Governance Guidelines and Charters of the Committees of the Board of Directors are available, free of charge, on our website (honeywell.com) under the heading Investors (see Corporate Governance), or by writing to Honeywell, 855 South Mint Street, Charlotte, North Carolina 28202,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four business days of such amendment or waiver.</w:t>
      </w: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COMPENSATION</w:t>
      </w:r>
    </w:p>
    <w:p>
      <w:pPr>
        <w:spacing w:after="0" w:line="269"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Information relating to executive compensation, including the Management Development and Compensation Committee Report and disclosures regarding compensation committee interlocks and insider participation will be contained in the Proxy Statement, and such information is incorporated herein by reference.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117</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80" w:right="299" w:bottom="1440" w:gutter="0" w:footer="0" w:header="0"/>
        </w:sectPr>
      </w:pPr>
    </w:p>
    <w:bookmarkStart w:id="119" w:name="page120"/>
    <w:bookmarkEnd w:id="119"/>
    <w:p>
      <w:pPr>
        <w:ind w:left="8" w:right="220"/>
        <w:spacing w:after="0" w:line="287" w:lineRule="auto"/>
        <w:rPr>
          <w:sz w:val="20"/>
          <w:szCs w:val="20"/>
          <w:color w:val="auto"/>
        </w:rPr>
      </w:pPr>
      <w:r>
        <w:rPr>
          <w:rFonts w:ascii="Arial" w:cs="Arial" w:eastAsia="Arial" w:hAnsi="Arial"/>
          <w:sz w:val="24"/>
          <w:szCs w:val="24"/>
          <w:b w:val="1"/>
          <w:bCs w:val="1"/>
          <w:color w:val="auto"/>
        </w:rPr>
        <w:t>SECURITY OWNERSHIP OF CERTAIN BENEFICIAL OWNERS AND MANAGEMENT AND RELATED STOCKHOLDER MATTERS</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relating to security ownership of certain beneficial owners and management and related stockholder matters will be contained in the Proxy Statement, and such information is incorporated herein by reference.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EQUITY COMPENSATION PLANS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2021, information about our equity compensation plans is as follows:</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80" w:type="dxa"/>
            <w:vAlign w:val="bottom"/>
          </w:tcPr>
          <w:p>
            <w:pPr>
              <w:jc w:val="right"/>
              <w:spacing w:after="0"/>
              <w:rPr>
                <w:sz w:val="20"/>
                <w:szCs w:val="20"/>
                <w:color w:val="auto"/>
              </w:rPr>
            </w:pPr>
            <w:r>
              <w:rPr>
                <w:rFonts w:ascii="Arial" w:cs="Arial" w:eastAsia="Arial" w:hAnsi="Arial"/>
                <w:sz w:val="10"/>
                <w:szCs w:val="10"/>
                <w:b w:val="1"/>
                <w:bCs w:val="1"/>
                <w:color w:val="auto"/>
              </w:rPr>
              <w:t>Number of Securities</w:t>
            </w:r>
          </w:p>
        </w:tc>
      </w:tr>
      <w:tr>
        <w:trPr>
          <w:trHeight w:val="108"/>
        </w:trPr>
        <w:tc>
          <w:tcPr>
            <w:tcW w:w="5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Remaining Available for</w:t>
            </w:r>
          </w:p>
        </w:tc>
      </w:tr>
      <w:tr>
        <w:trPr>
          <w:trHeight w:val="108"/>
        </w:trPr>
        <w:tc>
          <w:tcPr>
            <w:tcW w:w="5400" w:type="dxa"/>
            <w:vAlign w:val="bottom"/>
          </w:tcPr>
          <w:p>
            <w:pPr>
              <w:spacing w:after="0"/>
              <w:rPr>
                <w:sz w:val="9"/>
                <w:szCs w:val="9"/>
                <w:color w:val="auto"/>
              </w:rPr>
            </w:pPr>
          </w:p>
        </w:tc>
        <w:tc>
          <w:tcPr>
            <w:tcW w:w="2260" w:type="dxa"/>
            <w:vAlign w:val="bottom"/>
            <w:gridSpan w:val="2"/>
          </w:tcPr>
          <w:p>
            <w:pPr>
              <w:jc w:val="right"/>
              <w:ind w:right="403"/>
              <w:spacing w:after="0" w:line="108" w:lineRule="exact"/>
              <w:rPr>
                <w:sz w:val="20"/>
                <w:szCs w:val="20"/>
                <w:color w:val="auto"/>
              </w:rPr>
            </w:pPr>
            <w:r>
              <w:rPr>
                <w:rFonts w:ascii="Arial" w:cs="Arial" w:eastAsia="Arial" w:hAnsi="Arial"/>
                <w:sz w:val="10"/>
                <w:szCs w:val="10"/>
                <w:b w:val="1"/>
                <w:bCs w:val="1"/>
                <w:color w:val="auto"/>
              </w:rPr>
              <w:t>Number of Securities</w:t>
            </w:r>
          </w:p>
        </w:tc>
        <w:tc>
          <w:tcPr>
            <w:tcW w:w="520" w:type="dxa"/>
            <w:vAlign w:val="bottom"/>
          </w:tcPr>
          <w:p>
            <w:pPr>
              <w:spacing w:after="0"/>
              <w:rPr>
                <w:sz w:val="9"/>
                <w:szCs w:val="9"/>
                <w:color w:val="auto"/>
              </w:rPr>
            </w:pPr>
          </w:p>
        </w:tc>
        <w:tc>
          <w:tcPr>
            <w:tcW w:w="1440" w:type="dxa"/>
            <w:vAlign w:val="bottom"/>
          </w:tcPr>
          <w:p>
            <w:pPr>
              <w:jc w:val="right"/>
              <w:ind w:right="512"/>
              <w:spacing w:after="0" w:line="108" w:lineRule="exact"/>
              <w:rPr>
                <w:sz w:val="20"/>
                <w:szCs w:val="20"/>
                <w:color w:val="auto"/>
              </w:rPr>
            </w:pPr>
            <w:r>
              <w:rPr>
                <w:rFonts w:ascii="Arial" w:cs="Arial" w:eastAsia="Arial" w:hAnsi="Arial"/>
                <w:sz w:val="10"/>
                <w:szCs w:val="10"/>
                <w:b w:val="1"/>
                <w:bCs w:val="1"/>
                <w:color w:val="auto"/>
                <w:w w:val="97"/>
              </w:rPr>
              <w:t>Weighted-Average</w:t>
            </w:r>
          </w:p>
        </w:tc>
        <w:tc>
          <w:tcPr>
            <w:tcW w:w="16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Future Issuance Under</w:t>
            </w:r>
          </w:p>
        </w:tc>
      </w:tr>
      <w:tr>
        <w:trPr>
          <w:trHeight w:val="108"/>
        </w:trPr>
        <w:tc>
          <w:tcPr>
            <w:tcW w:w="5400" w:type="dxa"/>
            <w:vAlign w:val="bottom"/>
          </w:tcPr>
          <w:p>
            <w:pPr>
              <w:spacing w:after="0"/>
              <w:rPr>
                <w:sz w:val="9"/>
                <w:szCs w:val="9"/>
                <w:color w:val="auto"/>
              </w:rPr>
            </w:pPr>
          </w:p>
        </w:tc>
        <w:tc>
          <w:tcPr>
            <w:tcW w:w="2260" w:type="dxa"/>
            <w:vAlign w:val="bottom"/>
            <w:gridSpan w:val="2"/>
          </w:tcPr>
          <w:p>
            <w:pPr>
              <w:jc w:val="right"/>
              <w:ind w:right="403"/>
              <w:spacing w:after="0" w:line="108" w:lineRule="exact"/>
              <w:rPr>
                <w:sz w:val="20"/>
                <w:szCs w:val="20"/>
                <w:color w:val="auto"/>
              </w:rPr>
            </w:pPr>
            <w:r>
              <w:rPr>
                <w:rFonts w:ascii="Arial" w:cs="Arial" w:eastAsia="Arial" w:hAnsi="Arial"/>
                <w:sz w:val="10"/>
                <w:szCs w:val="10"/>
                <w:b w:val="1"/>
                <w:bCs w:val="1"/>
                <w:color w:val="auto"/>
              </w:rPr>
              <w:t>to be Issued</w:t>
            </w:r>
          </w:p>
        </w:tc>
        <w:tc>
          <w:tcPr>
            <w:tcW w:w="520" w:type="dxa"/>
            <w:vAlign w:val="bottom"/>
          </w:tcPr>
          <w:p>
            <w:pPr>
              <w:spacing w:after="0"/>
              <w:rPr>
                <w:sz w:val="9"/>
                <w:szCs w:val="9"/>
                <w:color w:val="auto"/>
              </w:rPr>
            </w:pPr>
          </w:p>
        </w:tc>
        <w:tc>
          <w:tcPr>
            <w:tcW w:w="1440" w:type="dxa"/>
            <w:vAlign w:val="bottom"/>
          </w:tcPr>
          <w:p>
            <w:pPr>
              <w:jc w:val="right"/>
              <w:ind w:right="512"/>
              <w:spacing w:after="0" w:line="108" w:lineRule="exact"/>
              <w:rPr>
                <w:sz w:val="20"/>
                <w:szCs w:val="20"/>
                <w:color w:val="auto"/>
              </w:rPr>
            </w:pPr>
            <w:r>
              <w:rPr>
                <w:rFonts w:ascii="Arial" w:cs="Arial" w:eastAsia="Arial" w:hAnsi="Arial"/>
                <w:sz w:val="10"/>
                <w:szCs w:val="10"/>
                <w:b w:val="1"/>
                <w:bCs w:val="1"/>
                <w:color w:val="auto"/>
              </w:rPr>
              <w:t>Exercise Price of</w:t>
            </w:r>
          </w:p>
        </w:tc>
        <w:tc>
          <w:tcPr>
            <w:tcW w:w="16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Equity Compensation</w:t>
            </w:r>
          </w:p>
        </w:tc>
      </w:tr>
      <w:tr>
        <w:trPr>
          <w:trHeight w:val="108"/>
        </w:trPr>
        <w:tc>
          <w:tcPr>
            <w:tcW w:w="5400" w:type="dxa"/>
            <w:vAlign w:val="bottom"/>
          </w:tcPr>
          <w:p>
            <w:pPr>
              <w:spacing w:after="0"/>
              <w:rPr>
                <w:sz w:val="9"/>
                <w:szCs w:val="9"/>
                <w:color w:val="auto"/>
              </w:rPr>
            </w:pPr>
          </w:p>
        </w:tc>
        <w:tc>
          <w:tcPr>
            <w:tcW w:w="2260" w:type="dxa"/>
            <w:vAlign w:val="bottom"/>
            <w:gridSpan w:val="2"/>
          </w:tcPr>
          <w:p>
            <w:pPr>
              <w:jc w:val="right"/>
              <w:ind w:right="403"/>
              <w:spacing w:after="0" w:line="108" w:lineRule="exact"/>
              <w:rPr>
                <w:sz w:val="20"/>
                <w:szCs w:val="20"/>
                <w:color w:val="auto"/>
              </w:rPr>
            </w:pPr>
            <w:r>
              <w:rPr>
                <w:rFonts w:ascii="Arial" w:cs="Arial" w:eastAsia="Arial" w:hAnsi="Arial"/>
                <w:sz w:val="10"/>
                <w:szCs w:val="10"/>
                <w:b w:val="1"/>
                <w:bCs w:val="1"/>
                <w:color w:val="auto"/>
              </w:rPr>
              <w:t>Upon Exercise of</w:t>
            </w:r>
          </w:p>
        </w:tc>
        <w:tc>
          <w:tcPr>
            <w:tcW w:w="520" w:type="dxa"/>
            <w:vAlign w:val="bottom"/>
          </w:tcPr>
          <w:p>
            <w:pPr>
              <w:spacing w:after="0"/>
              <w:rPr>
                <w:sz w:val="9"/>
                <w:szCs w:val="9"/>
                <w:color w:val="auto"/>
              </w:rPr>
            </w:pPr>
          </w:p>
        </w:tc>
        <w:tc>
          <w:tcPr>
            <w:tcW w:w="1440" w:type="dxa"/>
            <w:vAlign w:val="bottom"/>
          </w:tcPr>
          <w:p>
            <w:pPr>
              <w:jc w:val="right"/>
              <w:ind w:right="512"/>
              <w:spacing w:after="0" w:line="108" w:lineRule="exact"/>
              <w:rPr>
                <w:sz w:val="20"/>
                <w:szCs w:val="20"/>
                <w:color w:val="auto"/>
              </w:rPr>
            </w:pPr>
            <w:r>
              <w:rPr>
                <w:rFonts w:ascii="Arial" w:cs="Arial" w:eastAsia="Arial" w:hAnsi="Arial"/>
                <w:sz w:val="10"/>
                <w:szCs w:val="10"/>
                <w:b w:val="1"/>
                <w:bCs w:val="1"/>
                <w:color w:val="auto"/>
              </w:rPr>
              <w:t>Outstanding</w:t>
            </w:r>
          </w:p>
        </w:tc>
        <w:tc>
          <w:tcPr>
            <w:tcW w:w="16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Plans (Excluding</w:t>
            </w:r>
          </w:p>
        </w:tc>
      </w:tr>
      <w:tr>
        <w:trPr>
          <w:trHeight w:val="108"/>
        </w:trPr>
        <w:tc>
          <w:tcPr>
            <w:tcW w:w="5400" w:type="dxa"/>
            <w:vAlign w:val="bottom"/>
          </w:tcPr>
          <w:p>
            <w:pPr>
              <w:spacing w:after="0"/>
              <w:rPr>
                <w:sz w:val="9"/>
                <w:szCs w:val="9"/>
                <w:color w:val="auto"/>
              </w:rPr>
            </w:pPr>
          </w:p>
        </w:tc>
        <w:tc>
          <w:tcPr>
            <w:tcW w:w="2260" w:type="dxa"/>
            <w:vAlign w:val="bottom"/>
            <w:gridSpan w:val="2"/>
          </w:tcPr>
          <w:p>
            <w:pPr>
              <w:jc w:val="right"/>
              <w:ind w:right="403"/>
              <w:spacing w:after="0" w:line="108" w:lineRule="exact"/>
              <w:rPr>
                <w:sz w:val="20"/>
                <w:szCs w:val="20"/>
                <w:color w:val="auto"/>
              </w:rPr>
            </w:pPr>
            <w:r>
              <w:rPr>
                <w:rFonts w:ascii="Arial" w:cs="Arial" w:eastAsia="Arial" w:hAnsi="Arial"/>
                <w:sz w:val="10"/>
                <w:szCs w:val="10"/>
                <w:b w:val="1"/>
                <w:bCs w:val="1"/>
                <w:color w:val="auto"/>
              </w:rPr>
              <w:t>Outstanding Options,</w:t>
            </w:r>
          </w:p>
        </w:tc>
        <w:tc>
          <w:tcPr>
            <w:tcW w:w="520" w:type="dxa"/>
            <w:vAlign w:val="bottom"/>
          </w:tcPr>
          <w:p>
            <w:pPr>
              <w:spacing w:after="0"/>
              <w:rPr>
                <w:sz w:val="9"/>
                <w:szCs w:val="9"/>
                <w:color w:val="auto"/>
              </w:rPr>
            </w:pPr>
          </w:p>
        </w:tc>
        <w:tc>
          <w:tcPr>
            <w:tcW w:w="1440" w:type="dxa"/>
            <w:vAlign w:val="bottom"/>
          </w:tcPr>
          <w:p>
            <w:pPr>
              <w:jc w:val="right"/>
              <w:ind w:right="512"/>
              <w:spacing w:after="0" w:line="108" w:lineRule="exact"/>
              <w:rPr>
                <w:sz w:val="20"/>
                <w:szCs w:val="20"/>
                <w:color w:val="auto"/>
              </w:rPr>
            </w:pPr>
            <w:r>
              <w:rPr>
                <w:rFonts w:ascii="Arial" w:cs="Arial" w:eastAsia="Arial" w:hAnsi="Arial"/>
                <w:sz w:val="10"/>
                <w:szCs w:val="10"/>
                <w:b w:val="1"/>
                <w:bCs w:val="1"/>
                <w:color w:val="auto"/>
                <w:w w:val="99"/>
              </w:rPr>
              <w:t>Options, Warrants</w:t>
            </w:r>
          </w:p>
        </w:tc>
        <w:tc>
          <w:tcPr>
            <w:tcW w:w="16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Securities Reflected in</w:t>
            </w:r>
          </w:p>
        </w:tc>
      </w:tr>
      <w:tr>
        <w:trPr>
          <w:trHeight w:val="131"/>
        </w:trPr>
        <w:tc>
          <w:tcPr>
            <w:tcW w:w="5400" w:type="dxa"/>
            <w:vAlign w:val="bottom"/>
          </w:tcPr>
          <w:p>
            <w:pPr>
              <w:spacing w:after="0"/>
              <w:rPr>
                <w:sz w:val="11"/>
                <w:szCs w:val="11"/>
                <w:color w:val="auto"/>
              </w:rPr>
            </w:pPr>
          </w:p>
        </w:tc>
        <w:tc>
          <w:tcPr>
            <w:tcW w:w="2260" w:type="dxa"/>
            <w:vAlign w:val="bottom"/>
            <w:tcBorders>
              <w:bottom w:val="single" w:sz="8" w:color="DC202E"/>
            </w:tcBorders>
            <w:gridSpan w:val="2"/>
          </w:tcPr>
          <w:p>
            <w:pPr>
              <w:jc w:val="right"/>
              <w:ind w:right="403"/>
              <w:spacing w:after="0"/>
              <w:rPr>
                <w:sz w:val="20"/>
                <w:szCs w:val="20"/>
                <w:color w:val="auto"/>
              </w:rPr>
            </w:pPr>
            <w:r>
              <w:rPr>
                <w:rFonts w:ascii="Arial" w:cs="Arial" w:eastAsia="Arial" w:hAnsi="Arial"/>
                <w:sz w:val="10"/>
                <w:szCs w:val="10"/>
                <w:b w:val="1"/>
                <w:bCs w:val="1"/>
                <w:color w:val="auto"/>
              </w:rPr>
              <w:t>Warrants and Rights</w:t>
            </w:r>
          </w:p>
        </w:tc>
        <w:tc>
          <w:tcPr>
            <w:tcW w:w="520" w:type="dxa"/>
            <w:vAlign w:val="bottom"/>
            <w:tcBorders>
              <w:bottom w:val="single" w:sz="8" w:color="DC202E"/>
            </w:tcBorders>
          </w:tcPr>
          <w:p>
            <w:pPr>
              <w:spacing w:after="0"/>
              <w:rPr>
                <w:sz w:val="11"/>
                <w:szCs w:val="11"/>
                <w:color w:val="auto"/>
              </w:rPr>
            </w:pPr>
          </w:p>
        </w:tc>
        <w:tc>
          <w:tcPr>
            <w:tcW w:w="144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and Rights</w:t>
            </w:r>
          </w:p>
        </w:tc>
        <w:tc>
          <w:tcPr>
            <w:tcW w:w="1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Column (a))</w:t>
            </w:r>
          </w:p>
        </w:tc>
      </w:tr>
      <w:tr>
        <w:trPr>
          <w:trHeight w:val="151"/>
        </w:trPr>
        <w:tc>
          <w:tcPr>
            <w:tcW w:w="5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Plan category</w:t>
            </w:r>
          </w:p>
        </w:tc>
        <w:tc>
          <w:tcPr>
            <w:tcW w:w="1560" w:type="dxa"/>
            <w:vAlign w:val="bottom"/>
            <w:tcBorders>
              <w:bottom w:val="single" w:sz="8" w:color="DC202E"/>
            </w:tcBorders>
          </w:tcPr>
          <w:p>
            <w:pPr>
              <w:spacing w:after="0"/>
              <w:rPr>
                <w:sz w:val="13"/>
                <w:szCs w:val="13"/>
                <w:color w:val="auto"/>
              </w:rPr>
            </w:pPr>
          </w:p>
        </w:tc>
        <w:tc>
          <w:tcPr>
            <w:tcW w:w="700" w:type="dxa"/>
            <w:vAlign w:val="bottom"/>
            <w:tcBorders>
              <w:bottom w:val="single" w:sz="8" w:color="DC202E"/>
            </w:tcBorders>
          </w:tcPr>
          <w:p>
            <w:pPr>
              <w:jc w:val="right"/>
              <w:ind w:right="403"/>
              <w:spacing w:after="0"/>
              <w:rPr>
                <w:sz w:val="20"/>
                <w:szCs w:val="20"/>
                <w:color w:val="auto"/>
              </w:rPr>
            </w:pPr>
            <w:r>
              <w:rPr>
                <w:rFonts w:ascii="Arial" w:cs="Arial" w:eastAsia="Arial" w:hAnsi="Arial"/>
                <w:sz w:val="10"/>
                <w:szCs w:val="10"/>
                <w:b w:val="1"/>
                <w:bCs w:val="1"/>
                <w:color w:val="auto"/>
              </w:rPr>
              <w:t>(a)</w:t>
            </w:r>
          </w:p>
        </w:tc>
        <w:tc>
          <w:tcPr>
            <w:tcW w:w="520" w:type="dxa"/>
            <w:vAlign w:val="bottom"/>
            <w:tcBorders>
              <w:bottom w:val="single" w:sz="8" w:color="DC202E"/>
            </w:tcBorders>
          </w:tcPr>
          <w:p>
            <w:pPr>
              <w:spacing w:after="0"/>
              <w:rPr>
                <w:sz w:val="13"/>
                <w:szCs w:val="13"/>
                <w:color w:val="auto"/>
              </w:rPr>
            </w:pPr>
          </w:p>
        </w:tc>
        <w:tc>
          <w:tcPr>
            <w:tcW w:w="1440" w:type="dxa"/>
            <w:vAlign w:val="bottom"/>
            <w:tcBorders>
              <w:bottom w:val="single" w:sz="8" w:color="DC202E"/>
            </w:tcBorders>
          </w:tcPr>
          <w:p>
            <w:pPr>
              <w:jc w:val="right"/>
              <w:ind w:right="512"/>
              <w:spacing w:after="0"/>
              <w:rPr>
                <w:sz w:val="20"/>
                <w:szCs w:val="20"/>
                <w:color w:val="auto"/>
              </w:rPr>
            </w:pPr>
            <w:r>
              <w:rPr>
                <w:rFonts w:ascii="Arial" w:cs="Arial" w:eastAsia="Arial" w:hAnsi="Arial"/>
                <w:sz w:val="10"/>
                <w:szCs w:val="10"/>
                <w:b w:val="1"/>
                <w:bCs w:val="1"/>
                <w:color w:val="auto"/>
              </w:rPr>
              <w:t>(b)</w:t>
            </w:r>
          </w:p>
        </w:tc>
        <w:tc>
          <w:tcPr>
            <w:tcW w:w="1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(c)</w:t>
            </w:r>
          </w:p>
        </w:tc>
      </w:tr>
      <w:tr>
        <w:trPr>
          <w:trHeight w:val="119"/>
        </w:trPr>
        <w:tc>
          <w:tcPr>
            <w:tcW w:w="540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Equity compensation plans approved by security holders</w:t>
            </w:r>
          </w:p>
        </w:tc>
        <w:tc>
          <w:tcPr>
            <w:tcW w:w="156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19,340,042</w:t>
            </w:r>
          </w:p>
        </w:tc>
        <w:tc>
          <w:tcPr>
            <w:tcW w:w="700" w:type="dxa"/>
            <w:vAlign w:val="bottom"/>
            <w:tcBorders>
              <w:bottom w:val="single" w:sz="8" w:color="939598"/>
            </w:tcBorders>
          </w:tcPr>
          <w:p>
            <w:pPr>
              <w:jc w:val="right"/>
              <w:ind w:right="543"/>
              <w:spacing w:after="0"/>
              <w:rPr>
                <w:sz w:val="20"/>
                <w:szCs w:val="20"/>
                <w:color w:val="auto"/>
              </w:rPr>
            </w:pPr>
            <w:r>
              <w:rPr>
                <w:rFonts w:ascii="Arial" w:cs="Arial" w:eastAsia="Arial" w:hAnsi="Arial"/>
                <w:sz w:val="6"/>
                <w:szCs w:val="6"/>
                <w:color w:val="auto"/>
              </w:rPr>
              <w:t>(1)</w:t>
            </w:r>
          </w:p>
        </w:tc>
        <w:tc>
          <w:tcPr>
            <w:tcW w:w="52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w:t>
            </w:r>
          </w:p>
        </w:tc>
        <w:tc>
          <w:tcPr>
            <w:tcW w:w="1440" w:type="dxa"/>
            <w:vAlign w:val="bottom"/>
            <w:tcBorders>
              <w:bottom w:val="single" w:sz="8" w:color="939598"/>
            </w:tcBorders>
          </w:tcPr>
          <w:p>
            <w:pPr>
              <w:ind w:left="300"/>
              <w:spacing w:after="0" w:line="119" w:lineRule="exact"/>
              <w:rPr>
                <w:sz w:val="20"/>
                <w:szCs w:val="20"/>
                <w:color w:val="auto"/>
              </w:rPr>
            </w:pPr>
            <w:r>
              <w:rPr>
                <w:rFonts w:ascii="Arial" w:cs="Arial" w:eastAsia="Arial" w:hAnsi="Arial"/>
                <w:sz w:val="10"/>
                <w:szCs w:val="10"/>
                <w:color w:val="auto"/>
              </w:rPr>
              <w:t xml:space="preserve">135.31 </w:t>
            </w:r>
            <w:r>
              <w:rPr>
                <w:rFonts w:ascii="Arial" w:cs="Arial" w:eastAsia="Arial" w:hAnsi="Arial"/>
                <w:sz w:val="12"/>
                <w:szCs w:val="12"/>
                <w:color w:val="auto"/>
                <w:vertAlign w:val="superscript"/>
              </w:rPr>
              <w:t>(2)</w:t>
            </w:r>
          </w:p>
        </w:tc>
        <w:tc>
          <w:tcPr>
            <w:tcW w:w="1680" w:type="dxa"/>
            <w:vAlign w:val="bottom"/>
            <w:tcBorders>
              <w:bottom w:val="single" w:sz="8" w:color="939598"/>
            </w:tcBorders>
          </w:tcPr>
          <w:p>
            <w:pPr>
              <w:ind w:left="900"/>
              <w:spacing w:after="0" w:line="119" w:lineRule="exact"/>
              <w:rPr>
                <w:sz w:val="20"/>
                <w:szCs w:val="20"/>
                <w:color w:val="auto"/>
              </w:rPr>
            </w:pPr>
            <w:r>
              <w:rPr>
                <w:rFonts w:ascii="Arial" w:cs="Arial" w:eastAsia="Arial" w:hAnsi="Arial"/>
                <w:sz w:val="10"/>
                <w:szCs w:val="10"/>
                <w:color w:val="auto"/>
              </w:rPr>
              <w:t xml:space="preserve">34,886,930 </w:t>
            </w:r>
            <w:r>
              <w:rPr>
                <w:rFonts w:ascii="Arial" w:cs="Arial" w:eastAsia="Arial" w:hAnsi="Arial"/>
                <w:sz w:val="12"/>
                <w:szCs w:val="12"/>
                <w:color w:val="auto"/>
                <w:vertAlign w:val="superscript"/>
              </w:rPr>
              <w:t>(3)</w:t>
            </w:r>
          </w:p>
        </w:tc>
      </w:tr>
      <w:tr>
        <w:trPr>
          <w:trHeight w:val="115"/>
        </w:trPr>
        <w:tc>
          <w:tcPr>
            <w:tcW w:w="540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Equity compensation plans not approved by security holders</w:t>
            </w:r>
          </w:p>
        </w:tc>
        <w:tc>
          <w:tcPr>
            <w:tcW w:w="1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225,753</w:t>
            </w:r>
          </w:p>
        </w:tc>
        <w:tc>
          <w:tcPr>
            <w:tcW w:w="700" w:type="dxa"/>
            <w:vAlign w:val="bottom"/>
            <w:tcBorders>
              <w:bottom w:val="single" w:sz="8" w:color="DC202E"/>
            </w:tcBorders>
          </w:tcPr>
          <w:p>
            <w:pPr>
              <w:jc w:val="right"/>
              <w:ind w:right="543"/>
              <w:spacing w:after="0"/>
              <w:rPr>
                <w:sz w:val="20"/>
                <w:szCs w:val="20"/>
                <w:color w:val="auto"/>
              </w:rPr>
            </w:pPr>
            <w:r>
              <w:rPr>
                <w:rFonts w:ascii="Arial" w:cs="Arial" w:eastAsia="Arial" w:hAnsi="Arial"/>
                <w:sz w:val="6"/>
                <w:szCs w:val="6"/>
                <w:color w:val="auto"/>
              </w:rPr>
              <w:t>(4)</w:t>
            </w:r>
          </w:p>
        </w:tc>
        <w:tc>
          <w:tcPr>
            <w:tcW w:w="520" w:type="dxa"/>
            <w:vAlign w:val="bottom"/>
            <w:tcBorders>
              <w:bottom w:val="single" w:sz="8" w:color="DC202E"/>
            </w:tcBorders>
          </w:tcPr>
          <w:p>
            <w:pPr>
              <w:spacing w:after="0"/>
              <w:rPr>
                <w:sz w:val="10"/>
                <w:szCs w:val="10"/>
                <w:color w:val="auto"/>
              </w:rPr>
            </w:pPr>
          </w:p>
        </w:tc>
        <w:tc>
          <w:tcPr>
            <w:tcW w:w="1440" w:type="dxa"/>
            <w:vAlign w:val="bottom"/>
            <w:tcBorders>
              <w:bottom w:val="single" w:sz="8" w:color="DC202E"/>
            </w:tcBorders>
          </w:tcPr>
          <w:p>
            <w:pPr>
              <w:jc w:val="right"/>
              <w:ind w:right="672"/>
              <w:spacing w:after="0" w:line="115" w:lineRule="exact"/>
              <w:rPr>
                <w:sz w:val="20"/>
                <w:szCs w:val="20"/>
                <w:color w:val="auto"/>
              </w:rPr>
            </w:pPr>
            <w:r>
              <w:rPr>
                <w:rFonts w:ascii="Arial" w:cs="Arial" w:eastAsia="Arial" w:hAnsi="Arial"/>
                <w:sz w:val="10"/>
                <w:szCs w:val="10"/>
                <w:color w:val="auto"/>
              </w:rPr>
              <w:t xml:space="preserve">N/A </w:t>
            </w:r>
            <w:r>
              <w:rPr>
                <w:rFonts w:ascii="Arial" w:cs="Arial" w:eastAsia="Arial" w:hAnsi="Arial"/>
                <w:sz w:val="12"/>
                <w:szCs w:val="12"/>
                <w:color w:val="auto"/>
                <w:vertAlign w:val="superscript"/>
              </w:rPr>
              <w:t>(5)</w:t>
            </w:r>
          </w:p>
        </w:tc>
        <w:tc>
          <w:tcPr>
            <w:tcW w:w="1680" w:type="dxa"/>
            <w:vAlign w:val="bottom"/>
            <w:tcBorders>
              <w:bottom w:val="single" w:sz="8" w:color="DC202E"/>
            </w:tcBorders>
          </w:tcPr>
          <w:p>
            <w:pPr>
              <w:jc w:val="right"/>
              <w:ind w:right="112"/>
              <w:spacing w:after="0" w:line="115" w:lineRule="exact"/>
              <w:rPr>
                <w:sz w:val="20"/>
                <w:szCs w:val="20"/>
                <w:color w:val="auto"/>
              </w:rPr>
            </w:pPr>
            <w:r>
              <w:rPr>
                <w:rFonts w:ascii="Arial" w:cs="Arial" w:eastAsia="Arial" w:hAnsi="Arial"/>
                <w:sz w:val="10"/>
                <w:szCs w:val="10"/>
                <w:color w:val="auto"/>
              </w:rPr>
              <w:t xml:space="preserve">N/A </w:t>
            </w:r>
            <w:r>
              <w:rPr>
                <w:rFonts w:ascii="Arial" w:cs="Arial" w:eastAsia="Arial" w:hAnsi="Arial"/>
                <w:sz w:val="12"/>
                <w:szCs w:val="12"/>
                <w:color w:val="auto"/>
                <w:vertAlign w:val="superscript"/>
              </w:rPr>
              <w:t>(6)</w:t>
            </w:r>
          </w:p>
        </w:tc>
      </w:tr>
      <w:tr>
        <w:trPr>
          <w:trHeight w:val="115"/>
        </w:trPr>
        <w:tc>
          <w:tcPr>
            <w:tcW w:w="540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Total</w:t>
            </w:r>
          </w:p>
        </w:tc>
        <w:tc>
          <w:tcPr>
            <w:tcW w:w="15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19,565,795</w:t>
            </w:r>
          </w:p>
        </w:tc>
        <w:tc>
          <w:tcPr>
            <w:tcW w:w="700" w:type="dxa"/>
            <w:vAlign w:val="bottom"/>
            <w:tcBorders>
              <w:bottom w:val="single" w:sz="8" w:color="DC202E"/>
            </w:tcBorders>
          </w:tcPr>
          <w:p>
            <w:pPr>
              <w:spacing w:after="0"/>
              <w:rPr>
                <w:sz w:val="10"/>
                <w:szCs w:val="10"/>
                <w:color w:val="auto"/>
              </w:rPr>
            </w:pPr>
          </w:p>
        </w:tc>
        <w:tc>
          <w:tcPr>
            <w:tcW w:w="5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1440" w:type="dxa"/>
            <w:vAlign w:val="bottom"/>
            <w:tcBorders>
              <w:bottom w:val="single" w:sz="8" w:color="DC202E"/>
            </w:tcBorders>
          </w:tcPr>
          <w:p>
            <w:pPr>
              <w:ind w:left="300"/>
              <w:spacing w:after="0"/>
              <w:rPr>
                <w:sz w:val="20"/>
                <w:szCs w:val="20"/>
                <w:color w:val="auto"/>
              </w:rPr>
            </w:pPr>
            <w:r>
              <w:rPr>
                <w:rFonts w:ascii="Arial" w:cs="Arial" w:eastAsia="Arial" w:hAnsi="Arial"/>
                <w:sz w:val="10"/>
                <w:szCs w:val="10"/>
                <w:b w:val="1"/>
                <w:bCs w:val="1"/>
                <w:color w:val="auto"/>
              </w:rPr>
              <w:t>135.31</w:t>
            </w:r>
          </w:p>
        </w:tc>
        <w:tc>
          <w:tcPr>
            <w:tcW w:w="1680" w:type="dxa"/>
            <w:vAlign w:val="bottom"/>
            <w:tcBorders>
              <w:bottom w:val="single" w:sz="8" w:color="DC202E"/>
            </w:tcBorders>
          </w:tcPr>
          <w:p>
            <w:pPr>
              <w:ind w:left="900"/>
              <w:spacing w:after="0"/>
              <w:rPr>
                <w:sz w:val="20"/>
                <w:szCs w:val="20"/>
                <w:color w:val="auto"/>
              </w:rPr>
            </w:pPr>
            <w:r>
              <w:rPr>
                <w:rFonts w:ascii="Arial" w:cs="Arial" w:eastAsia="Arial" w:hAnsi="Arial"/>
                <w:sz w:val="10"/>
                <w:szCs w:val="10"/>
                <w:b w:val="1"/>
                <w:bCs w:val="1"/>
                <w:color w:val="auto"/>
              </w:rPr>
              <w:t>34,886,930</w:t>
            </w:r>
          </w:p>
        </w:tc>
      </w:tr>
    </w:tbl>
    <w:p>
      <w:pPr>
        <w:spacing w:after="0" w:line="131" w:lineRule="exact"/>
        <w:rPr>
          <w:sz w:val="20"/>
          <w:szCs w:val="20"/>
          <w:color w:val="auto"/>
        </w:rPr>
      </w:pPr>
    </w:p>
    <w:p>
      <w:pPr>
        <w:jc w:val="both"/>
        <w:ind w:left="128" w:hanging="128"/>
        <w:spacing w:after="0" w:line="236" w:lineRule="auto"/>
        <w:tabs>
          <w:tab w:leader="none" w:pos="146" w:val="left"/>
        </w:tabs>
        <w:numPr>
          <w:ilvl w:val="0"/>
          <w:numId w:val="114"/>
        </w:numPr>
        <w:rPr>
          <w:rFonts w:ascii="Arial" w:cs="Arial" w:eastAsia="Arial" w:hAnsi="Arial"/>
          <w:sz w:val="11"/>
          <w:szCs w:val="11"/>
          <w:color w:val="auto"/>
          <w:vertAlign w:val="superscript"/>
        </w:rPr>
      </w:pPr>
      <w:r>
        <w:rPr>
          <w:rFonts w:ascii="Arial" w:cs="Arial" w:eastAsia="Arial" w:hAnsi="Arial"/>
          <w:sz w:val="8"/>
          <w:szCs w:val="8"/>
          <w:color w:val="auto"/>
        </w:rPr>
        <w:t>Equity compensation plans approved by shareowners which are included in column (a) of the table are the 2016 Stock Incentive Plan and the 2011 Stock Incentive Plan (including 15,657,151 shares of Common Stock to be issued upon exercise of outstanding options; 2,886,193 RSUs subject to continued employment; 197,586 RSUs at target level and subject to company performance metrics and continued employment; and 415,773 deferred RSUs); and the 2016 Stock Plan for Non-Employee Directors and the 2006 Stock Plan for Non-Employee Directors (including 175,104 shares of Common Stock to be issued upon exercise of outstanding options; and 8,235 RSUs subject to continued services).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99" w:lineRule="exact"/>
        <w:rPr>
          <w:rFonts w:ascii="Arial" w:cs="Arial" w:eastAsia="Arial" w:hAnsi="Arial"/>
          <w:sz w:val="11"/>
          <w:szCs w:val="11"/>
          <w:color w:val="auto"/>
          <w:vertAlign w:val="superscript"/>
        </w:rPr>
      </w:pPr>
    </w:p>
    <w:p>
      <w:pPr>
        <w:ind w:left="128"/>
        <w:spacing w:after="0"/>
        <w:rPr>
          <w:rFonts w:ascii="Arial" w:cs="Arial" w:eastAsia="Arial" w:hAnsi="Arial"/>
          <w:sz w:val="11"/>
          <w:szCs w:val="11"/>
          <w:color w:val="auto"/>
          <w:vertAlign w:val="superscript"/>
        </w:rPr>
      </w:pPr>
      <w:r>
        <w:rPr>
          <w:rFonts w:ascii="Arial" w:cs="Arial" w:eastAsia="Arial" w:hAnsi="Arial"/>
          <w:sz w:val="8"/>
          <w:szCs w:val="8"/>
          <w:color w:val="auto"/>
        </w:rPr>
        <w:t>Because the number of future shares that may be distributed to employees participating in the Honeywell Global Stock Plan is unknown, no shares attributable to that plan are included in column (a) of the table above.</w:t>
      </w:r>
    </w:p>
    <w:p>
      <w:pPr>
        <w:spacing w:after="0" w:line="25"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14"/>
        </w:numPr>
        <w:rPr>
          <w:rFonts w:ascii="Arial" w:cs="Arial" w:eastAsia="Arial" w:hAnsi="Arial"/>
          <w:sz w:val="11"/>
          <w:szCs w:val="11"/>
          <w:color w:val="auto"/>
          <w:vertAlign w:val="superscript"/>
        </w:rPr>
      </w:pPr>
      <w:r>
        <w:rPr>
          <w:rFonts w:ascii="Arial" w:cs="Arial" w:eastAsia="Arial" w:hAnsi="Arial"/>
          <w:sz w:val="8"/>
          <w:szCs w:val="8"/>
          <w:color w:val="auto"/>
        </w:rPr>
        <w:t>Column (b) relates to stock options and does not include any exercise price for RSUs because an RSU’s value is dependent upon attainment of certain performance goals and/or continued employment or service and they are settled for shares of Common Stock on a one-for-one basis.</w:t>
      </w:r>
    </w:p>
    <w:p>
      <w:pPr>
        <w:spacing w:after="0" w:line="44" w:lineRule="exact"/>
        <w:rPr>
          <w:rFonts w:ascii="Arial" w:cs="Arial" w:eastAsia="Arial" w:hAnsi="Arial"/>
          <w:sz w:val="11"/>
          <w:szCs w:val="11"/>
          <w:color w:val="auto"/>
          <w:vertAlign w:val="superscript"/>
        </w:rPr>
      </w:pPr>
    </w:p>
    <w:p>
      <w:pPr>
        <w:jc w:val="both"/>
        <w:ind w:left="128" w:hanging="128"/>
        <w:spacing w:after="0" w:line="230" w:lineRule="auto"/>
        <w:tabs>
          <w:tab w:leader="none" w:pos="137" w:val="left"/>
        </w:tabs>
        <w:numPr>
          <w:ilvl w:val="0"/>
          <w:numId w:val="114"/>
        </w:numPr>
        <w:rPr>
          <w:rFonts w:ascii="Arial" w:cs="Arial" w:eastAsia="Arial" w:hAnsi="Arial"/>
          <w:sz w:val="11"/>
          <w:szCs w:val="11"/>
          <w:color w:val="auto"/>
          <w:vertAlign w:val="superscript"/>
        </w:rPr>
      </w:pPr>
      <w:r>
        <w:rPr>
          <w:rFonts w:ascii="Arial" w:cs="Arial" w:eastAsia="Arial" w:hAnsi="Arial"/>
          <w:sz w:val="8"/>
          <w:szCs w:val="8"/>
          <w:color w:val="auto"/>
        </w:rPr>
        <w:t>The number of shares that may be issued under the 2016 Stock Incentive Plan as of December 31, 2021 is 32,337,638,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Honeywell. No securities are available for future issuance under the 2011 Stock Incentive Plan.</w:t>
      </w:r>
    </w:p>
    <w:p>
      <w:pPr>
        <w:spacing w:after="0" w:line="53" w:lineRule="exact"/>
        <w:rPr>
          <w:rFonts w:ascii="Arial" w:cs="Arial" w:eastAsia="Arial" w:hAnsi="Arial"/>
          <w:sz w:val="11"/>
          <w:szCs w:val="11"/>
          <w:color w:val="auto"/>
          <w:vertAlign w:val="superscript"/>
        </w:rPr>
      </w:pPr>
    </w:p>
    <w:p>
      <w:pPr>
        <w:ind w:left="128"/>
        <w:spacing w:after="0"/>
        <w:rPr>
          <w:rFonts w:ascii="Arial" w:cs="Arial" w:eastAsia="Arial" w:hAnsi="Arial"/>
          <w:sz w:val="11"/>
          <w:szCs w:val="11"/>
          <w:color w:val="auto"/>
          <w:vertAlign w:val="superscript"/>
        </w:rPr>
      </w:pPr>
      <w:r>
        <w:rPr>
          <w:rFonts w:ascii="Arial" w:cs="Arial" w:eastAsia="Arial" w:hAnsi="Arial"/>
          <w:sz w:val="8"/>
          <w:szCs w:val="8"/>
          <w:color w:val="auto"/>
        </w:rPr>
        <w:t>The number of shares that may be issued under the Honeywell Global Stock Plan as of December 31, 2021 is 1,713,993. This plan is an umbrella plan for three plans described below maintained solely for eligible employees of participating non-U.S. countries.</w:t>
      </w:r>
    </w:p>
    <w:p>
      <w:pPr>
        <w:spacing w:after="0" w:line="52" w:lineRule="exact"/>
        <w:rPr>
          <w:rFonts w:ascii="Arial" w:cs="Arial" w:eastAsia="Arial" w:hAnsi="Arial"/>
          <w:sz w:val="11"/>
          <w:szCs w:val="11"/>
          <w:color w:val="auto"/>
          <w:vertAlign w:val="superscript"/>
        </w:rPr>
      </w:pPr>
    </w:p>
    <w:p>
      <w:pPr>
        <w:ind w:left="268" w:right="20" w:hanging="138"/>
        <w:spacing w:after="0" w:line="279" w:lineRule="auto"/>
        <w:tabs>
          <w:tab w:leader="none" w:pos="267" w:val="left"/>
        </w:tabs>
        <w:numPr>
          <w:ilvl w:val="1"/>
          <w:numId w:val="114"/>
        </w:numPr>
        <w:rPr>
          <w:rFonts w:ascii="Arial" w:cs="Arial" w:eastAsia="Arial" w:hAnsi="Arial"/>
          <w:sz w:val="8"/>
          <w:szCs w:val="8"/>
          <w:b w:val="1"/>
          <w:bCs w:val="1"/>
          <w:color w:val="D7282F"/>
        </w:rPr>
      </w:pPr>
      <w:r>
        <w:rPr>
          <w:rFonts w:ascii="Arial" w:cs="Arial" w:eastAsia="Arial" w:hAnsi="Arial"/>
          <w:sz w:val="8"/>
          <w:szCs w:val="8"/>
          <w:color w:val="auto"/>
        </w:rPr>
        <w:t>The UK Sharebuilder Plan allows an eligible UK employee to invest taxable earnings in Common Stock. The Company matches those shares and dividends paid are used to purchase additional shares of Common Stock. For the year ended December 31, 2021, 21,228 shares were credited to participants’ accounts under the UK Sharebuilder Plan.</w:t>
      </w:r>
    </w:p>
    <w:p>
      <w:pPr>
        <w:spacing w:after="0" w:line="29" w:lineRule="exact"/>
        <w:rPr>
          <w:rFonts w:ascii="Arial" w:cs="Arial" w:eastAsia="Arial" w:hAnsi="Arial"/>
          <w:sz w:val="8"/>
          <w:szCs w:val="8"/>
          <w:b w:val="1"/>
          <w:bCs w:val="1"/>
          <w:color w:val="D7282F"/>
        </w:rPr>
      </w:pPr>
    </w:p>
    <w:p>
      <w:pPr>
        <w:ind w:left="268" w:hanging="138"/>
        <w:spacing w:after="0" w:line="279" w:lineRule="auto"/>
        <w:tabs>
          <w:tab w:leader="none" w:pos="267" w:val="left"/>
        </w:tabs>
        <w:numPr>
          <w:ilvl w:val="1"/>
          <w:numId w:val="114"/>
        </w:numPr>
        <w:rPr>
          <w:rFonts w:ascii="Arial" w:cs="Arial" w:eastAsia="Arial" w:hAnsi="Arial"/>
          <w:sz w:val="8"/>
          <w:szCs w:val="8"/>
          <w:b w:val="1"/>
          <w:bCs w:val="1"/>
          <w:color w:val="D7282F"/>
        </w:rPr>
      </w:pPr>
      <w:r>
        <w:rPr>
          <w:rFonts w:ascii="Arial" w:cs="Arial" w:eastAsia="Arial" w:hAnsi="Arial"/>
          <w:sz w:val="8"/>
          <w:szCs w:val="8"/>
          <w:color w:val="auto"/>
        </w:rPr>
        <w:t>The Honeywell Aerospace Ireland Share Participation Plan and the Honeywell Measurex (Ireland) Limited Group Employee Profit Sharing Plan allow eligible Irish employees to contribute a percentage of base pay and/or bonus that is invested in Common Stock. For the year ended December 31, 2021, 1,059 shares of Common Stock were credited to participants’ accounts under these plans.</w:t>
      </w:r>
    </w:p>
    <w:p>
      <w:pPr>
        <w:spacing w:after="0" w:line="38" w:lineRule="exact"/>
        <w:rPr>
          <w:sz w:val="20"/>
          <w:szCs w:val="20"/>
          <w:color w:val="auto"/>
        </w:rPr>
      </w:pPr>
    </w:p>
    <w:p>
      <w:pPr>
        <w:ind w:left="128"/>
        <w:spacing w:after="0"/>
        <w:rPr>
          <w:sz w:val="20"/>
          <w:szCs w:val="20"/>
          <w:color w:val="auto"/>
        </w:rPr>
      </w:pPr>
      <w:r>
        <w:rPr>
          <w:rFonts w:ascii="Arial" w:cs="Arial" w:eastAsia="Arial" w:hAnsi="Arial"/>
          <w:sz w:val="8"/>
          <w:szCs w:val="8"/>
          <w:color w:val="auto"/>
        </w:rPr>
        <w:t>The remaining 815,299 shares included in column (c) are shares remaining under the 2016 Stock Plan for Non-Employee Directors.</w:t>
      </w:r>
    </w:p>
    <w:p>
      <w:pPr>
        <w:spacing w:after="0" w:line="26" w:lineRule="exact"/>
        <w:rPr>
          <w:sz w:val="20"/>
          <w:szCs w:val="20"/>
          <w:color w:val="auto"/>
        </w:rPr>
      </w:pPr>
    </w:p>
    <w:p>
      <w:pPr>
        <w:ind w:left="148" w:hanging="148"/>
        <w:spacing w:after="0"/>
        <w:tabs>
          <w:tab w:leader="none" w:pos="148" w:val="left"/>
        </w:tabs>
        <w:numPr>
          <w:ilvl w:val="0"/>
          <w:numId w:val="115"/>
        </w:numPr>
        <w:rPr>
          <w:rFonts w:ascii="Arial" w:cs="Arial" w:eastAsia="Arial" w:hAnsi="Arial"/>
          <w:sz w:val="11"/>
          <w:szCs w:val="11"/>
          <w:color w:val="auto"/>
          <w:vertAlign w:val="superscript"/>
        </w:rPr>
      </w:pPr>
      <w:r>
        <w:rPr>
          <w:rFonts w:ascii="Arial" w:cs="Arial" w:eastAsia="Arial" w:hAnsi="Arial"/>
          <w:sz w:val="8"/>
          <w:szCs w:val="8"/>
          <w:color w:val="auto"/>
        </w:rPr>
        <w:t>Equity compensation plans not approved by shareowners included in the table refer to the Honeywell Excess Benefit Plan and Supplemental Savings Plan.</w:t>
      </w:r>
    </w:p>
    <w:p>
      <w:pPr>
        <w:spacing w:after="0" w:line="44" w:lineRule="exact"/>
        <w:rPr>
          <w:rFonts w:ascii="Arial" w:cs="Arial" w:eastAsia="Arial" w:hAnsi="Arial"/>
          <w:sz w:val="11"/>
          <w:szCs w:val="11"/>
          <w:color w:val="auto"/>
          <w:vertAlign w:val="superscript"/>
        </w:rPr>
      </w:pPr>
    </w:p>
    <w:p>
      <w:pPr>
        <w:jc w:val="both"/>
        <w:ind w:left="128"/>
        <w:spacing w:after="0" w:line="268" w:lineRule="auto"/>
        <w:rPr>
          <w:rFonts w:ascii="Arial" w:cs="Arial" w:eastAsia="Arial" w:hAnsi="Arial"/>
          <w:sz w:val="11"/>
          <w:szCs w:val="11"/>
          <w:color w:val="auto"/>
          <w:vertAlign w:val="superscript"/>
        </w:rPr>
      </w:pPr>
      <w:r>
        <w:rPr>
          <w:rFonts w:ascii="Arial" w:cs="Arial" w:eastAsia="Arial" w:hAnsi="Arial"/>
          <w:sz w:val="8"/>
          <w:szCs w:val="8"/>
          <w:color w:val="auto"/>
        </w:rPr>
        <w:t>The Honeywell Excess Benefit Plan and Supplemental Savings Plan for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2021 is 225,753.</w:t>
      </w:r>
    </w:p>
    <w:p>
      <w:pPr>
        <w:spacing w:after="0" w:line="16"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15"/>
        </w:numPr>
        <w:rPr>
          <w:rFonts w:ascii="Arial" w:cs="Arial" w:eastAsia="Arial" w:hAnsi="Arial"/>
          <w:sz w:val="11"/>
          <w:szCs w:val="11"/>
          <w:color w:val="auto"/>
          <w:vertAlign w:val="superscript"/>
        </w:rPr>
      </w:pPr>
      <w:r>
        <w:rPr>
          <w:rFonts w:ascii="Arial" w:cs="Arial" w:eastAsia="Arial" w:hAnsi="Arial"/>
          <w:sz w:val="8"/>
          <w:szCs w:val="8"/>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30" w:lineRule="exact"/>
        <w:rPr>
          <w:rFonts w:ascii="Arial" w:cs="Arial" w:eastAsia="Arial" w:hAnsi="Arial"/>
          <w:sz w:val="11"/>
          <w:szCs w:val="11"/>
          <w:color w:val="auto"/>
          <w:vertAlign w:val="superscript"/>
        </w:rPr>
      </w:pPr>
    </w:p>
    <w:p>
      <w:pPr>
        <w:ind w:left="128" w:hanging="128"/>
        <w:spacing w:after="0" w:line="216" w:lineRule="auto"/>
        <w:tabs>
          <w:tab w:leader="none" w:pos="128" w:val="left"/>
        </w:tabs>
        <w:numPr>
          <w:ilvl w:val="0"/>
          <w:numId w:val="115"/>
        </w:numPr>
        <w:rPr>
          <w:rFonts w:ascii="Arial" w:cs="Arial" w:eastAsia="Arial" w:hAnsi="Arial"/>
          <w:sz w:val="11"/>
          <w:szCs w:val="11"/>
          <w:color w:val="auto"/>
          <w:vertAlign w:val="superscript"/>
        </w:rPr>
      </w:pPr>
      <w:r>
        <w:rPr>
          <w:rFonts w:ascii="Arial" w:cs="Arial" w:eastAsia="Arial" w:hAnsi="Arial"/>
          <w:sz w:val="8"/>
          <w:szCs w:val="8"/>
          <w:color w:val="auto"/>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p>
      <w:pPr>
        <w:spacing w:after="0" w:line="262" w:lineRule="exact"/>
        <w:rPr>
          <w:sz w:val="20"/>
          <w:szCs w:val="20"/>
          <w:color w:val="auto"/>
        </w:rPr>
      </w:pPr>
    </w:p>
    <w:p>
      <w:pPr>
        <w:ind w:left="528" w:hanging="528"/>
        <w:spacing w:after="0"/>
        <w:tabs>
          <w:tab w:leader="none" w:pos="528" w:val="left"/>
        </w:tabs>
        <w:numPr>
          <w:ilvl w:val="0"/>
          <w:numId w:val="11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09" w:right="299" w:bottom="1440" w:gutter="0" w:footer="0" w:header="0"/>
        </w:sectPr>
      </w:pPr>
    </w:p>
    <w:bookmarkStart w:id="120" w:name="page121"/>
    <w:bookmarkEnd w:id="120"/>
    <w:p>
      <w:pPr>
        <w:spacing w:after="0"/>
        <w:rPr>
          <w:sz w:val="20"/>
          <w:szCs w:val="20"/>
          <w:color w:val="auto"/>
        </w:rPr>
      </w:pPr>
      <w:r>
        <w:rPr>
          <w:rFonts w:ascii="Arial" w:cs="Arial" w:eastAsia="Arial" w:hAnsi="Arial"/>
          <w:sz w:val="24"/>
          <w:szCs w:val="24"/>
          <w:b w:val="1"/>
          <w:bCs w:val="1"/>
          <w:color w:val="auto"/>
        </w:rPr>
        <w:t>CERTAIN RELATIONSHIPS AND RELATED TRANSACTIONS, AND DIRECTOR INDEPENDENCE</w:t>
      </w: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Information relating to certain relationships and related transactions and director independence will be contained in the Proxy Statement, and such information is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PRINCIPAL ACCOUNTING FEES AND SERVICES</w:t>
      </w:r>
    </w:p>
    <w:p>
      <w:pPr>
        <w:spacing w:after="0" w:line="278" w:lineRule="exact"/>
        <w:rPr>
          <w:sz w:val="20"/>
          <w:szCs w:val="20"/>
          <w:color w:val="auto"/>
        </w:rPr>
      </w:pPr>
    </w:p>
    <w:p>
      <w:pPr>
        <w:ind w:right="20"/>
        <w:spacing w:after="0" w:line="245" w:lineRule="auto"/>
        <w:rPr>
          <w:sz w:val="20"/>
          <w:szCs w:val="20"/>
          <w:color w:val="auto"/>
        </w:rPr>
      </w:pPr>
      <w:r>
        <w:rPr>
          <w:rFonts w:ascii="Arial" w:cs="Arial" w:eastAsia="Arial" w:hAnsi="Arial"/>
          <w:sz w:val="11"/>
          <w:szCs w:val="11"/>
          <w:color w:val="auto"/>
        </w:rPr>
        <w:t>Information relating to fees paid to and services performed by Deloitte &amp; Touche LLP and our Audit Committee’s pre-approval policies and procedures with respect to non-audit services will be contained in the Proxy Statement, and such information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EXHIBITS AND FINANCIAL STATEMENT SCHEDULES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3540" w:type="dxa"/>
            <w:vAlign w:val="bottom"/>
          </w:tcPr>
          <w:p>
            <w:pPr>
              <w:jc w:val="center"/>
              <w:ind w:left="2192"/>
              <w:spacing w:after="0"/>
              <w:rPr>
                <w:sz w:val="20"/>
                <w:szCs w:val="20"/>
                <w:color w:val="auto"/>
              </w:rPr>
            </w:pPr>
            <w:r>
              <w:rPr>
                <w:rFonts w:ascii="Arial" w:cs="Arial" w:eastAsia="Arial" w:hAnsi="Arial"/>
                <w:sz w:val="10"/>
                <w:szCs w:val="10"/>
                <w:b w:val="1"/>
                <w:bCs w:val="1"/>
                <w:color w:val="auto"/>
                <w:w w:val="96"/>
              </w:rPr>
              <w:t>Page Number</w:t>
            </w:r>
          </w:p>
        </w:tc>
      </w:tr>
      <w:tr>
        <w:trPr>
          <w:trHeight w:val="131"/>
        </w:trPr>
        <w:tc>
          <w:tcPr>
            <w:tcW w:w="420" w:type="dxa"/>
            <w:vAlign w:val="bottom"/>
            <w:tcBorders>
              <w:bottom w:val="single" w:sz="8" w:color="DC202E"/>
            </w:tcBorders>
          </w:tcPr>
          <w:p>
            <w:pPr>
              <w:spacing w:after="0"/>
              <w:rPr>
                <w:sz w:val="11"/>
                <w:szCs w:val="11"/>
                <w:color w:val="auto"/>
              </w:rPr>
            </w:pPr>
          </w:p>
        </w:tc>
        <w:tc>
          <w:tcPr>
            <w:tcW w:w="7340" w:type="dxa"/>
            <w:vAlign w:val="bottom"/>
            <w:tcBorders>
              <w:bottom w:val="single" w:sz="8" w:color="DC202E"/>
            </w:tcBorders>
          </w:tcPr>
          <w:p>
            <w:pPr>
              <w:spacing w:after="0"/>
              <w:rPr>
                <w:sz w:val="11"/>
                <w:szCs w:val="11"/>
                <w:color w:val="auto"/>
              </w:rPr>
            </w:pPr>
          </w:p>
        </w:tc>
        <w:tc>
          <w:tcPr>
            <w:tcW w:w="3540" w:type="dxa"/>
            <w:vAlign w:val="bottom"/>
            <w:tcBorders>
              <w:bottom w:val="single" w:sz="8" w:color="DC202E"/>
            </w:tcBorders>
          </w:tcPr>
          <w:p>
            <w:pPr>
              <w:jc w:val="center"/>
              <w:ind w:left="2192"/>
              <w:spacing w:after="0"/>
              <w:rPr>
                <w:sz w:val="20"/>
                <w:szCs w:val="20"/>
                <w:color w:val="auto"/>
              </w:rPr>
            </w:pPr>
            <w:r>
              <w:rPr>
                <w:rFonts w:ascii="Arial" w:cs="Arial" w:eastAsia="Arial" w:hAnsi="Arial"/>
                <w:sz w:val="10"/>
                <w:szCs w:val="10"/>
                <w:b w:val="1"/>
                <w:bCs w:val="1"/>
                <w:color w:val="auto"/>
                <w:w w:val="94"/>
              </w:rPr>
              <w:t>in Form 10-K</w:t>
            </w:r>
          </w:p>
        </w:tc>
      </w:tr>
      <w:tr>
        <w:trPr>
          <w:trHeight w:val="120"/>
        </w:trPr>
        <w:tc>
          <w:tcPr>
            <w:tcW w:w="420" w:type="dxa"/>
            <w:vAlign w:val="bottom"/>
          </w:tcPr>
          <w:p>
            <w:pPr>
              <w:spacing w:after="0"/>
              <w:rPr>
                <w:sz w:val="20"/>
                <w:szCs w:val="20"/>
                <w:color w:val="auto"/>
              </w:rPr>
            </w:pPr>
            <w:r>
              <w:rPr>
                <w:rFonts w:ascii="Arial" w:cs="Arial" w:eastAsia="Arial" w:hAnsi="Arial"/>
                <w:sz w:val="10"/>
                <w:szCs w:val="10"/>
                <w:b w:val="1"/>
                <w:bCs w:val="1"/>
                <w:color w:val="DC202E"/>
              </w:rPr>
              <w:t>(a)(1.)</w:t>
            </w:r>
          </w:p>
        </w:tc>
        <w:tc>
          <w:tcPr>
            <w:tcW w:w="7340" w:type="dxa"/>
            <w:vAlign w:val="bottom"/>
          </w:tcPr>
          <w:p>
            <w:pPr>
              <w:ind w:left="160"/>
              <w:spacing w:after="0"/>
              <w:rPr>
                <w:sz w:val="20"/>
                <w:szCs w:val="20"/>
                <w:color w:val="auto"/>
              </w:rPr>
            </w:pPr>
            <w:r>
              <w:rPr>
                <w:rFonts w:ascii="Arial" w:cs="Arial" w:eastAsia="Arial" w:hAnsi="Arial"/>
                <w:sz w:val="10"/>
                <w:szCs w:val="10"/>
                <w:b w:val="1"/>
                <w:bCs w:val="1"/>
                <w:color w:val="DC202E"/>
              </w:rPr>
              <w:t>Consolidated Financial Statements:</w:t>
            </w:r>
          </w:p>
        </w:tc>
        <w:tc>
          <w:tcPr>
            <w:tcW w:w="3540" w:type="dxa"/>
            <w:vAlign w:val="bottom"/>
          </w:tcPr>
          <w:p>
            <w:pPr>
              <w:spacing w:after="0"/>
              <w:rPr>
                <w:sz w:val="10"/>
                <w:szCs w:val="10"/>
                <w:color w:val="auto"/>
              </w:rPr>
            </w:pPr>
          </w:p>
        </w:tc>
      </w:tr>
      <w:tr>
        <w:trPr>
          <w:trHeight w:val="125"/>
        </w:trPr>
        <w:tc>
          <w:tcPr>
            <w:tcW w:w="420" w:type="dxa"/>
            <w:vAlign w:val="bottom"/>
            <w:tcBorders>
              <w:bottom w:val="single" w:sz="8" w:color="939598"/>
            </w:tcBorders>
          </w:tcPr>
          <w:p>
            <w:pPr>
              <w:spacing w:after="0"/>
              <w:rPr>
                <w:sz w:val="10"/>
                <w:szCs w:val="10"/>
                <w:color w:val="auto"/>
              </w:rPr>
            </w:pPr>
          </w:p>
        </w:tc>
        <w:tc>
          <w:tcPr>
            <w:tcW w:w="734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Consolidated Statement of Operations for the years ended December 31, 2021, 2020 and 2019</w:t>
            </w:r>
          </w:p>
        </w:tc>
        <w:tc>
          <w:tcPr>
            <w:tcW w:w="3540" w:type="dxa"/>
            <w:vAlign w:val="bottom"/>
            <w:tcBorders>
              <w:bottom w:val="single" w:sz="8" w:color="939598"/>
            </w:tcBorders>
          </w:tcPr>
          <w:p>
            <w:pPr>
              <w:jc w:val="center"/>
              <w:ind w:left="2192"/>
              <w:spacing w:after="0"/>
              <w:rPr>
                <w:rFonts w:ascii="Arial" w:cs="Arial" w:eastAsia="Arial" w:hAnsi="Arial"/>
                <w:sz w:val="10"/>
                <w:szCs w:val="10"/>
                <w:color w:val="auto"/>
                <w:w w:val="89"/>
              </w:rPr>
            </w:pPr>
            <w:hyperlink w:anchor="page55">
              <w:r>
                <w:rPr>
                  <w:rFonts w:ascii="Arial" w:cs="Arial" w:eastAsia="Arial" w:hAnsi="Arial"/>
                  <w:sz w:val="10"/>
                  <w:szCs w:val="10"/>
                  <w:color w:val="auto"/>
                  <w:w w:val="89"/>
                </w:rPr>
                <w:t>53</w:t>
              </w:r>
            </w:hyperlink>
          </w:p>
        </w:tc>
      </w:tr>
      <w:tr>
        <w:trPr>
          <w:trHeight w:val="115"/>
        </w:trPr>
        <w:tc>
          <w:tcPr>
            <w:tcW w:w="420" w:type="dxa"/>
            <w:vAlign w:val="bottom"/>
            <w:tcBorders>
              <w:bottom w:val="single" w:sz="8" w:color="939598"/>
            </w:tcBorders>
          </w:tcPr>
          <w:p>
            <w:pPr>
              <w:spacing w:after="0"/>
              <w:rPr>
                <w:sz w:val="10"/>
                <w:szCs w:val="10"/>
                <w:color w:val="auto"/>
              </w:rPr>
            </w:pPr>
          </w:p>
        </w:tc>
        <w:tc>
          <w:tcPr>
            <w:tcW w:w="734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Consolidated Statement of Comprehensive Income for the years ended December 31, 2021, 2020 and 2019</w:t>
            </w:r>
          </w:p>
        </w:tc>
        <w:tc>
          <w:tcPr>
            <w:tcW w:w="3540" w:type="dxa"/>
            <w:vAlign w:val="bottom"/>
            <w:tcBorders>
              <w:bottom w:val="single" w:sz="8" w:color="939598"/>
            </w:tcBorders>
          </w:tcPr>
          <w:p>
            <w:pPr>
              <w:jc w:val="center"/>
              <w:ind w:left="2192"/>
              <w:spacing w:after="0"/>
              <w:rPr>
                <w:rFonts w:ascii="Arial" w:cs="Arial" w:eastAsia="Arial" w:hAnsi="Arial"/>
                <w:sz w:val="10"/>
                <w:szCs w:val="10"/>
                <w:color w:val="auto"/>
                <w:w w:val="89"/>
              </w:rPr>
            </w:pPr>
            <w:hyperlink w:anchor="page55">
              <w:r>
                <w:rPr>
                  <w:rFonts w:ascii="Arial" w:cs="Arial" w:eastAsia="Arial" w:hAnsi="Arial"/>
                  <w:sz w:val="10"/>
                  <w:szCs w:val="10"/>
                  <w:color w:val="auto"/>
                  <w:w w:val="89"/>
                </w:rPr>
                <w:t>54</w:t>
              </w:r>
            </w:hyperlink>
          </w:p>
        </w:tc>
      </w:tr>
      <w:tr>
        <w:trPr>
          <w:trHeight w:val="115"/>
        </w:trPr>
        <w:tc>
          <w:tcPr>
            <w:tcW w:w="420" w:type="dxa"/>
            <w:vAlign w:val="bottom"/>
            <w:tcBorders>
              <w:bottom w:val="single" w:sz="8" w:color="939598"/>
            </w:tcBorders>
          </w:tcPr>
          <w:p>
            <w:pPr>
              <w:spacing w:after="0"/>
              <w:rPr>
                <w:sz w:val="10"/>
                <w:szCs w:val="10"/>
                <w:color w:val="auto"/>
              </w:rPr>
            </w:pPr>
          </w:p>
        </w:tc>
        <w:tc>
          <w:tcPr>
            <w:tcW w:w="734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Consolidated Balance Sheet at December 31, 2021 and 2020</w:t>
            </w:r>
          </w:p>
        </w:tc>
        <w:tc>
          <w:tcPr>
            <w:tcW w:w="3540" w:type="dxa"/>
            <w:vAlign w:val="bottom"/>
            <w:tcBorders>
              <w:bottom w:val="single" w:sz="8" w:color="939598"/>
            </w:tcBorders>
          </w:tcPr>
          <w:p>
            <w:pPr>
              <w:jc w:val="center"/>
              <w:ind w:left="2192"/>
              <w:spacing w:after="0"/>
              <w:rPr>
                <w:rFonts w:ascii="Arial" w:cs="Arial" w:eastAsia="Arial" w:hAnsi="Arial"/>
                <w:sz w:val="10"/>
                <w:szCs w:val="10"/>
                <w:color w:val="auto"/>
                <w:w w:val="89"/>
              </w:rPr>
            </w:pPr>
            <w:hyperlink w:anchor="page56">
              <w:r>
                <w:rPr>
                  <w:rFonts w:ascii="Arial" w:cs="Arial" w:eastAsia="Arial" w:hAnsi="Arial"/>
                  <w:sz w:val="10"/>
                  <w:szCs w:val="10"/>
                  <w:color w:val="auto"/>
                  <w:w w:val="89"/>
                </w:rPr>
                <w:t>55</w:t>
              </w:r>
            </w:hyperlink>
          </w:p>
        </w:tc>
      </w:tr>
      <w:tr>
        <w:trPr>
          <w:trHeight w:val="115"/>
        </w:trPr>
        <w:tc>
          <w:tcPr>
            <w:tcW w:w="420" w:type="dxa"/>
            <w:vAlign w:val="bottom"/>
            <w:tcBorders>
              <w:bottom w:val="single" w:sz="8" w:color="939598"/>
            </w:tcBorders>
          </w:tcPr>
          <w:p>
            <w:pPr>
              <w:spacing w:after="0"/>
              <w:rPr>
                <w:sz w:val="10"/>
                <w:szCs w:val="10"/>
                <w:color w:val="auto"/>
              </w:rPr>
            </w:pPr>
          </w:p>
        </w:tc>
        <w:tc>
          <w:tcPr>
            <w:tcW w:w="734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Consolidated Statement of Cash Flows for the years ended December 31, 2021, 2020 and 2019</w:t>
            </w:r>
          </w:p>
        </w:tc>
        <w:tc>
          <w:tcPr>
            <w:tcW w:w="3540" w:type="dxa"/>
            <w:vAlign w:val="bottom"/>
            <w:tcBorders>
              <w:bottom w:val="single" w:sz="8" w:color="939598"/>
            </w:tcBorders>
          </w:tcPr>
          <w:p>
            <w:pPr>
              <w:jc w:val="center"/>
              <w:ind w:left="2192"/>
              <w:spacing w:after="0"/>
              <w:rPr>
                <w:rFonts w:ascii="Arial" w:cs="Arial" w:eastAsia="Arial" w:hAnsi="Arial"/>
                <w:sz w:val="10"/>
                <w:szCs w:val="10"/>
                <w:color w:val="auto"/>
                <w:w w:val="89"/>
              </w:rPr>
            </w:pPr>
            <w:hyperlink w:anchor="page57">
              <w:r>
                <w:rPr>
                  <w:rFonts w:ascii="Arial" w:cs="Arial" w:eastAsia="Arial" w:hAnsi="Arial"/>
                  <w:sz w:val="10"/>
                  <w:szCs w:val="10"/>
                  <w:color w:val="auto"/>
                  <w:w w:val="89"/>
                </w:rPr>
                <w:t>56</w:t>
              </w:r>
            </w:hyperlink>
          </w:p>
        </w:tc>
      </w:tr>
      <w:tr>
        <w:trPr>
          <w:trHeight w:val="115"/>
        </w:trPr>
        <w:tc>
          <w:tcPr>
            <w:tcW w:w="420" w:type="dxa"/>
            <w:vAlign w:val="bottom"/>
            <w:tcBorders>
              <w:bottom w:val="single" w:sz="8" w:color="939598"/>
            </w:tcBorders>
          </w:tcPr>
          <w:p>
            <w:pPr>
              <w:spacing w:after="0"/>
              <w:rPr>
                <w:sz w:val="10"/>
                <w:szCs w:val="10"/>
                <w:color w:val="auto"/>
              </w:rPr>
            </w:pPr>
          </w:p>
        </w:tc>
        <w:tc>
          <w:tcPr>
            <w:tcW w:w="734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Consolidated Statement of Shareowners’ Equity for the years ended December 31, 2021, 2020 and 2019</w:t>
            </w:r>
          </w:p>
        </w:tc>
        <w:tc>
          <w:tcPr>
            <w:tcW w:w="3540" w:type="dxa"/>
            <w:vAlign w:val="bottom"/>
            <w:tcBorders>
              <w:bottom w:val="single" w:sz="8" w:color="939598"/>
            </w:tcBorders>
          </w:tcPr>
          <w:p>
            <w:pPr>
              <w:jc w:val="center"/>
              <w:ind w:left="2192"/>
              <w:spacing w:after="0"/>
              <w:rPr>
                <w:rFonts w:ascii="Arial" w:cs="Arial" w:eastAsia="Arial" w:hAnsi="Arial"/>
                <w:sz w:val="10"/>
                <w:szCs w:val="10"/>
                <w:color w:val="auto"/>
                <w:w w:val="89"/>
              </w:rPr>
            </w:pPr>
            <w:hyperlink w:anchor="page58">
              <w:r>
                <w:rPr>
                  <w:rFonts w:ascii="Arial" w:cs="Arial" w:eastAsia="Arial" w:hAnsi="Arial"/>
                  <w:sz w:val="10"/>
                  <w:szCs w:val="10"/>
                  <w:color w:val="auto"/>
                  <w:w w:val="89"/>
                </w:rPr>
                <w:t>57</w:t>
              </w:r>
            </w:hyperlink>
          </w:p>
        </w:tc>
      </w:tr>
      <w:tr>
        <w:trPr>
          <w:trHeight w:val="115"/>
        </w:trPr>
        <w:tc>
          <w:tcPr>
            <w:tcW w:w="420" w:type="dxa"/>
            <w:vAlign w:val="bottom"/>
            <w:tcBorders>
              <w:bottom w:val="single" w:sz="8" w:color="939598"/>
            </w:tcBorders>
          </w:tcPr>
          <w:p>
            <w:pPr>
              <w:spacing w:after="0"/>
              <w:rPr>
                <w:sz w:val="10"/>
                <w:szCs w:val="10"/>
                <w:color w:val="auto"/>
              </w:rPr>
            </w:pPr>
          </w:p>
        </w:tc>
        <w:tc>
          <w:tcPr>
            <w:tcW w:w="734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Notes to Consolidated Financial Statements</w:t>
            </w:r>
          </w:p>
        </w:tc>
        <w:tc>
          <w:tcPr>
            <w:tcW w:w="3540" w:type="dxa"/>
            <w:vAlign w:val="bottom"/>
            <w:tcBorders>
              <w:bottom w:val="single" w:sz="8" w:color="939598"/>
            </w:tcBorders>
          </w:tcPr>
          <w:p>
            <w:pPr>
              <w:jc w:val="center"/>
              <w:ind w:left="2192"/>
              <w:spacing w:after="0"/>
              <w:rPr>
                <w:rFonts w:ascii="Arial" w:cs="Arial" w:eastAsia="Arial" w:hAnsi="Arial"/>
                <w:sz w:val="10"/>
                <w:szCs w:val="10"/>
                <w:color w:val="auto"/>
                <w:w w:val="89"/>
              </w:rPr>
            </w:pPr>
            <w:hyperlink w:anchor="page59">
              <w:r>
                <w:rPr>
                  <w:rFonts w:ascii="Arial" w:cs="Arial" w:eastAsia="Arial" w:hAnsi="Arial"/>
                  <w:sz w:val="10"/>
                  <w:szCs w:val="10"/>
                  <w:color w:val="auto"/>
                  <w:w w:val="89"/>
                </w:rPr>
                <w:t>58</w:t>
              </w:r>
            </w:hyperlink>
          </w:p>
        </w:tc>
      </w:tr>
      <w:tr>
        <w:trPr>
          <w:trHeight w:val="115"/>
        </w:trPr>
        <w:tc>
          <w:tcPr>
            <w:tcW w:w="420" w:type="dxa"/>
            <w:vAlign w:val="bottom"/>
            <w:tcBorders>
              <w:bottom w:val="single" w:sz="8" w:color="939598"/>
            </w:tcBorders>
          </w:tcPr>
          <w:p>
            <w:pPr>
              <w:spacing w:after="0"/>
              <w:rPr>
                <w:sz w:val="10"/>
                <w:szCs w:val="10"/>
                <w:color w:val="auto"/>
              </w:rPr>
            </w:pPr>
          </w:p>
        </w:tc>
        <w:tc>
          <w:tcPr>
            <w:tcW w:w="734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Report of Independent Registered Public Accounting Firm (PCAOB ID No. 34)</w:t>
            </w:r>
          </w:p>
        </w:tc>
        <w:tc>
          <w:tcPr>
            <w:tcW w:w="3540" w:type="dxa"/>
            <w:vAlign w:val="bottom"/>
            <w:tcBorders>
              <w:bottom w:val="single" w:sz="8" w:color="939598"/>
            </w:tcBorders>
          </w:tcPr>
          <w:p>
            <w:pPr>
              <w:jc w:val="center"/>
              <w:ind w:left="2172"/>
              <w:spacing w:after="0"/>
              <w:rPr>
                <w:rFonts w:ascii="Arial" w:cs="Arial" w:eastAsia="Arial" w:hAnsi="Arial"/>
                <w:sz w:val="10"/>
                <w:szCs w:val="10"/>
                <w:color w:val="auto"/>
                <w:w w:val="95"/>
              </w:rPr>
            </w:pPr>
            <w:hyperlink w:anchor="page114">
              <w:r>
                <w:rPr>
                  <w:rFonts w:ascii="Arial" w:cs="Arial" w:eastAsia="Arial" w:hAnsi="Arial"/>
                  <w:sz w:val="10"/>
                  <w:szCs w:val="10"/>
                  <w:color w:val="auto"/>
                  <w:w w:val="95"/>
                </w:rPr>
                <w:t>113</w:t>
              </w:r>
            </w:hyperlink>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4620" w:type="dxa"/>
            <w:vAlign w:val="bottom"/>
          </w:tcPr>
          <w:p>
            <w:pPr>
              <w:jc w:val="center"/>
              <w:ind w:left="3272"/>
              <w:spacing w:after="0"/>
              <w:rPr>
                <w:sz w:val="20"/>
                <w:szCs w:val="20"/>
                <w:color w:val="auto"/>
              </w:rPr>
            </w:pPr>
            <w:r>
              <w:rPr>
                <w:rFonts w:ascii="Arial" w:cs="Arial" w:eastAsia="Arial" w:hAnsi="Arial"/>
                <w:sz w:val="10"/>
                <w:szCs w:val="10"/>
                <w:b w:val="1"/>
                <w:bCs w:val="1"/>
                <w:color w:val="auto"/>
                <w:w w:val="96"/>
              </w:rPr>
              <w:t>Page Number</w:t>
            </w:r>
          </w:p>
        </w:tc>
      </w:tr>
      <w:tr>
        <w:trPr>
          <w:trHeight w:val="131"/>
        </w:trPr>
        <w:tc>
          <w:tcPr>
            <w:tcW w:w="420" w:type="dxa"/>
            <w:vAlign w:val="bottom"/>
            <w:tcBorders>
              <w:bottom w:val="single" w:sz="8" w:color="DC202E"/>
            </w:tcBorders>
          </w:tcPr>
          <w:p>
            <w:pPr>
              <w:spacing w:after="0"/>
              <w:rPr>
                <w:sz w:val="11"/>
                <w:szCs w:val="11"/>
                <w:color w:val="auto"/>
              </w:rPr>
            </w:pPr>
          </w:p>
        </w:tc>
        <w:tc>
          <w:tcPr>
            <w:tcW w:w="6260" w:type="dxa"/>
            <w:vAlign w:val="bottom"/>
            <w:tcBorders>
              <w:bottom w:val="single" w:sz="8" w:color="DC202E"/>
            </w:tcBorders>
          </w:tcPr>
          <w:p>
            <w:pPr>
              <w:spacing w:after="0"/>
              <w:rPr>
                <w:sz w:val="11"/>
                <w:szCs w:val="11"/>
                <w:color w:val="auto"/>
              </w:rPr>
            </w:pPr>
          </w:p>
        </w:tc>
        <w:tc>
          <w:tcPr>
            <w:tcW w:w="4620" w:type="dxa"/>
            <w:vAlign w:val="bottom"/>
            <w:tcBorders>
              <w:bottom w:val="single" w:sz="8" w:color="DC202E"/>
            </w:tcBorders>
          </w:tcPr>
          <w:p>
            <w:pPr>
              <w:jc w:val="center"/>
              <w:ind w:left="3272"/>
              <w:spacing w:after="0"/>
              <w:rPr>
                <w:sz w:val="20"/>
                <w:szCs w:val="20"/>
                <w:color w:val="auto"/>
              </w:rPr>
            </w:pPr>
            <w:r>
              <w:rPr>
                <w:rFonts w:ascii="Arial" w:cs="Arial" w:eastAsia="Arial" w:hAnsi="Arial"/>
                <w:sz w:val="10"/>
                <w:szCs w:val="10"/>
                <w:b w:val="1"/>
                <w:bCs w:val="1"/>
                <w:color w:val="auto"/>
                <w:w w:val="94"/>
              </w:rPr>
              <w:t>in Form 10-K</w:t>
            </w:r>
          </w:p>
        </w:tc>
      </w:tr>
      <w:tr>
        <w:trPr>
          <w:trHeight w:val="120"/>
        </w:trPr>
        <w:tc>
          <w:tcPr>
            <w:tcW w:w="420" w:type="dxa"/>
            <w:vAlign w:val="bottom"/>
          </w:tcPr>
          <w:p>
            <w:pPr>
              <w:spacing w:after="0"/>
              <w:rPr>
                <w:sz w:val="20"/>
                <w:szCs w:val="20"/>
                <w:color w:val="auto"/>
              </w:rPr>
            </w:pPr>
            <w:r>
              <w:rPr>
                <w:rFonts w:ascii="Arial" w:cs="Arial" w:eastAsia="Arial" w:hAnsi="Arial"/>
                <w:sz w:val="10"/>
                <w:szCs w:val="10"/>
                <w:b w:val="1"/>
                <w:bCs w:val="1"/>
                <w:color w:val="EE2724"/>
              </w:rPr>
              <w:t>(a)(3.)</w:t>
            </w:r>
          </w:p>
        </w:tc>
        <w:tc>
          <w:tcPr>
            <w:tcW w:w="6260" w:type="dxa"/>
            <w:vAlign w:val="bottom"/>
          </w:tcPr>
          <w:p>
            <w:pPr>
              <w:ind w:left="160"/>
              <w:spacing w:after="0"/>
              <w:rPr>
                <w:sz w:val="20"/>
                <w:szCs w:val="20"/>
                <w:color w:val="auto"/>
              </w:rPr>
            </w:pPr>
            <w:r>
              <w:rPr>
                <w:rFonts w:ascii="Arial" w:cs="Arial" w:eastAsia="Arial" w:hAnsi="Arial"/>
                <w:sz w:val="10"/>
                <w:szCs w:val="10"/>
                <w:b w:val="1"/>
                <w:bCs w:val="1"/>
                <w:color w:val="EE2724"/>
              </w:rPr>
              <w:t>Exhibits</w:t>
            </w:r>
          </w:p>
        </w:tc>
        <w:tc>
          <w:tcPr>
            <w:tcW w:w="4620" w:type="dxa"/>
            <w:vAlign w:val="bottom"/>
          </w:tcPr>
          <w:p>
            <w:pPr>
              <w:spacing w:after="0"/>
              <w:rPr>
                <w:sz w:val="10"/>
                <w:szCs w:val="10"/>
                <w:color w:val="auto"/>
              </w:rPr>
            </w:pPr>
          </w:p>
        </w:tc>
      </w:tr>
      <w:tr>
        <w:trPr>
          <w:trHeight w:val="125"/>
        </w:trPr>
        <w:tc>
          <w:tcPr>
            <w:tcW w:w="420" w:type="dxa"/>
            <w:vAlign w:val="bottom"/>
            <w:tcBorders>
              <w:bottom w:val="single" w:sz="8" w:color="939598"/>
            </w:tcBorders>
          </w:tcPr>
          <w:p>
            <w:pPr>
              <w:spacing w:after="0"/>
              <w:rPr>
                <w:sz w:val="10"/>
                <w:szCs w:val="10"/>
                <w:color w:val="auto"/>
              </w:rPr>
            </w:pPr>
          </w:p>
        </w:tc>
        <w:tc>
          <w:tcPr>
            <w:tcW w:w="6260" w:type="dxa"/>
            <w:vAlign w:val="bottom"/>
            <w:tcBorders>
              <w:bottom w:val="single" w:sz="8" w:color="939598"/>
            </w:tcBorders>
          </w:tcPr>
          <w:p>
            <w:pPr>
              <w:ind w:left="160"/>
              <w:spacing w:after="0"/>
              <w:rPr>
                <w:sz w:val="20"/>
                <w:szCs w:val="20"/>
                <w:color w:val="auto"/>
              </w:rPr>
            </w:pPr>
            <w:r>
              <w:rPr>
                <w:rFonts w:ascii="Arial" w:cs="Arial" w:eastAsia="Arial" w:hAnsi="Arial"/>
                <w:sz w:val="10"/>
                <w:szCs w:val="10"/>
                <w:color w:val="auto"/>
              </w:rPr>
              <w:t>See the Exhibit Index of this Annual Report on Form 10-K</w:t>
            </w:r>
          </w:p>
        </w:tc>
        <w:tc>
          <w:tcPr>
            <w:tcW w:w="4620" w:type="dxa"/>
            <w:vAlign w:val="bottom"/>
            <w:tcBorders>
              <w:bottom w:val="single" w:sz="8" w:color="939598"/>
            </w:tcBorders>
          </w:tcPr>
          <w:p>
            <w:pPr>
              <w:jc w:val="center"/>
              <w:ind w:left="3252"/>
              <w:spacing w:after="0"/>
              <w:rPr>
                <w:rFonts w:ascii="Arial" w:cs="Arial" w:eastAsia="Arial" w:hAnsi="Arial"/>
                <w:sz w:val="10"/>
                <w:szCs w:val="10"/>
                <w:color w:val="auto"/>
                <w:w w:val="95"/>
              </w:rPr>
            </w:pPr>
            <w:hyperlink w:anchor="page121">
              <w:r>
                <w:rPr>
                  <w:rFonts w:ascii="Arial" w:cs="Arial" w:eastAsia="Arial" w:hAnsi="Arial"/>
                  <w:sz w:val="10"/>
                  <w:szCs w:val="10"/>
                  <w:color w:val="auto"/>
                  <w:w w:val="95"/>
                </w:rPr>
                <w:t>120</w:t>
              </w:r>
            </w:hyperlink>
          </w:p>
        </w:tc>
      </w:tr>
    </w:tbl>
    <w:p>
      <w:pPr>
        <w:spacing w:after="0" w:line="2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FORM 10-K SUMMARY</w:t>
      </w: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None.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119</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121" w:name="page122"/>
    <w:bookmarkEnd w:id="121"/>
    <w:p>
      <w:pPr>
        <w:ind w:left="8"/>
        <w:spacing w:after="0"/>
        <w:rPr>
          <w:sz w:val="20"/>
          <w:szCs w:val="20"/>
          <w:color w:val="auto"/>
        </w:rPr>
      </w:pPr>
      <w:r>
        <w:rPr>
          <w:rFonts w:ascii="Arial" w:cs="Arial" w:eastAsia="Arial" w:hAnsi="Arial"/>
          <w:sz w:val="19"/>
          <w:szCs w:val="19"/>
          <w:color w:val="D7282F"/>
        </w:rPr>
        <w:t>EXHIBIT INDEX</w:t>
      </w:r>
    </w:p>
    <w:p>
      <w:pPr>
        <w:spacing w:after="0" w:line="252" w:lineRule="exact"/>
        <w:rPr>
          <w:sz w:val="20"/>
          <w:szCs w:val="20"/>
          <w:color w:val="auto"/>
        </w:rPr>
      </w:pPr>
    </w:p>
    <w:p>
      <w:pPr>
        <w:ind w:left="8"/>
        <w:spacing w:after="0"/>
        <w:tabs>
          <w:tab w:leader="none" w:pos="6048" w:val="left"/>
        </w:tabs>
        <w:rPr>
          <w:sz w:val="20"/>
          <w:szCs w:val="20"/>
          <w:color w:val="auto"/>
        </w:rPr>
      </w:pPr>
      <w:r>
        <w:rPr>
          <w:rFonts w:ascii="Arial" w:cs="Arial" w:eastAsia="Arial" w:hAnsi="Arial"/>
          <w:sz w:val="10"/>
          <w:szCs w:val="10"/>
          <w:b w:val="1"/>
          <w:bCs w:val="1"/>
          <w:color w:val="auto"/>
        </w:rPr>
        <w:t>Exhibit No.</w:t>
      </w:r>
      <w:r>
        <w:rPr>
          <w:sz w:val="20"/>
          <w:szCs w:val="20"/>
          <w:color w:val="auto"/>
        </w:rPr>
        <w:tab/>
      </w:r>
      <w:r>
        <w:rPr>
          <w:rFonts w:ascii="Arial" w:cs="Arial" w:eastAsia="Arial" w:hAnsi="Arial"/>
          <w:sz w:val="8"/>
          <w:szCs w:val="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232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288"/>
          </w:cols>
          <w:pgMar w:left="292" w:top="911" w:right="319" w:bottom="1440" w:gutter="0" w:footer="0" w:header="0"/>
        </w:sectPr>
      </w:pPr>
    </w:p>
    <w:p>
      <w:pPr>
        <w:spacing w:after="0" w:line="41" w:lineRule="exact"/>
        <w:rPr>
          <w:sz w:val="20"/>
          <w:szCs w:val="20"/>
          <w:color w:val="auto"/>
        </w:rPr>
      </w:pPr>
    </w:p>
    <w:p>
      <w:pPr>
        <w:ind w:left="8"/>
        <w:spacing w:after="0"/>
        <w:rPr>
          <w:sz w:val="20"/>
          <w:szCs w:val="20"/>
          <w:color w:val="auto"/>
        </w:rPr>
      </w:pPr>
      <w:r>
        <w:rPr>
          <w:rFonts w:ascii="Arial" w:cs="Arial" w:eastAsia="Arial" w:hAnsi="Arial"/>
          <w:sz w:val="10"/>
          <w:szCs w:val="10"/>
          <w:color w:val="auto"/>
        </w:rPr>
        <w:t>3(i)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3(ii)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686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8"/>
          <w:szCs w:val="8"/>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8686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ind w:left="8"/>
        <w:spacing w:after="0"/>
        <w:rPr>
          <w:sz w:val="20"/>
          <w:szCs w:val="20"/>
          <w:color w:val="auto"/>
        </w:rPr>
      </w:pPr>
      <w:r>
        <w:rPr>
          <w:rFonts w:ascii="Arial" w:cs="Arial" w:eastAsia="Arial" w:hAnsi="Arial"/>
          <w:sz w:val="8"/>
          <w:szCs w:val="8"/>
          <w:color w:val="auto"/>
        </w:rPr>
        <w:t>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8686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ind w:left="8"/>
        <w:spacing w:after="0"/>
        <w:rPr>
          <w:sz w:val="20"/>
          <w:szCs w:val="20"/>
          <w:color w:val="auto"/>
        </w:rPr>
      </w:pPr>
      <w:r>
        <w:rPr>
          <w:rFonts w:ascii="Arial" w:cs="Arial" w:eastAsia="Arial" w:hAnsi="Arial"/>
          <w:sz w:val="8"/>
          <w:szCs w:val="8"/>
          <w:color w:val="auto"/>
        </w:rPr>
        <w:t>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8686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ind w:left="8"/>
        <w:spacing w:after="0"/>
        <w:rPr>
          <w:sz w:val="20"/>
          <w:szCs w:val="20"/>
          <w:color w:val="auto"/>
        </w:rPr>
      </w:pPr>
      <w:r>
        <w:rPr>
          <w:rFonts w:ascii="Arial" w:cs="Arial" w:eastAsia="Arial" w:hAnsi="Arial"/>
          <w:sz w:val="8"/>
          <w:szCs w:val="8"/>
          <w:color w:val="auto"/>
        </w:rPr>
        <w:t>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8686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ind w:left="8"/>
        <w:spacing w:after="0"/>
        <w:rPr>
          <w:sz w:val="20"/>
          <w:szCs w:val="20"/>
          <w:color w:val="auto"/>
        </w:rPr>
      </w:pPr>
      <w:r>
        <w:rPr>
          <w:rFonts w:ascii="Arial" w:cs="Arial" w:eastAsia="Arial" w:hAnsi="Arial"/>
          <w:sz w:val="8"/>
          <w:szCs w:val="8"/>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rFonts w:ascii="Arial" w:cs="Arial" w:eastAsia="Arial" w:hAnsi="Arial"/>
          <w:sz w:val="10"/>
          <w:szCs w:val="10"/>
          <w:color w:val="auto"/>
        </w:rPr>
      </w:pPr>
      <w:hyperlink r:id="rId327">
        <w:r>
          <w:rPr>
            <w:rFonts w:ascii="Arial" w:cs="Arial" w:eastAsia="Arial" w:hAnsi="Arial"/>
            <w:sz w:val="10"/>
            <w:szCs w:val="10"/>
            <w:color w:val="auto"/>
          </w:rPr>
          <w:t>Amended and Restated Certificate of Incorporation of Honeywell International Inc., as amended April 23, 2018 (incorporated by reference to Exhibit 3(i) to Honeywell’s Form 10-Q for the quarter ended June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29">
        <w:r>
          <w:rPr>
            <w:rFonts w:ascii="Arial" w:cs="Arial" w:eastAsia="Arial" w:hAnsi="Arial"/>
            <w:sz w:val="10"/>
            <w:szCs w:val="10"/>
            <w:color w:val="auto"/>
          </w:rPr>
          <w:t>By-laws of Honeywell International Inc., as amended April 23, 2018 (incorporated by reference to Exhibit 3(ii) to Honeywell’s Form 10-Q for the quarter ended June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460"/>
        <w:spacing w:after="0" w:line="293" w:lineRule="auto"/>
        <w:rPr>
          <w:sz w:val="20"/>
          <w:szCs w:val="20"/>
          <w:color w:val="auto"/>
        </w:rPr>
      </w:pPr>
      <w:r>
        <w:rPr>
          <w:rFonts w:ascii="Arial" w:cs="Arial" w:eastAsia="Arial" w:hAnsi="Arial"/>
          <w:sz w:val="8"/>
          <w:szCs w:val="8"/>
          <w:color w:val="auto"/>
        </w:rPr>
        <w:t>Honeywell International Inc. is a party to several long-term debt instruments under which, in each case, the total amount of securities authorized does not exceed 10% of the total assets of Honeywell and its subsidiaries on a consolidated basis. Pursuant to paragraph 4(iii)(A) of Item 601(b) of Regulation S-K, Honeywell agrees to furnish a copy of such instruments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wp:posOffset>
            </wp:positionV>
            <wp:extent cx="630364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28">
        <w:r>
          <w:rPr>
            <w:rFonts w:ascii="Arial" w:cs="Arial" w:eastAsia="Arial" w:hAnsi="Arial"/>
            <w:sz w:val="10"/>
            <w:szCs w:val="10"/>
            <w:color w:val="auto"/>
          </w:rPr>
          <w:t>Description of Honeywell International Inc. Securities Registered Pursuant to Section 12 of the Securities Exchange Act of 1934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33">
        <w:r>
          <w:rPr>
            <w:rFonts w:ascii="Arial" w:cs="Arial" w:eastAsia="Arial" w:hAnsi="Arial"/>
            <w:sz w:val="10"/>
            <w:szCs w:val="10"/>
            <w:color w:val="auto"/>
          </w:rPr>
          <w:t>Deferred Compensation Plan for Non-Employee Directors of Honeywell International Inc., as amended and restated (incorporated by reference to Exhibit 10.2 to Honeywell’s Form 10-Q for the quarter ended June 30, 2003)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335">
        <w:r>
          <w:rPr>
            <w:rFonts w:ascii="Arial" w:cs="Arial" w:eastAsia="Arial" w:hAnsi="Arial"/>
            <w:sz w:val="8"/>
            <w:szCs w:val="8"/>
            <w:color w:val="auto"/>
          </w:rPr>
          <w:t>Amendment to Deferred Compensation Plan for Non-Employee Directors of Honeywell International Inc., as amended and restated (incorporated by reference to Exhibit 10.1 to Honeywell’s Form 8-K filed December 21, 2004)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line="213" w:lineRule="auto"/>
        <w:rPr>
          <w:rFonts w:ascii="Arial" w:cs="Arial" w:eastAsia="Arial" w:hAnsi="Arial"/>
          <w:sz w:val="10"/>
          <w:szCs w:val="10"/>
          <w:color w:val="auto"/>
        </w:rPr>
      </w:pPr>
      <w:hyperlink r:id="rId337">
        <w:r>
          <w:rPr>
            <w:rFonts w:ascii="Arial" w:cs="Arial" w:eastAsia="Arial" w:hAnsi="Arial"/>
            <w:sz w:val="10"/>
            <w:szCs w:val="10"/>
            <w:color w:val="auto"/>
          </w:rPr>
          <w:t>Amendment to Deferred Compensation Plan for Non-Employee Directors of Honeywell International Inc., as amended and restated (incorporated by reference to Exhibit 10.2 to Honeywell’s Form 10-K for the year ended December 31,</w:t>
        </w:r>
      </w:hyperlink>
      <w:r>
        <w:rPr>
          <w:rFonts w:ascii="Arial" w:cs="Arial" w:eastAsia="Arial" w:hAnsi="Arial"/>
          <w:sz w:val="10"/>
          <w:szCs w:val="10"/>
          <w:color w:val="auto"/>
        </w:rPr>
        <w:t xml:space="preserve"> </w:t>
      </w:r>
      <w:hyperlink r:id="rId337">
        <w:r>
          <w:rPr>
            <w:rFonts w:ascii="Arial" w:cs="Arial" w:eastAsia="Arial" w:hAnsi="Arial"/>
            <w:sz w:val="10"/>
            <w:szCs w:val="10"/>
            <w:color w:val="auto"/>
          </w:rPr>
          <w:t>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ind w:right="100"/>
        <w:spacing w:after="0" w:line="213" w:lineRule="auto"/>
        <w:rPr>
          <w:rFonts w:ascii="Arial" w:cs="Arial" w:eastAsia="Arial" w:hAnsi="Arial"/>
          <w:sz w:val="10"/>
          <w:szCs w:val="10"/>
          <w:color w:val="auto"/>
        </w:rPr>
      </w:pPr>
      <w:hyperlink r:id="rId339">
        <w:r>
          <w:rPr>
            <w:rFonts w:ascii="Arial" w:cs="Arial" w:eastAsia="Arial" w:hAnsi="Arial"/>
            <w:sz w:val="10"/>
            <w:szCs w:val="10"/>
            <w:color w:val="auto"/>
          </w:rPr>
          <w:t>Omnibus Amendment to Deferred Compensation Plan for Non-Employee Directors of Honeywell International Inc., as amended and restated (incorporated by reference to Exhibit 10.1 to Honeywell’s Form 10-Q for the quarter ended</w:t>
        </w:r>
      </w:hyperlink>
      <w:r>
        <w:rPr>
          <w:rFonts w:ascii="Arial" w:cs="Arial" w:eastAsia="Arial" w:hAnsi="Arial"/>
          <w:sz w:val="10"/>
          <w:szCs w:val="10"/>
          <w:color w:val="auto"/>
        </w:rPr>
        <w:t xml:space="preserve"> </w:t>
      </w:r>
      <w:hyperlink r:id="rId339">
        <w:r>
          <w:rPr>
            <w:rFonts w:ascii="Arial" w:cs="Arial" w:eastAsia="Arial" w:hAnsi="Arial"/>
            <w:sz w:val="10"/>
            <w:szCs w:val="10"/>
            <w:color w:val="auto"/>
          </w:rPr>
          <w:t>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341">
        <w:r>
          <w:rPr>
            <w:rFonts w:ascii="Arial" w:cs="Arial" w:eastAsia="Arial" w:hAnsi="Arial"/>
            <w:sz w:val="10"/>
            <w:szCs w:val="10"/>
            <w:color w:val="auto"/>
          </w:rPr>
          <w:t>Honeywell International Inc. Incentive Compensation Plan for Executive Employees, as amended and restated (incorporated by reference to Exhibit 10.4 to Honeywell’s Form 10-K for the year ended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180"/>
        <w:spacing w:after="0" w:line="213" w:lineRule="auto"/>
        <w:rPr>
          <w:rFonts w:ascii="Arial" w:cs="Arial" w:eastAsia="Arial" w:hAnsi="Arial"/>
          <w:sz w:val="10"/>
          <w:szCs w:val="10"/>
          <w:color w:val="auto"/>
        </w:rPr>
      </w:pPr>
      <w:hyperlink r:id="rId343">
        <w:r>
          <w:rPr>
            <w:rFonts w:ascii="Arial" w:cs="Arial" w:eastAsia="Arial" w:hAnsi="Arial"/>
            <w:sz w:val="10"/>
            <w:szCs w:val="10"/>
            <w:color w:val="auto"/>
          </w:rPr>
          <w:t>Amendment to Honeywell International Inc. Incentive Compensation Plan for Executive Employees, as amended and restated (incorporated by reference to Exhibit 10.69 to Honeywell’s Form 10-K for the year ended December 31,</w:t>
        </w:r>
      </w:hyperlink>
      <w:r>
        <w:rPr>
          <w:rFonts w:ascii="Arial" w:cs="Arial" w:eastAsia="Arial" w:hAnsi="Arial"/>
          <w:sz w:val="10"/>
          <w:szCs w:val="10"/>
          <w:color w:val="auto"/>
        </w:rPr>
        <w:t xml:space="preserve"> </w:t>
      </w:r>
      <w:hyperlink r:id="rId343">
        <w:r>
          <w:rPr>
            <w:rFonts w:ascii="Arial" w:cs="Arial" w:eastAsia="Arial" w:hAnsi="Arial"/>
            <w:sz w:val="10"/>
            <w:szCs w:val="10"/>
            <w:color w:val="auto"/>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ind w:right="100"/>
        <w:spacing w:after="0" w:line="213" w:lineRule="auto"/>
        <w:rPr>
          <w:rFonts w:ascii="Arial" w:cs="Arial" w:eastAsia="Arial" w:hAnsi="Arial"/>
          <w:sz w:val="10"/>
          <w:szCs w:val="10"/>
          <w:color w:val="auto"/>
        </w:rPr>
      </w:pPr>
      <w:hyperlink r:id="rId345">
        <w:r>
          <w:rPr>
            <w:rFonts w:ascii="Arial" w:cs="Arial" w:eastAsia="Arial" w:hAnsi="Arial"/>
            <w:sz w:val="10"/>
            <w:szCs w:val="10"/>
            <w:color w:val="auto"/>
          </w:rPr>
          <w:t>Omnibus Amendment to Honeywell International Inc. Incentive Compensation Plan for Executive Employees, as amended and restated (incorporated by reference to Exhibit 10.1 to Honeywell’s Form 10-Q for the quarter ended June</w:t>
        </w:r>
      </w:hyperlink>
      <w:r>
        <w:rPr>
          <w:rFonts w:ascii="Arial" w:cs="Arial" w:eastAsia="Arial" w:hAnsi="Arial"/>
          <w:sz w:val="10"/>
          <w:szCs w:val="10"/>
          <w:color w:val="auto"/>
        </w:rPr>
        <w:t xml:space="preserve"> </w:t>
      </w:r>
      <w:hyperlink r:id="rId345">
        <w:r>
          <w:rPr>
            <w:rFonts w:ascii="Arial" w:cs="Arial" w:eastAsia="Arial" w:hAnsi="Arial"/>
            <w:sz w:val="10"/>
            <w:szCs w:val="10"/>
            <w:color w:val="auto"/>
          </w:rPr>
          <w:t>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347">
        <w:r>
          <w:rPr>
            <w:rFonts w:ascii="Arial" w:cs="Arial" w:eastAsia="Arial" w:hAnsi="Arial"/>
            <w:sz w:val="10"/>
            <w:szCs w:val="10"/>
            <w:color w:val="auto"/>
          </w:rPr>
          <w:t>Honeywell Excess Benefit Plan and Honeywell Supplemental Savings Plan, as amended and restated (incorporated by reference to Exhibit 10.5 to Honeywell’s Form 10-K for the year ended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339">
        <w:r>
          <w:rPr>
            <w:rFonts w:ascii="Arial" w:cs="Arial" w:eastAsia="Arial" w:hAnsi="Arial"/>
            <w:sz w:val="8"/>
            <w:szCs w:val="8"/>
            <w:color w:val="auto"/>
          </w:rPr>
          <w:t>Omnibus Amendment to Honeywell Excess Benefit Plan and Honeywell Supplemental Savings Plan, as amended and restated (incorporated by reference to Exhibit 10.1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rPr>
          <w:rFonts w:ascii="Arial" w:cs="Arial" w:eastAsia="Arial" w:hAnsi="Arial"/>
          <w:sz w:val="10"/>
          <w:szCs w:val="10"/>
          <w:color w:val="auto"/>
        </w:rPr>
      </w:pPr>
      <w:hyperlink r:id="rId350">
        <w:r>
          <w:rPr>
            <w:rFonts w:ascii="Arial" w:cs="Arial" w:eastAsia="Arial" w:hAnsi="Arial"/>
            <w:sz w:val="10"/>
            <w:szCs w:val="10"/>
            <w:color w:val="auto"/>
          </w:rPr>
          <w:t>Honeywell International Inc. Severance Plan for Designated Officers, as amended and restated (incorporated by reference to Exhibit 10.6 to Honeywell’s Form 10-K for the year ended December 31,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2">
        <w:r>
          <w:rPr>
            <w:rFonts w:ascii="Arial" w:cs="Arial" w:eastAsia="Arial" w:hAnsi="Arial"/>
            <w:sz w:val="10"/>
            <w:szCs w:val="10"/>
            <w:color w:val="auto"/>
          </w:rPr>
          <w:t>Honeywell Deferred Incentive Compensation Plan, as amended and restated (incorporated by reference to Exhibit 10.7 to Honeywell's Form 10-K for the year ended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4">
        <w:r>
          <w:rPr>
            <w:rFonts w:ascii="Arial" w:cs="Arial" w:eastAsia="Arial" w:hAnsi="Arial"/>
            <w:sz w:val="10"/>
            <w:szCs w:val="10"/>
            <w:color w:val="auto"/>
          </w:rPr>
          <w:t>Omnibus Amendment to Honeywell Deferred Incentive Compensation Plan, as amended and restated (incorporated by reference to Exhibit 10.1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6">
        <w:r>
          <w:rPr>
            <w:rFonts w:ascii="Arial" w:cs="Arial" w:eastAsia="Arial" w:hAnsi="Arial"/>
            <w:sz w:val="10"/>
            <w:szCs w:val="10"/>
            <w:color w:val="auto"/>
          </w:rPr>
          <w:t>Honeywell International Inc. Supplemental Pension Plan, as amended and restated (incorporated by reference to Exhibit 10.10 to Honeywell’s Form 10-K for the year ended December 31,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8">
        <w:r>
          <w:rPr>
            <w:rFonts w:ascii="Arial" w:cs="Arial" w:eastAsia="Arial" w:hAnsi="Arial"/>
            <w:sz w:val="10"/>
            <w:szCs w:val="10"/>
            <w:color w:val="auto"/>
          </w:rPr>
          <w:t>Amendment to Honeywell International Inc. Supplemental Pension Plan, as amended and restated (incorporated by reference to Exhibit 10.10 to Honeywell’s Form 10-K for the year ended December 31,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60">
        <w:r>
          <w:rPr>
            <w:rFonts w:ascii="Arial" w:cs="Arial" w:eastAsia="Arial" w:hAnsi="Arial"/>
            <w:sz w:val="10"/>
            <w:szCs w:val="10"/>
            <w:color w:val="auto"/>
          </w:rPr>
          <w:t>Amendment to Honeywell International Inc. Supplemental Pension Plan, as amended and restated (incorporated by reference to Exhibit 10.7 to Honeywell’s Form 10-K for the year ended December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13" w:lineRule="auto"/>
        <w:rPr>
          <w:rFonts w:ascii="Arial" w:cs="Arial" w:eastAsia="Arial" w:hAnsi="Arial"/>
          <w:sz w:val="10"/>
          <w:szCs w:val="10"/>
          <w:color w:val="auto"/>
        </w:rPr>
      </w:pPr>
      <w:hyperlink r:id="rId362">
        <w:r>
          <w:rPr>
            <w:rFonts w:ascii="Arial" w:cs="Arial" w:eastAsia="Arial" w:hAnsi="Arial"/>
            <w:sz w:val="10"/>
            <w:szCs w:val="10"/>
            <w:color w:val="auto"/>
          </w:rPr>
          <w:t>Honeywell International Inc. Supplemental Executive Retirement Plan for Executives in Career Band 6 and Above, as amended and restated (incorporated by reference to Exhibit 10.12 to Honeywell’s Form 10-K for the year ended</w:t>
        </w:r>
      </w:hyperlink>
      <w:r>
        <w:rPr>
          <w:rFonts w:ascii="Arial" w:cs="Arial" w:eastAsia="Arial" w:hAnsi="Arial"/>
          <w:sz w:val="10"/>
          <w:szCs w:val="10"/>
          <w:color w:val="auto"/>
        </w:rPr>
        <w:t xml:space="preserve"> </w:t>
      </w:r>
      <w:hyperlink r:id="rId362">
        <w:r>
          <w:rPr>
            <w:rFonts w:ascii="Arial" w:cs="Arial" w:eastAsia="Arial" w:hAnsi="Arial"/>
            <w:sz w:val="10"/>
            <w:szCs w:val="10"/>
            <w:color w:val="auto"/>
          </w:rPr>
          <w:t>December 31,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line="213" w:lineRule="auto"/>
        <w:rPr>
          <w:rFonts w:ascii="Arial" w:cs="Arial" w:eastAsia="Arial" w:hAnsi="Arial"/>
          <w:sz w:val="10"/>
          <w:szCs w:val="10"/>
          <w:color w:val="auto"/>
        </w:rPr>
      </w:pPr>
      <w:hyperlink r:id="rId364">
        <w:r>
          <w:rPr>
            <w:rFonts w:ascii="Arial" w:cs="Arial" w:eastAsia="Arial" w:hAnsi="Arial"/>
            <w:sz w:val="10"/>
            <w:szCs w:val="10"/>
            <w:color w:val="auto"/>
          </w:rPr>
          <w:t>Amendment to Honeywell International Inc. Supplemental Executive Retirement Plan for Executives in Career Band 6 and Above, as amended and restated (incorporated by reference to Exhibit 10.12 to Honeywell’s Form 10-K for the</w:t>
        </w:r>
      </w:hyperlink>
      <w:r>
        <w:rPr>
          <w:rFonts w:ascii="Arial" w:cs="Arial" w:eastAsia="Arial" w:hAnsi="Arial"/>
          <w:sz w:val="10"/>
          <w:szCs w:val="10"/>
          <w:color w:val="auto"/>
        </w:rPr>
        <w:t xml:space="preserve"> </w:t>
      </w:r>
      <w:hyperlink r:id="rId364">
        <w:r>
          <w:rPr>
            <w:rFonts w:ascii="Arial" w:cs="Arial" w:eastAsia="Arial" w:hAnsi="Arial"/>
            <w:sz w:val="10"/>
            <w:szCs w:val="10"/>
            <w:color w:val="auto"/>
          </w:rPr>
          <w:t>year ended December 31,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line="213" w:lineRule="auto"/>
        <w:rPr>
          <w:rFonts w:ascii="Arial" w:cs="Arial" w:eastAsia="Arial" w:hAnsi="Arial"/>
          <w:sz w:val="10"/>
          <w:szCs w:val="10"/>
          <w:color w:val="auto"/>
        </w:rPr>
      </w:pPr>
      <w:hyperlink r:id="rId366">
        <w:r>
          <w:rPr>
            <w:rFonts w:ascii="Arial" w:cs="Arial" w:eastAsia="Arial" w:hAnsi="Arial"/>
            <w:sz w:val="10"/>
            <w:szCs w:val="10"/>
            <w:color w:val="auto"/>
          </w:rPr>
          <w:t>Amendment to Honeywell International Inc. Supplemental Executive Retirement Plan for Executives in Career Band 6 and Above, as amended and restated (incorporated by reference to Exhibit 10.9 to Honeywell’s Form 10-K for the</w:t>
        </w:r>
      </w:hyperlink>
      <w:r>
        <w:rPr>
          <w:rFonts w:ascii="Arial" w:cs="Arial" w:eastAsia="Arial" w:hAnsi="Arial"/>
          <w:sz w:val="10"/>
          <w:szCs w:val="10"/>
          <w:color w:val="auto"/>
        </w:rPr>
        <w:t xml:space="preserve"> </w:t>
      </w:r>
      <w:hyperlink r:id="rId366">
        <w:r>
          <w:rPr>
            <w:rFonts w:ascii="Arial" w:cs="Arial" w:eastAsia="Arial" w:hAnsi="Arial"/>
            <w:sz w:val="10"/>
            <w:szCs w:val="10"/>
            <w:color w:val="auto"/>
          </w:rPr>
          <w:t>year ended December 31,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line="213" w:lineRule="auto"/>
        <w:rPr>
          <w:rFonts w:ascii="Arial" w:cs="Arial" w:eastAsia="Arial" w:hAnsi="Arial"/>
          <w:sz w:val="10"/>
          <w:szCs w:val="10"/>
          <w:color w:val="auto"/>
        </w:rPr>
      </w:pPr>
      <w:hyperlink r:id="rId368">
        <w:r>
          <w:rPr>
            <w:rFonts w:ascii="Arial" w:cs="Arial" w:eastAsia="Arial" w:hAnsi="Arial"/>
            <w:sz w:val="10"/>
            <w:szCs w:val="10"/>
            <w:color w:val="auto"/>
          </w:rPr>
          <w:t>Amendment to Honeywell International Inc. Supplemental Executive Retirement Plan for Executives in Career Band 6 and Above, as amended and restated (incorporated by reference to Exhibit 10.8 to Honeywell’s Form 10-K for the</w:t>
        </w:r>
      </w:hyperlink>
      <w:r>
        <w:rPr>
          <w:rFonts w:ascii="Arial" w:cs="Arial" w:eastAsia="Arial" w:hAnsi="Arial"/>
          <w:sz w:val="10"/>
          <w:szCs w:val="10"/>
          <w:color w:val="auto"/>
        </w:rPr>
        <w:t xml:space="preserve"> </w:t>
      </w:r>
      <w:hyperlink r:id="rId368">
        <w:r>
          <w:rPr>
            <w:rFonts w:ascii="Arial" w:cs="Arial" w:eastAsia="Arial" w:hAnsi="Arial"/>
            <w:sz w:val="10"/>
            <w:szCs w:val="10"/>
            <w:color w:val="auto"/>
          </w:rPr>
          <w:t>year ended December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370">
        <w:r>
          <w:rPr>
            <w:rFonts w:ascii="Arial" w:cs="Arial" w:eastAsia="Arial" w:hAnsi="Arial"/>
            <w:sz w:val="10"/>
            <w:szCs w:val="10"/>
            <w:color w:val="auto"/>
          </w:rPr>
          <w:t>Honeywell Supplemental Defined Benefit Retirement Plan, as amended and restated (incorporated by reference to Exhibit 10.13 to Honeywell’s Form 10-K for the year ended December 31,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72">
        <w:r>
          <w:rPr>
            <w:rFonts w:ascii="Arial" w:cs="Arial" w:eastAsia="Arial" w:hAnsi="Arial"/>
            <w:sz w:val="10"/>
            <w:szCs w:val="10"/>
            <w:color w:val="auto"/>
          </w:rPr>
          <w:t>Amendment to Honeywell Supplemental Defined Benefit Retirement Plan, as amended and restated (incorporated by reference to Exhibit 10.13 to Honeywell’s Form 10-K for the year ended December 31,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 w:space="720"/>
            <w:col w:w="9900"/>
          </w:cols>
          <w:pgMar w:left="292" w:top="911" w:right="319" w:bottom="1440" w:gutter="0" w:footer="0" w:header="0"/>
          <w:type w:val="continuous"/>
        </w:sectPr>
      </w:pPr>
    </w:p>
    <w:p>
      <w:pPr>
        <w:spacing w:after="0" w:line="250" w:lineRule="exact"/>
        <w:rPr>
          <w:sz w:val="20"/>
          <w:szCs w:val="20"/>
          <w:color w:val="auto"/>
        </w:rPr>
      </w:pPr>
    </w:p>
    <w:p>
      <w:pPr>
        <w:ind w:left="528" w:hanging="528"/>
        <w:spacing w:after="0"/>
        <w:tabs>
          <w:tab w:leader="none" w:pos="528" w:val="left"/>
        </w:tabs>
        <w:numPr>
          <w:ilvl w:val="0"/>
          <w:numId w:val="117"/>
        </w:numPr>
        <w:rPr>
          <w:rFonts w:ascii="Arial" w:cs="Arial" w:eastAsia="Arial" w:hAnsi="Arial"/>
          <w:sz w:val="11"/>
          <w:szCs w:val="11"/>
          <w:b w:val="1"/>
          <w:bCs w:val="1"/>
          <w:color w:val="D7282F"/>
        </w:rPr>
      </w:pPr>
      <w:r>
        <w:rPr>
          <w:rFonts w:ascii="Arial" w:cs="Arial" w:eastAsia="Arial" w:hAnsi="Arial"/>
          <w:sz w:val="9"/>
          <w:szCs w:val="9"/>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11" w:right="319" w:bottom="1440" w:gutter="0" w:footer="0" w:header="0"/>
          <w:type w:val="continuous"/>
        </w:sectPr>
      </w:pPr>
    </w:p>
    <w:bookmarkStart w:id="122" w:name="page123"/>
    <w:bookmarkEnd w:id="122"/>
    <w:p>
      <w:pPr>
        <w:spacing w:after="0"/>
        <w:tabs>
          <w:tab w:leader="none" w:pos="6040" w:val="left"/>
        </w:tabs>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608965</wp:posOffset>
            </wp:positionV>
            <wp:extent cx="717232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7172325" cy="5715"/>
                    </a:xfrm>
                    <a:prstGeom prst="rect">
                      <a:avLst/>
                    </a:prstGeom>
                    <a:noFill/>
                  </pic:spPr>
                </pic:pic>
              </a:graphicData>
            </a:graphic>
          </wp:anchor>
        </w:drawing>
        <w:t>Exhibit No.</w:t>
      </w:r>
      <w:r>
        <w:rPr>
          <w:sz w:val="20"/>
          <w:szCs w:val="20"/>
          <w:color w:val="auto"/>
        </w:rPr>
        <w:tab/>
      </w:r>
      <w:r>
        <w:rPr>
          <w:rFonts w:ascii="Arial" w:cs="Arial" w:eastAsia="Arial" w:hAnsi="Arial"/>
          <w:sz w:val="8"/>
          <w:szCs w:val="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232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300"/>
          </w:cols>
          <w:pgMar w:left="300" w:top="977" w:right="299" w:bottom="144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86868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8"/>
          <w:szCs w:val="8"/>
          <w:color w:val="auto"/>
        </w:rPr>
        <w:t>10.49*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8"/>
          <w:szCs w:val="8"/>
          <w:color w:val="auto"/>
        </w:rPr>
        <w:t>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8686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rFonts w:ascii="Arial" w:cs="Arial" w:eastAsia="Arial" w:hAnsi="Arial"/>
          <w:sz w:val="10"/>
          <w:szCs w:val="10"/>
          <w:color w:val="auto"/>
        </w:rPr>
      </w:pPr>
      <w:hyperlink r:id="rId406">
        <w:r>
          <w:rPr>
            <w:rFonts w:ascii="Arial" w:cs="Arial" w:eastAsia="Arial" w:hAnsi="Arial"/>
            <w:sz w:val="10"/>
            <w:szCs w:val="10"/>
            <w:color w:val="auto"/>
          </w:rPr>
          <w:t>Amendment to Honeywell Supplemental Defined Benefit Retirement Plan, as amended and restated (incorporated by reference to Exhibit 10.9 to Honeywell’s Form 10-K for the year ended December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40"/>
        <w:spacing w:after="0" w:line="213" w:lineRule="auto"/>
        <w:rPr>
          <w:rFonts w:ascii="Arial" w:cs="Arial" w:eastAsia="Arial" w:hAnsi="Arial"/>
          <w:sz w:val="10"/>
          <w:szCs w:val="10"/>
          <w:color w:val="auto"/>
        </w:rPr>
      </w:pPr>
      <w:hyperlink r:id="rId408">
        <w:r>
          <w:rPr>
            <w:rFonts w:ascii="Arial" w:cs="Arial" w:eastAsia="Arial" w:hAnsi="Arial"/>
            <w:sz w:val="10"/>
            <w:szCs w:val="10"/>
            <w:color w:val="auto"/>
          </w:rPr>
          <w:t>Honeywell International Inc. Severance Plan for Corporate Staff Employees (Involuntary Termination Following a Change in Control), as amended and restated (incorporated by reference to Exhibit 10.12 to Honeywell’s Form 10-K for</w:t>
        </w:r>
      </w:hyperlink>
      <w:r>
        <w:rPr>
          <w:rFonts w:ascii="Arial" w:cs="Arial" w:eastAsia="Arial" w:hAnsi="Arial"/>
          <w:sz w:val="10"/>
          <w:szCs w:val="10"/>
          <w:color w:val="auto"/>
        </w:rPr>
        <w:t xml:space="preserve"> </w:t>
      </w:r>
      <w:hyperlink r:id="rId408">
        <w:r>
          <w:rPr>
            <w:rFonts w:ascii="Arial" w:cs="Arial" w:eastAsia="Arial" w:hAnsi="Arial"/>
            <w:sz w:val="10"/>
            <w:szCs w:val="10"/>
            <w:color w:val="auto"/>
          </w:rPr>
          <w:t>the year ended December 31,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410">
        <w:r>
          <w:rPr>
            <w:rFonts w:ascii="Arial" w:cs="Arial" w:eastAsia="Arial" w:hAnsi="Arial"/>
            <w:sz w:val="10"/>
            <w:szCs w:val="10"/>
            <w:color w:val="auto"/>
          </w:rPr>
          <w:t>Honeywell Supplemental Retirement Plan (incorporated by reference to Exhibit 10.24 to Honeywell’s Form 10-K for the year ended December 31,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12">
        <w:r>
          <w:rPr>
            <w:rFonts w:ascii="Arial" w:cs="Arial" w:eastAsia="Arial" w:hAnsi="Arial"/>
            <w:sz w:val="10"/>
            <w:szCs w:val="10"/>
            <w:color w:val="auto"/>
          </w:rPr>
          <w:t>UOP LLC Supplemental Pension Plan, as amended and restated (incorporated by reference to Exhibit 10.76 to Honeywell’s 10-K for the year ended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14">
        <w:r>
          <w:rPr>
            <w:rFonts w:ascii="Arial" w:cs="Arial" w:eastAsia="Arial" w:hAnsi="Arial"/>
            <w:sz w:val="10"/>
            <w:szCs w:val="10"/>
            <w:color w:val="auto"/>
          </w:rPr>
          <w:t>2006 Stock Plan for Non-Employee Directors of Honeywell International Inc., as amended and restated (incorporated by reference to Exhibit 10.31 to Honeywell’s Form 10-K for the year ended December 31,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416">
        <w:r>
          <w:rPr>
            <w:rFonts w:ascii="Arial" w:cs="Arial" w:eastAsia="Arial" w:hAnsi="Arial"/>
            <w:sz w:val="8"/>
            <w:szCs w:val="8"/>
            <w:color w:val="auto"/>
          </w:rPr>
          <w:t>Amendment to 2006 Stock Plan for Non-Employee Directors of Honeywell International Inc., as amended and restated (incorporated by reference to Exhibit 10.27 to Honeywell’s Form 10-K for the year ended December 31,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rPr>
          <w:rFonts w:ascii="Arial" w:cs="Arial" w:eastAsia="Arial" w:hAnsi="Arial"/>
          <w:sz w:val="8"/>
          <w:szCs w:val="8"/>
          <w:color w:val="auto"/>
        </w:rPr>
      </w:pPr>
      <w:hyperlink r:id="rId418">
        <w:r>
          <w:rPr>
            <w:rFonts w:ascii="Arial" w:cs="Arial" w:eastAsia="Arial" w:hAnsi="Arial"/>
            <w:sz w:val="8"/>
            <w:szCs w:val="8"/>
            <w:color w:val="auto"/>
          </w:rPr>
          <w:t>Amendment to 2006 Stock Plan for Non-Employee Directors of Honeywell International Inc., as amended and restated (incorporated by reference to Exhibit 10.24 to Honeywell’s Form 10-K for the year ended December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ind w:right="260"/>
        <w:spacing w:after="0" w:line="213" w:lineRule="auto"/>
        <w:rPr>
          <w:rFonts w:ascii="Arial" w:cs="Arial" w:eastAsia="Arial" w:hAnsi="Arial"/>
          <w:sz w:val="10"/>
          <w:szCs w:val="10"/>
          <w:color w:val="auto"/>
        </w:rPr>
      </w:pPr>
      <w:hyperlink r:id="rId354">
        <w:r>
          <w:rPr>
            <w:rFonts w:ascii="Arial" w:cs="Arial" w:eastAsia="Arial" w:hAnsi="Arial"/>
            <w:sz w:val="10"/>
            <w:szCs w:val="10"/>
            <w:color w:val="auto"/>
          </w:rPr>
          <w:t>Omnibus Amendment to 2006 Stock Plan for Non-Employee Directors of Honeywell International Inc., as amended and restated (incorporated by reference to Exhibit 10.1 to Honeywell’s Form 10-Q for the quarter ended June 30,</w:t>
        </w:r>
      </w:hyperlink>
      <w:r>
        <w:rPr>
          <w:rFonts w:ascii="Arial" w:cs="Arial" w:eastAsia="Arial" w:hAnsi="Arial"/>
          <w:sz w:val="10"/>
          <w:szCs w:val="10"/>
          <w:color w:val="auto"/>
        </w:rPr>
        <w:t xml:space="preserve"> </w:t>
      </w:r>
      <w:hyperlink r:id="rId354">
        <w:r>
          <w:rPr>
            <w:rFonts w:ascii="Arial" w:cs="Arial" w:eastAsia="Arial" w:hAnsi="Arial"/>
            <w:sz w:val="10"/>
            <w:szCs w:val="10"/>
            <w:color w:val="auto"/>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421">
        <w:r>
          <w:rPr>
            <w:rFonts w:ascii="Arial" w:cs="Arial" w:eastAsia="Arial" w:hAnsi="Arial"/>
            <w:sz w:val="10"/>
            <w:szCs w:val="10"/>
            <w:color w:val="auto"/>
          </w:rPr>
          <w:t>2006 Stock Plan for Non-Employee Directors of Honeywell International Inc.—Form of Option Agreement (incorporated by reference to Exhibit 10.3 to Honeywell’s Form 10-Q for the quarter ended March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160"/>
        <w:spacing w:after="0" w:line="213" w:lineRule="auto"/>
        <w:rPr>
          <w:rFonts w:ascii="Arial" w:cs="Arial" w:eastAsia="Arial" w:hAnsi="Arial"/>
          <w:sz w:val="10"/>
          <w:szCs w:val="10"/>
          <w:color w:val="auto"/>
        </w:rPr>
      </w:pPr>
      <w:hyperlink r:id="rId354">
        <w:r>
          <w:rPr>
            <w:rFonts w:ascii="Arial" w:cs="Arial" w:eastAsia="Arial" w:hAnsi="Arial"/>
            <w:sz w:val="10"/>
            <w:szCs w:val="10"/>
            <w:color w:val="auto"/>
          </w:rPr>
          <w:t>Omnibus Amendment to 2006 Stock Plan for Non-Employee Directors of Honeywell International Inc. – Form of Option Agreement (incorporated by reference to Exhibit 10.1 to Honeywell’s Form 10-Q for the quarter ended June 30,</w:t>
        </w:r>
      </w:hyperlink>
      <w:r>
        <w:rPr>
          <w:rFonts w:ascii="Arial" w:cs="Arial" w:eastAsia="Arial" w:hAnsi="Arial"/>
          <w:sz w:val="10"/>
          <w:szCs w:val="10"/>
          <w:color w:val="auto"/>
        </w:rPr>
        <w:t xml:space="preserve"> </w:t>
      </w:r>
      <w:hyperlink r:id="rId354">
        <w:r>
          <w:rPr>
            <w:rFonts w:ascii="Arial" w:cs="Arial" w:eastAsia="Arial" w:hAnsi="Arial"/>
            <w:sz w:val="10"/>
            <w:szCs w:val="10"/>
            <w:color w:val="auto"/>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424">
        <w:r>
          <w:rPr>
            <w:rFonts w:ascii="Arial" w:cs="Arial" w:eastAsia="Arial" w:hAnsi="Arial"/>
            <w:sz w:val="10"/>
            <w:szCs w:val="10"/>
            <w:color w:val="auto"/>
          </w:rPr>
          <w:t>2006 Stock Plan for Non-Employee Directors of Honeywell International Inc.—Form of Restricted Unit Agreement (incorporated by reference to Exhibit 10.4 to Honeywell’s Form 10-Q for the quarter ended March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220"/>
        <w:spacing w:after="0" w:line="213" w:lineRule="auto"/>
        <w:rPr>
          <w:rFonts w:ascii="Arial" w:cs="Arial" w:eastAsia="Arial" w:hAnsi="Arial"/>
          <w:sz w:val="10"/>
          <w:szCs w:val="10"/>
          <w:color w:val="auto"/>
        </w:rPr>
      </w:pPr>
      <w:hyperlink r:id="rId354">
        <w:r>
          <w:rPr>
            <w:rFonts w:ascii="Arial" w:cs="Arial" w:eastAsia="Arial" w:hAnsi="Arial"/>
            <w:sz w:val="10"/>
            <w:szCs w:val="10"/>
            <w:color w:val="auto"/>
          </w:rPr>
          <w:t>Omnibus Amendment to 2006 Stock Plan for Non-Employee Directors of Honeywell International Inc. – Form of Restricted Unit Agreement (incorporated by reference to Exhibit 10.1 to Honeywell’s Form 10-Q for the quarter ended</w:t>
        </w:r>
      </w:hyperlink>
      <w:r>
        <w:rPr>
          <w:rFonts w:ascii="Arial" w:cs="Arial" w:eastAsia="Arial" w:hAnsi="Arial"/>
          <w:sz w:val="10"/>
          <w:szCs w:val="10"/>
          <w:color w:val="auto"/>
        </w:rPr>
        <w:t xml:space="preserve"> </w:t>
      </w:r>
      <w:hyperlink r:id="rId354">
        <w:r>
          <w:rPr>
            <w:rFonts w:ascii="Arial" w:cs="Arial" w:eastAsia="Arial" w:hAnsi="Arial"/>
            <w:sz w:val="10"/>
            <w:szCs w:val="10"/>
            <w:color w:val="auto"/>
          </w:rPr>
          <w:t>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427">
        <w:r>
          <w:rPr>
            <w:rFonts w:ascii="Arial" w:cs="Arial" w:eastAsia="Arial" w:hAnsi="Arial"/>
            <w:sz w:val="10"/>
            <w:szCs w:val="10"/>
            <w:color w:val="auto"/>
          </w:rPr>
          <w:t>2007 Honeywell Global Employee Stock Plan (incorporated by reference to Exhibit A of Honeywell’s Proxy Statement, dated March 12, 2007, filed pursuant to Rule 14a-6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4">
        <w:r>
          <w:rPr>
            <w:rFonts w:ascii="Arial" w:cs="Arial" w:eastAsia="Arial" w:hAnsi="Arial"/>
            <w:sz w:val="10"/>
            <w:szCs w:val="10"/>
            <w:color w:val="auto"/>
          </w:rPr>
          <w:t>Omnibus Amendment to 2007 Honeywell Global Employee Stock Plan (incorporated by reference to Exhibit 10.1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430">
        <w:r>
          <w:rPr>
            <w:rFonts w:ascii="Arial" w:cs="Arial" w:eastAsia="Arial" w:hAnsi="Arial"/>
            <w:sz w:val="8"/>
            <w:szCs w:val="8"/>
            <w:color w:val="auto"/>
          </w:rPr>
          <w:t>2011 Stock Incentive Plan of Honeywell International Inc. and its Affiliates (incorporated by reference to Exhibit A of Honeywell’s Proxy Statement, dated March 10, 2011, filed pursuant to Rule 14a-6 of the Securities Exchange Act of</w:t>
        </w:r>
      </w:hyperlink>
    </w:p>
    <w:p>
      <w:pPr>
        <w:spacing w:after="0"/>
        <w:rPr>
          <w:rFonts w:ascii="Arial" w:cs="Arial" w:eastAsia="Arial" w:hAnsi="Arial"/>
          <w:sz w:val="10"/>
          <w:szCs w:val="10"/>
          <w:color w:val="auto"/>
        </w:rPr>
      </w:pPr>
      <w:hyperlink r:id="rId430">
        <w:r>
          <w:rPr>
            <w:rFonts w:ascii="Arial" w:cs="Arial" w:eastAsia="Arial" w:hAnsi="Arial"/>
            <w:sz w:val="10"/>
            <w:szCs w:val="10"/>
            <w:color w:val="auto"/>
          </w:rPr>
          <w:t>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32">
        <w:r>
          <w:rPr>
            <w:rFonts w:ascii="Arial" w:cs="Arial" w:eastAsia="Arial" w:hAnsi="Arial"/>
            <w:sz w:val="10"/>
            <w:szCs w:val="10"/>
            <w:color w:val="auto"/>
          </w:rPr>
          <w:t>Amendment to 2011 Stock Incentive Plan of Honeywell International Inc. and its Affiliates (incorporated by reference to Exhibit 10.36 to Honeywell’s Form 10-K for the year ended December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34">
        <w:r>
          <w:rPr>
            <w:rFonts w:ascii="Arial" w:cs="Arial" w:eastAsia="Arial" w:hAnsi="Arial"/>
            <w:sz w:val="10"/>
            <w:szCs w:val="10"/>
            <w:color w:val="auto"/>
          </w:rPr>
          <w:t>Amendment to 2011 Stock Incentive Plan of Honeywell International Inc. and its Affiliates (incorporated by reference to Exhibit 10.1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4">
        <w:r>
          <w:rPr>
            <w:rFonts w:ascii="Arial" w:cs="Arial" w:eastAsia="Arial" w:hAnsi="Arial"/>
            <w:sz w:val="10"/>
            <w:szCs w:val="10"/>
            <w:color w:val="auto"/>
          </w:rPr>
          <w:t>Omnibus Amendment to 2011 Stock Incentive Plan of Honeywell International Inc. and its Affiliates (incorporated by reference to Exhibit 10.1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37">
        <w:r>
          <w:rPr>
            <w:rFonts w:ascii="Arial" w:cs="Arial" w:eastAsia="Arial" w:hAnsi="Arial"/>
            <w:sz w:val="10"/>
            <w:szCs w:val="10"/>
            <w:color w:val="auto"/>
          </w:rPr>
          <w:t>2011 Stock Incentive Plan of Honeywell International Inc. and its Affiliates—Form of Restricted Unit Agreement (incorporated by reference to Exhibit 10.2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80"/>
        <w:spacing w:after="0" w:line="213" w:lineRule="auto"/>
        <w:rPr>
          <w:rFonts w:ascii="Arial" w:cs="Arial" w:eastAsia="Arial" w:hAnsi="Arial"/>
          <w:sz w:val="10"/>
          <w:szCs w:val="10"/>
          <w:color w:val="auto"/>
        </w:rPr>
      </w:pPr>
      <w:hyperlink r:id="rId354">
        <w:r>
          <w:rPr>
            <w:rFonts w:ascii="Arial" w:cs="Arial" w:eastAsia="Arial" w:hAnsi="Arial"/>
            <w:sz w:val="10"/>
            <w:szCs w:val="10"/>
            <w:color w:val="auto"/>
          </w:rPr>
          <w:t>Omnibus Amendment to 2011 Stock Incentive Plan of Honeywell International Inc. and its Affiliates – Form of Restricted Unit Agreement (incorporated by reference to Exhibit 10.1 to Honeywell’s Form 10-Q for the quarter ended June</w:t>
        </w:r>
      </w:hyperlink>
      <w:r>
        <w:rPr>
          <w:rFonts w:ascii="Arial" w:cs="Arial" w:eastAsia="Arial" w:hAnsi="Arial"/>
          <w:sz w:val="10"/>
          <w:szCs w:val="10"/>
          <w:color w:val="auto"/>
        </w:rPr>
        <w:t xml:space="preserve"> </w:t>
      </w:r>
      <w:hyperlink r:id="rId354">
        <w:r>
          <w:rPr>
            <w:rFonts w:ascii="Arial" w:cs="Arial" w:eastAsia="Arial" w:hAnsi="Arial"/>
            <w:sz w:val="10"/>
            <w:szCs w:val="10"/>
            <w:color w:val="auto"/>
          </w:rPr>
          <w:t>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8"/>
          <w:szCs w:val="8"/>
          <w:color w:val="auto"/>
        </w:rPr>
      </w:pPr>
      <w:hyperlink r:id="rId440">
        <w:r>
          <w:rPr>
            <w:rFonts w:ascii="Arial" w:cs="Arial" w:eastAsia="Arial" w:hAnsi="Arial"/>
            <w:sz w:val="8"/>
            <w:szCs w:val="8"/>
            <w:color w:val="auto"/>
          </w:rPr>
          <w:t>2011 Stock Incentive Plan of Honeywell International Inc. and its Affiliates—Form of Restricted Unit Agreement, Form 2 (incorporated by reference to Exhibit 10.3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ind w:right="260"/>
        <w:spacing w:after="0" w:line="213" w:lineRule="auto"/>
        <w:rPr>
          <w:rFonts w:ascii="Arial" w:cs="Arial" w:eastAsia="Arial" w:hAnsi="Arial"/>
          <w:sz w:val="10"/>
          <w:szCs w:val="10"/>
          <w:color w:val="auto"/>
        </w:rPr>
      </w:pPr>
      <w:hyperlink r:id="rId354">
        <w:r>
          <w:rPr>
            <w:rFonts w:ascii="Arial" w:cs="Arial" w:eastAsia="Arial" w:hAnsi="Arial"/>
            <w:sz w:val="10"/>
            <w:szCs w:val="10"/>
            <w:color w:val="auto"/>
          </w:rPr>
          <w:t>Omnibus Amendment to 2011 Stock Incentive Plan of Honeywell International Inc. and its Affiliates – Form of Restricted Unit Agreement, Form 2 (incorporated by reference to Exhibit 10.1 to Honeywell’s Form 10-Q for the quarter</w:t>
        </w:r>
      </w:hyperlink>
      <w:r>
        <w:rPr>
          <w:rFonts w:ascii="Arial" w:cs="Arial" w:eastAsia="Arial" w:hAnsi="Arial"/>
          <w:sz w:val="10"/>
          <w:szCs w:val="10"/>
          <w:color w:val="auto"/>
        </w:rPr>
        <w:t xml:space="preserve"> </w:t>
      </w:r>
      <w:hyperlink r:id="rId354">
        <w:r>
          <w:rPr>
            <w:rFonts w:ascii="Arial" w:cs="Arial" w:eastAsia="Arial" w:hAnsi="Arial"/>
            <w:sz w:val="10"/>
            <w:szCs w:val="10"/>
            <w:color w:val="auto"/>
          </w:rPr>
          <w:t>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8"/>
          <w:szCs w:val="8"/>
          <w:color w:val="auto"/>
        </w:rPr>
      </w:pPr>
      <w:hyperlink r:id="rId443">
        <w:r>
          <w:rPr>
            <w:rFonts w:ascii="Arial" w:cs="Arial" w:eastAsia="Arial" w:hAnsi="Arial"/>
            <w:sz w:val="8"/>
            <w:szCs w:val="8"/>
            <w:color w:val="auto"/>
          </w:rPr>
          <w:t>2011 Stock Incentive Plan of Honeywell International Inc. and Its Affiliates—Form of Stock Option Award Agreement (incorporated by reference to Exhibit 10.4 to Honeywell’s Form 10-Q for the quarter ended March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ind w:right="100"/>
        <w:spacing w:after="0" w:line="213" w:lineRule="auto"/>
        <w:rPr>
          <w:rFonts w:ascii="Arial" w:cs="Arial" w:eastAsia="Arial" w:hAnsi="Arial"/>
          <w:sz w:val="10"/>
          <w:szCs w:val="10"/>
          <w:color w:val="auto"/>
        </w:rPr>
      </w:pPr>
      <w:hyperlink r:id="rId354">
        <w:r>
          <w:rPr>
            <w:rFonts w:ascii="Arial" w:cs="Arial" w:eastAsia="Arial" w:hAnsi="Arial"/>
            <w:sz w:val="10"/>
            <w:szCs w:val="10"/>
            <w:color w:val="auto"/>
          </w:rPr>
          <w:t>Omnibus Amendment to 2011 Stock Incentive Plan of Honeywell International Inc. and its Affiliates – Form of Stock Option Award Agreement (incorporated by reference to Exhibit 10.1 to Honeywell’s Form 10-Q for the quarter ended</w:t>
        </w:r>
      </w:hyperlink>
      <w:r>
        <w:rPr>
          <w:rFonts w:ascii="Arial" w:cs="Arial" w:eastAsia="Arial" w:hAnsi="Arial"/>
          <w:sz w:val="10"/>
          <w:szCs w:val="10"/>
          <w:color w:val="auto"/>
        </w:rPr>
        <w:t xml:space="preserve"> </w:t>
      </w:r>
      <w:hyperlink r:id="rId354">
        <w:r>
          <w:rPr>
            <w:rFonts w:ascii="Arial" w:cs="Arial" w:eastAsia="Arial" w:hAnsi="Arial"/>
            <w:sz w:val="10"/>
            <w:szCs w:val="10"/>
            <w:color w:val="auto"/>
          </w:rPr>
          <w:t>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446">
        <w:r>
          <w:rPr>
            <w:rFonts w:ascii="Arial" w:cs="Arial" w:eastAsia="Arial" w:hAnsi="Arial"/>
            <w:sz w:val="8"/>
            <w:szCs w:val="8"/>
            <w:color w:val="auto"/>
          </w:rPr>
          <w:t>2011 Stock Incentive Plan of Honeywell International Inc. and Its Affiliates—Form of Stock Option Award Agreement, Form 2 (incorporated by reference to Exhibit 10.39 to Honeywell’s Form 10-K for the year ended December 31,</w:t>
        </w:r>
      </w:hyperlink>
    </w:p>
    <w:p>
      <w:pPr>
        <w:spacing w:after="0"/>
        <w:rPr>
          <w:rFonts w:ascii="Arial" w:cs="Arial" w:eastAsia="Arial" w:hAnsi="Arial"/>
          <w:sz w:val="10"/>
          <w:szCs w:val="10"/>
          <w:color w:val="auto"/>
        </w:rPr>
      </w:pPr>
      <w:hyperlink r:id="rId446">
        <w:r>
          <w:rPr>
            <w:rFonts w:ascii="Arial" w:cs="Arial" w:eastAsia="Arial" w:hAnsi="Arial"/>
            <w:sz w:val="10"/>
            <w:szCs w:val="10"/>
            <w:color w:val="auto"/>
          </w:rPr>
          <w:t>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7">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40"/>
        <w:spacing w:after="0" w:line="213" w:lineRule="auto"/>
        <w:rPr>
          <w:rFonts w:ascii="Arial" w:cs="Arial" w:eastAsia="Arial" w:hAnsi="Arial"/>
          <w:sz w:val="10"/>
          <w:szCs w:val="10"/>
          <w:color w:val="auto"/>
        </w:rPr>
      </w:pPr>
      <w:hyperlink r:id="rId354">
        <w:r>
          <w:rPr>
            <w:rFonts w:ascii="Arial" w:cs="Arial" w:eastAsia="Arial" w:hAnsi="Arial"/>
            <w:sz w:val="10"/>
            <w:szCs w:val="10"/>
            <w:color w:val="auto"/>
          </w:rPr>
          <w:t>Omnibus Amendment to 2011 Stock Incentive Plan of Honeywell International Inc. and its Affiliates – Form of Stock Option Award Agreement, Form 2 (incorporated by reference to Exhibit 10.1 to Honeywell’s Form 10-Q for the quarter</w:t>
        </w:r>
      </w:hyperlink>
      <w:r>
        <w:rPr>
          <w:rFonts w:ascii="Arial" w:cs="Arial" w:eastAsia="Arial" w:hAnsi="Arial"/>
          <w:sz w:val="10"/>
          <w:szCs w:val="10"/>
          <w:color w:val="auto"/>
        </w:rPr>
        <w:t xml:space="preserve"> </w:t>
      </w:r>
      <w:hyperlink r:id="rId354">
        <w:r>
          <w:rPr>
            <w:rFonts w:ascii="Arial" w:cs="Arial" w:eastAsia="Arial" w:hAnsi="Arial"/>
            <w:sz w:val="10"/>
            <w:szCs w:val="10"/>
            <w:color w:val="auto"/>
          </w:rPr>
          <w:t>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449">
        <w:r>
          <w:rPr>
            <w:rFonts w:ascii="Arial" w:cs="Arial" w:eastAsia="Arial" w:hAnsi="Arial"/>
            <w:sz w:val="8"/>
            <w:szCs w:val="8"/>
            <w:color w:val="auto"/>
          </w:rPr>
          <w:t>2016 Stock Incentive Plan of Honeywell International Inc. and its Affiliates (incorporated by reference to Exhibit A of Honeywell’s Proxy Statement, dated March 10, 2016, filed pursuant to Rule 14a-6 of the Securities Exchange Act of</w:t>
        </w:r>
      </w:hyperlink>
    </w:p>
    <w:p>
      <w:pPr>
        <w:spacing w:after="0"/>
        <w:rPr>
          <w:rFonts w:ascii="Arial" w:cs="Arial" w:eastAsia="Arial" w:hAnsi="Arial"/>
          <w:sz w:val="10"/>
          <w:szCs w:val="10"/>
          <w:color w:val="auto"/>
        </w:rPr>
      </w:pPr>
      <w:hyperlink r:id="rId449">
        <w:r>
          <w:rPr>
            <w:rFonts w:ascii="Arial" w:cs="Arial" w:eastAsia="Arial" w:hAnsi="Arial"/>
            <w:sz w:val="10"/>
            <w:szCs w:val="10"/>
            <w:color w:val="auto"/>
          </w:rPr>
          <w:t>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51">
        <w:r>
          <w:rPr>
            <w:rFonts w:ascii="Arial" w:cs="Arial" w:eastAsia="Arial" w:hAnsi="Arial"/>
            <w:sz w:val="10"/>
            <w:szCs w:val="10"/>
            <w:color w:val="auto"/>
          </w:rPr>
          <w:t>Amendment to the 2016 Stock Incentive Plan of Honeywell International Inc. and its Affiliates (incorporated by reference to Exhibit 10.2 to Honeywell’s Form 10-Q for the quarter ended September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4">
        <w:r>
          <w:rPr>
            <w:rFonts w:ascii="Arial" w:cs="Arial" w:eastAsia="Arial" w:hAnsi="Arial"/>
            <w:sz w:val="10"/>
            <w:szCs w:val="10"/>
            <w:color w:val="auto"/>
          </w:rPr>
          <w:t>Omnibus Amendment to 2016 Stock Incentive Plan of Honeywell International Inc. and its Affiliates (incorporated by reference to Exhibit 10.1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720"/>
            <w:col w:w="9920"/>
          </w:cols>
          <w:pgMar w:left="300" w:top="977" w:right="299" w:bottom="1440" w:gutter="0" w:footer="0" w:header="0"/>
          <w:type w:val="continuous"/>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121</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77" w:right="299" w:bottom="1440" w:gutter="0" w:footer="0" w:header="0"/>
          <w:type w:val="continuous"/>
        </w:sectPr>
      </w:pPr>
    </w:p>
    <w:bookmarkStart w:id="123" w:name="page124"/>
    <w:bookmarkEnd w:id="123"/>
    <w:p>
      <w:pPr>
        <w:ind w:left="8"/>
        <w:spacing w:after="0"/>
        <w:tabs>
          <w:tab w:leader="none" w:pos="6048" w:val="left"/>
        </w:tabs>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608965</wp:posOffset>
            </wp:positionV>
            <wp:extent cx="717232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6">
                      <a:extLst>
                        <a:ext uri="{28A0092B-C50C-407E-A947-70E740481C1C}"/>
                      </a:extLst>
                    </a:blip>
                    <a:srcRect/>
                    <a:stretch>
                      <a:fillRect/>
                    </a:stretch>
                  </pic:blipFill>
                  <pic:spPr bwMode="auto">
                    <a:xfrm>
                      <a:off x="0" y="0"/>
                      <a:ext cx="7172325" cy="5715"/>
                    </a:xfrm>
                    <a:prstGeom prst="rect">
                      <a:avLst/>
                    </a:prstGeom>
                    <a:noFill/>
                  </pic:spPr>
                </pic:pic>
              </a:graphicData>
            </a:graphic>
          </wp:anchor>
        </w:drawing>
        <w:t>Exhibit No.</w:t>
      </w:r>
      <w:r>
        <w:rPr>
          <w:sz w:val="20"/>
          <w:szCs w:val="20"/>
          <w:color w:val="auto"/>
        </w:rPr>
        <w:tab/>
      </w:r>
      <w:r>
        <w:rPr>
          <w:rFonts w:ascii="Arial" w:cs="Arial" w:eastAsia="Arial" w:hAnsi="Arial"/>
          <w:sz w:val="8"/>
          <w:szCs w:val="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7232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7">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248"/>
          </w:cols>
          <w:pgMar w:left="292" w:top="977" w:right="359" w:bottom="1440" w:gutter="0" w:footer="0" w:header="0"/>
        </w:sectPr>
      </w:pPr>
    </w:p>
    <w:p>
      <w:pPr>
        <w:spacing w:after="0" w:line="41" w:lineRule="exact"/>
        <w:rPr>
          <w:sz w:val="20"/>
          <w:szCs w:val="20"/>
          <w:color w:val="auto"/>
        </w:rPr>
      </w:pPr>
    </w:p>
    <w:p>
      <w:pPr>
        <w:ind w:left="8"/>
        <w:spacing w:after="0"/>
        <w:rPr>
          <w:sz w:val="20"/>
          <w:szCs w:val="20"/>
          <w:color w:val="auto"/>
        </w:rPr>
      </w:pPr>
      <w:r>
        <w:rPr>
          <w:rFonts w:ascii="Arial" w:cs="Arial" w:eastAsia="Arial" w:hAnsi="Arial"/>
          <w:sz w:val="8"/>
          <w:szCs w:val="8"/>
          <w:color w:val="auto"/>
        </w:rPr>
        <w:t>10.51*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8"/>
          <w:szCs w:val="8"/>
          <w:color w:val="auto"/>
        </w:rPr>
        <w:t>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86868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13" w:lineRule="exact"/>
        <w:rPr>
          <w:sz w:val="20"/>
          <w:szCs w:val="20"/>
          <w:color w:val="auto"/>
        </w:rPr>
      </w:pPr>
    </w:p>
    <w:p>
      <w:pPr>
        <w:ind w:left="8"/>
        <w:spacing w:after="0"/>
        <w:rPr>
          <w:sz w:val="20"/>
          <w:szCs w:val="20"/>
          <w:color w:val="auto"/>
        </w:rPr>
      </w:pPr>
      <w:r>
        <w:rPr>
          <w:rFonts w:ascii="Arial" w:cs="Arial" w:eastAsia="Arial" w:hAnsi="Arial"/>
          <w:sz w:val="8"/>
          <w:szCs w:val="8"/>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3" w:lineRule="exact"/>
        <w:rPr>
          <w:sz w:val="20"/>
          <w:szCs w:val="20"/>
          <w:color w:val="auto"/>
        </w:rPr>
      </w:pPr>
    </w:p>
    <w:p>
      <w:pPr>
        <w:ind w:left="8"/>
        <w:spacing w:after="0"/>
        <w:rPr>
          <w:sz w:val="20"/>
          <w:szCs w:val="20"/>
          <w:color w:val="auto"/>
        </w:rPr>
      </w:pPr>
      <w:r>
        <w:rPr>
          <w:rFonts w:ascii="Arial" w:cs="Arial" w:eastAsia="Arial" w:hAnsi="Arial"/>
          <w:sz w:val="10"/>
          <w:szCs w:val="10"/>
          <w:color w:val="auto"/>
        </w:rPr>
        <w:t>10.72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9">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86868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0">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8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10.76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86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rFonts w:ascii="Arial" w:cs="Arial" w:eastAsia="Arial" w:hAnsi="Arial"/>
          <w:sz w:val="8"/>
          <w:szCs w:val="8"/>
          <w:color w:val="auto"/>
        </w:rPr>
      </w:pPr>
      <w:hyperlink r:id="rId484">
        <w:r>
          <w:rPr>
            <w:rFonts w:ascii="Arial" w:cs="Arial" w:eastAsia="Arial" w:hAnsi="Arial"/>
            <w:sz w:val="8"/>
            <w:szCs w:val="8"/>
            <w:color w:val="auto"/>
          </w:rPr>
          <w:t>2016 Stock Incentive Plan of Honeywell International Inc. and its Affiliates—Form of Restricted Stock Unit Agreement, Form 1 (incorporated by reference to Exhibit 10.3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rPr>
          <w:rFonts w:ascii="Arial" w:cs="Arial" w:eastAsia="Arial" w:hAnsi="Arial"/>
          <w:sz w:val="8"/>
          <w:szCs w:val="8"/>
          <w:color w:val="auto"/>
        </w:rPr>
      </w:pPr>
      <w:hyperlink r:id="rId486">
        <w:r>
          <w:rPr>
            <w:rFonts w:ascii="Arial" w:cs="Arial" w:eastAsia="Arial" w:hAnsi="Arial"/>
            <w:sz w:val="8"/>
            <w:szCs w:val="8"/>
            <w:color w:val="auto"/>
          </w:rPr>
          <w:t>2016 Stock Incentive Plan of Honeywell International Inc. and its Affiliates—Form of Restricted Stock Unit Agreement, Form 2 (incorporated by reference to Exhibit 10.4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7">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rPr>
          <w:rFonts w:ascii="Arial" w:cs="Arial" w:eastAsia="Arial" w:hAnsi="Arial"/>
          <w:sz w:val="10"/>
          <w:szCs w:val="10"/>
          <w:color w:val="auto"/>
        </w:rPr>
      </w:pPr>
      <w:hyperlink r:id="rId488">
        <w:r>
          <w:rPr>
            <w:rFonts w:ascii="Arial" w:cs="Arial" w:eastAsia="Arial" w:hAnsi="Arial"/>
            <w:sz w:val="10"/>
            <w:szCs w:val="10"/>
            <w:color w:val="auto"/>
          </w:rPr>
          <w:t>2016 Stock Incentive Plan of Honeywell International Inc. and its Affiliates—Form of Stock Option Award Agreement (incorporated by reference to Exhibit 10.2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490">
        <w:r>
          <w:rPr>
            <w:rFonts w:ascii="Arial" w:cs="Arial" w:eastAsia="Arial" w:hAnsi="Arial"/>
            <w:sz w:val="8"/>
            <w:szCs w:val="8"/>
            <w:color w:val="auto"/>
          </w:rPr>
          <w:t>2016 Stock Incentive Plan of Honeywell International Inc. and its Affiliates–Form of Performance Plan Grant Agreement (incorporated by reference to Exhibit 10.5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rPr>
          <w:rFonts w:ascii="Arial" w:cs="Arial" w:eastAsia="Arial" w:hAnsi="Arial"/>
          <w:sz w:val="10"/>
          <w:szCs w:val="10"/>
          <w:color w:val="auto"/>
        </w:rPr>
      </w:pPr>
      <w:hyperlink r:id="rId449">
        <w:r>
          <w:rPr>
            <w:rFonts w:ascii="Arial" w:cs="Arial" w:eastAsia="Arial" w:hAnsi="Arial"/>
            <w:sz w:val="10"/>
            <w:szCs w:val="10"/>
            <w:color w:val="auto"/>
          </w:rPr>
          <w:t>2016 Stock Plan for Non-Employee Directors (incorporated by reference to Exhibit B of Honeywell’s Proxy Statement, dated March 10, 2016, filed pursuant to Rule 14a-6 of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93">
        <w:r>
          <w:rPr>
            <w:rFonts w:ascii="Arial" w:cs="Arial" w:eastAsia="Arial" w:hAnsi="Arial"/>
            <w:sz w:val="10"/>
            <w:szCs w:val="10"/>
            <w:color w:val="auto"/>
          </w:rPr>
          <w:t>Amendment to the 2016 Stock Plan for Non-Employee Directors of Honeywell International Inc. (incorporated by reference to Exhibit 99.2 to Honeywell's Form 8-K filed October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495">
        <w:r>
          <w:rPr>
            <w:rFonts w:ascii="Arial" w:cs="Arial" w:eastAsia="Arial" w:hAnsi="Arial"/>
            <w:sz w:val="10"/>
            <w:szCs w:val="10"/>
            <w:color w:val="auto"/>
          </w:rPr>
          <w:t>Amendment to the 2016 Stock Plan for Non-Employee Directors of Honeywell International Inc. (incorporated by reference to Exhibit 10.1 to Honeywell’s Form 10-Q for the quarter ended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354">
        <w:r>
          <w:rPr>
            <w:rFonts w:ascii="Arial" w:cs="Arial" w:eastAsia="Arial" w:hAnsi="Arial"/>
            <w:sz w:val="10"/>
            <w:szCs w:val="10"/>
            <w:color w:val="auto"/>
          </w:rPr>
          <w:t>Omnibus Amendment to 2016 Stock Plan for Non-Employee Directors of Honeywell International Inc. (incorporated by reference to Exhibit 10.1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7">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8"/>
          <w:szCs w:val="8"/>
          <w:color w:val="auto"/>
        </w:rPr>
      </w:pPr>
      <w:hyperlink r:id="rId498">
        <w:r>
          <w:rPr>
            <w:rFonts w:ascii="Arial" w:cs="Arial" w:eastAsia="Arial" w:hAnsi="Arial"/>
            <w:sz w:val="8"/>
            <w:szCs w:val="8"/>
            <w:color w:val="auto"/>
          </w:rPr>
          <w:t>2016 Stock Plan for Non-Employee Directors of Honeywell International Inc. – Form of Stock Option Award Agreement (incorporated by reference to Exhibit 10.6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rPr>
          <w:rFonts w:ascii="Arial" w:cs="Arial" w:eastAsia="Arial" w:hAnsi="Arial"/>
          <w:sz w:val="8"/>
          <w:szCs w:val="8"/>
          <w:color w:val="auto"/>
        </w:rPr>
      </w:pPr>
      <w:hyperlink r:id="rId500">
        <w:r>
          <w:rPr>
            <w:rFonts w:ascii="Arial" w:cs="Arial" w:eastAsia="Arial" w:hAnsi="Arial"/>
            <w:sz w:val="8"/>
            <w:szCs w:val="8"/>
            <w:color w:val="auto"/>
          </w:rPr>
          <w:t>2016 Stock Plan for Non-Employee Directors of Honeywell International Inc. – Form of Restricted Stock Unit Agreement (incorporated by reference to Exhibit 10.7 to Honeywell’s Form 10-Q for the quarter ended June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6303645"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3" w:lineRule="exact"/>
        <w:rPr>
          <w:sz w:val="20"/>
          <w:szCs w:val="20"/>
          <w:color w:val="auto"/>
        </w:rPr>
      </w:pPr>
    </w:p>
    <w:p>
      <w:pPr>
        <w:spacing w:after="0"/>
        <w:rPr>
          <w:rFonts w:ascii="Arial" w:cs="Arial" w:eastAsia="Arial" w:hAnsi="Arial"/>
          <w:sz w:val="10"/>
          <w:szCs w:val="10"/>
          <w:color w:val="auto"/>
        </w:rPr>
      </w:pPr>
      <w:hyperlink w:anchor="page142">
        <w:r>
          <w:rPr>
            <w:rFonts w:ascii="Arial" w:cs="Arial" w:eastAsia="Arial" w:hAnsi="Arial"/>
            <w:sz w:val="10"/>
            <w:szCs w:val="10"/>
            <w:color w:val="auto"/>
          </w:rPr>
          <w:t>Form of Honeywell International Inc. Noncompete Agreement for Senior Executives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503">
        <w:r>
          <w:rPr>
            <w:rFonts w:ascii="Arial" w:cs="Arial" w:eastAsia="Arial" w:hAnsi="Arial"/>
            <w:sz w:val="10"/>
            <w:szCs w:val="10"/>
            <w:color w:val="auto"/>
          </w:rPr>
          <w:t>Letter Agreement dated February 24, 2012 between Honeywell and Darius Adamczyk (incorporated by reference to Exhibit 10.1 to Honeywell’s Form 10-Q for the quarter ended March 31,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505">
        <w:r>
          <w:rPr>
            <w:rFonts w:ascii="Arial" w:cs="Arial" w:eastAsia="Arial" w:hAnsi="Arial"/>
            <w:sz w:val="10"/>
            <w:szCs w:val="10"/>
            <w:color w:val="auto"/>
          </w:rPr>
          <w:t>Offer Letter dated March 31, 2016 from Honeywell to Darius Adamczyk (incorporated by reference to Exhibit 99.1 to Honeywell’s Form 8-K filed April 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507">
        <w:r>
          <w:rPr>
            <w:rFonts w:ascii="Arial" w:cs="Arial" w:eastAsia="Arial" w:hAnsi="Arial"/>
            <w:sz w:val="10"/>
            <w:szCs w:val="10"/>
            <w:color w:val="auto"/>
          </w:rPr>
          <w:t>Employment Offer Letter dated March 1, 2017 between Honeywell International Inc. and Darius Adamczyk (incorporated by reference to Exhibit 99.1 to Honeywell’s Form 8-K filed March 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509">
        <w:r>
          <w:rPr>
            <w:rFonts w:ascii="Arial" w:cs="Arial" w:eastAsia="Arial" w:hAnsi="Arial"/>
            <w:sz w:val="10"/>
            <w:szCs w:val="10"/>
            <w:color w:val="auto"/>
          </w:rPr>
          <w:t>Letter Agreement dated July 27, 2018 between Honeywell International Inc. and Greg Lewis (incorporated by reference to Exhibit 99.1 to Honeywell’s Form 8-K filed August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511">
        <w:r>
          <w:rPr>
            <w:rFonts w:ascii="Arial" w:cs="Arial" w:eastAsia="Arial" w:hAnsi="Arial"/>
            <w:sz w:val="10"/>
            <w:szCs w:val="10"/>
            <w:color w:val="auto"/>
          </w:rPr>
          <w:t>Letter Agreement dated October 2, 2017, between Honeywell and Anne Madden (incorporated by reference to Exhibit 10.70 to Honeywell’s Form 10-K for the year ended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48">
        <w:r>
          <w:rPr>
            <w:rFonts w:ascii="Arial" w:cs="Arial" w:eastAsia="Arial" w:hAnsi="Arial"/>
            <w:sz w:val="10"/>
            <w:szCs w:val="10"/>
            <w:color w:val="auto"/>
          </w:rPr>
          <w:t>Letter Agreement dated September 13, 2019, between Honeywell and Michael Madsen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66">
        <w:r>
          <w:rPr>
            <w:rFonts w:ascii="Arial" w:cs="Arial" w:eastAsia="Arial" w:hAnsi="Arial"/>
            <w:sz w:val="10"/>
            <w:szCs w:val="10"/>
            <w:color w:val="auto"/>
          </w:rPr>
          <w:t>Letter Agreement dated February 21, 2019, between Honeywell and Que Thanh Dallara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r:id="rId515">
        <w:r>
          <w:rPr>
            <w:rFonts w:ascii="Arial" w:cs="Arial" w:eastAsia="Arial" w:hAnsi="Arial"/>
            <w:sz w:val="10"/>
            <w:szCs w:val="10"/>
            <w:color w:val="auto"/>
          </w:rPr>
          <w:t>Letter Agreement dated April 1, 2016 between Honeywell and Rajeev Gautam (incorporated by reference to Exhibit 10.1 to Honeywell’s Form 10-Q for the quarter ended March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100"/>
        <w:spacing w:after="0" w:line="213" w:lineRule="auto"/>
        <w:rPr>
          <w:rFonts w:ascii="Arial" w:cs="Arial" w:eastAsia="Arial" w:hAnsi="Arial"/>
          <w:sz w:val="10"/>
          <w:szCs w:val="10"/>
          <w:color w:val="auto"/>
        </w:rPr>
      </w:pPr>
      <w:hyperlink r:id="rId517">
        <w:r>
          <w:rPr>
            <w:rFonts w:ascii="Arial" w:cs="Arial" w:eastAsia="Arial" w:hAnsi="Arial"/>
            <w:sz w:val="10"/>
            <w:szCs w:val="10"/>
            <w:color w:val="auto"/>
          </w:rPr>
          <w:t>Retirement Agreement dated July 20, 2021 between Honeywell and Rajeev Gautam and Exhibit A (Consulting Agreement) thereto (incorporated by reference to Exhibit 10.8 to Honeywell’s Form 10-Q for the quarter ended June 30,</w:t>
        </w:r>
      </w:hyperlink>
      <w:r>
        <w:rPr>
          <w:rFonts w:ascii="Arial" w:cs="Arial" w:eastAsia="Arial" w:hAnsi="Arial"/>
          <w:sz w:val="10"/>
          <w:szCs w:val="10"/>
          <w:color w:val="auto"/>
        </w:rPr>
        <w:t xml:space="preserve"> </w:t>
      </w:r>
      <w:hyperlink r:id="rId517">
        <w:r>
          <w:rPr>
            <w:rFonts w:ascii="Arial" w:cs="Arial" w:eastAsia="Arial" w:hAnsi="Arial"/>
            <w:sz w:val="10"/>
            <w:szCs w:val="10"/>
            <w:color w:val="auto"/>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0"/>
          <w:szCs w:val="10"/>
          <w:color w:val="auto"/>
        </w:rPr>
      </w:pPr>
      <w:hyperlink r:id="rId519">
        <w:r>
          <w:rPr>
            <w:rFonts w:ascii="Arial" w:cs="Arial" w:eastAsia="Arial" w:hAnsi="Arial"/>
            <w:sz w:val="10"/>
            <w:szCs w:val="10"/>
            <w:color w:val="auto"/>
          </w:rPr>
          <w:t>Letter Agreement dated July 20, 2016 between Honeywell and John Waldron (incorporated by reference to Exhibit 10.1 to Honeywell’s Form 10-Q for the quarter ended March 31,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400"/>
        <w:spacing w:after="0" w:line="213" w:lineRule="auto"/>
        <w:rPr>
          <w:rFonts w:ascii="Arial" w:cs="Arial" w:eastAsia="Arial" w:hAnsi="Arial"/>
          <w:sz w:val="10"/>
          <w:szCs w:val="10"/>
          <w:color w:val="auto"/>
        </w:rPr>
      </w:pPr>
      <w:hyperlink r:id="rId521">
        <w:r>
          <w:rPr>
            <w:rFonts w:ascii="Arial" w:cs="Arial" w:eastAsia="Arial" w:hAnsi="Arial"/>
            <w:sz w:val="10"/>
            <w:szCs w:val="10"/>
            <w:color w:val="auto"/>
          </w:rPr>
          <w:t>364-Day Credit Agreement, dated as of March 31, 2021, among Honeywell International Inc., the banks, financial institutions, and other institutional lenders parties thereto, Bank of America, N.A., as administrative agent, and</w:t>
        </w:r>
      </w:hyperlink>
      <w:r>
        <w:rPr>
          <w:rFonts w:ascii="Arial" w:cs="Arial" w:eastAsia="Arial" w:hAnsi="Arial"/>
          <w:sz w:val="10"/>
          <w:szCs w:val="10"/>
          <w:color w:val="auto"/>
        </w:rPr>
        <w:t xml:space="preserve"> </w:t>
      </w:r>
      <w:hyperlink r:id="rId521">
        <w:r>
          <w:rPr>
            <w:rFonts w:ascii="Arial" w:cs="Arial" w:eastAsia="Arial" w:hAnsi="Arial"/>
            <w:sz w:val="10"/>
            <w:szCs w:val="10"/>
            <w:color w:val="auto"/>
          </w:rPr>
          <w:t>JPMorgan Chase Bank, N.A. and Wells Fargo Bank, National Association, as syndication agents (incorporated by reference to Exhibit 10.1 to Honeywell’s Form 8-K filed on April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spacing w:after="0" w:line="205" w:lineRule="auto"/>
        <w:rPr>
          <w:rFonts w:ascii="Arial" w:cs="Arial" w:eastAsia="Arial" w:hAnsi="Arial"/>
          <w:sz w:val="10"/>
          <w:szCs w:val="10"/>
          <w:color w:val="auto"/>
        </w:rPr>
      </w:pPr>
      <w:hyperlink r:id="rId523">
        <w:r>
          <w:rPr>
            <w:rFonts w:ascii="Arial" w:cs="Arial" w:eastAsia="Arial" w:hAnsi="Arial"/>
            <w:sz w:val="10"/>
            <w:szCs w:val="10"/>
            <w:color w:val="auto"/>
          </w:rPr>
          <w:t>Amended and Restated Five-Year Credit Agreement, dated as of March 31, 2021, among Honeywell International Inc., the banks, financial institutions, and other institutional lenders parties thereto, Bank of America, N.A., as</w:t>
        </w:r>
      </w:hyperlink>
      <w:r>
        <w:rPr>
          <w:rFonts w:ascii="Arial" w:cs="Arial" w:eastAsia="Arial" w:hAnsi="Arial"/>
          <w:sz w:val="10"/>
          <w:szCs w:val="10"/>
          <w:color w:val="auto"/>
        </w:rPr>
        <w:t xml:space="preserve"> </w:t>
      </w:r>
      <w:hyperlink r:id="rId523">
        <w:r>
          <w:rPr>
            <w:rFonts w:ascii="Arial" w:cs="Arial" w:eastAsia="Arial" w:hAnsi="Arial"/>
            <w:sz w:val="10"/>
            <w:szCs w:val="10"/>
            <w:color w:val="auto"/>
          </w:rPr>
          <w:t>administrative agent, Bank of America Europe Designated Activity Company, London Branch, as swing line agent, and JPMorgan Chase Bank, N.A., and Wells Fargo Bank, National Association, as syndication agents (incorporated by</w:t>
        </w:r>
      </w:hyperlink>
      <w:r>
        <w:rPr>
          <w:rFonts w:ascii="Arial" w:cs="Arial" w:eastAsia="Arial" w:hAnsi="Arial"/>
          <w:sz w:val="10"/>
          <w:szCs w:val="10"/>
          <w:color w:val="auto"/>
        </w:rPr>
        <w:t xml:space="preserve"> </w:t>
      </w:r>
      <w:hyperlink r:id="rId523">
        <w:r>
          <w:rPr>
            <w:rFonts w:ascii="Arial" w:cs="Arial" w:eastAsia="Arial" w:hAnsi="Arial"/>
            <w:sz w:val="10"/>
            <w:szCs w:val="10"/>
            <w:color w:val="auto"/>
          </w:rPr>
          <w:t>reference to Exhibit 10.2 to Honeywell’s Form 8-K filed April 2, 2021)</w:t>
        </w:r>
      </w:hyperlink>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13" w:lineRule="auto"/>
        <w:rPr>
          <w:rFonts w:ascii="Arial" w:cs="Arial" w:eastAsia="Arial" w:hAnsi="Arial"/>
          <w:sz w:val="10"/>
          <w:szCs w:val="10"/>
          <w:color w:val="auto"/>
        </w:rPr>
      </w:pPr>
      <w:hyperlink r:id="rId525">
        <w:r>
          <w:rPr>
            <w:rFonts w:ascii="Arial" w:cs="Arial" w:eastAsia="Arial" w:hAnsi="Arial"/>
            <w:sz w:val="10"/>
            <w:szCs w:val="10"/>
            <w:color w:val="auto"/>
          </w:rPr>
          <w:t>Amendment No. 1 to 364-Day Credit Agreement, dated as of November 18, 2021, among Honeywell International Inc. and Bank of America, N.A., as administrative agent (incorporated by reference to Exhibit 10.1 to Honeywell’s Form</w:t>
        </w:r>
      </w:hyperlink>
      <w:r>
        <w:rPr>
          <w:rFonts w:ascii="Arial" w:cs="Arial" w:eastAsia="Arial" w:hAnsi="Arial"/>
          <w:sz w:val="10"/>
          <w:szCs w:val="10"/>
          <w:color w:val="auto"/>
        </w:rPr>
        <w:t xml:space="preserve"> </w:t>
      </w:r>
      <w:hyperlink r:id="rId525">
        <w:r>
          <w:rPr>
            <w:rFonts w:ascii="Arial" w:cs="Arial" w:eastAsia="Arial" w:hAnsi="Arial"/>
            <w:sz w:val="10"/>
            <w:szCs w:val="10"/>
            <w:color w:val="auto"/>
          </w:rPr>
          <w:t>8-K filed November 23,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ind w:right="20"/>
        <w:spacing w:after="0" w:line="213" w:lineRule="auto"/>
        <w:rPr>
          <w:rFonts w:ascii="Arial" w:cs="Arial" w:eastAsia="Arial" w:hAnsi="Arial"/>
          <w:sz w:val="10"/>
          <w:szCs w:val="10"/>
          <w:color w:val="auto"/>
        </w:rPr>
      </w:pPr>
      <w:hyperlink r:id="rId527">
        <w:r>
          <w:rPr>
            <w:rFonts w:ascii="Arial" w:cs="Arial" w:eastAsia="Arial" w:hAnsi="Arial"/>
            <w:sz w:val="10"/>
            <w:szCs w:val="10"/>
            <w:color w:val="auto"/>
          </w:rPr>
          <w:t>Amendment No. 1 to Amended and Restated Five-Year Credit Agreement, dated as of November 18, 2021, among Honeywell International Inc. and Bank of America, N.A., as administrative agent (incorporated by reference to Exhibit</w:t>
        </w:r>
      </w:hyperlink>
      <w:r>
        <w:rPr>
          <w:rFonts w:ascii="Arial" w:cs="Arial" w:eastAsia="Arial" w:hAnsi="Arial"/>
          <w:sz w:val="10"/>
          <w:szCs w:val="10"/>
          <w:color w:val="auto"/>
        </w:rPr>
        <w:t xml:space="preserve"> </w:t>
      </w:r>
      <w:hyperlink r:id="rId527">
        <w:r>
          <w:rPr>
            <w:rFonts w:ascii="Arial" w:cs="Arial" w:eastAsia="Arial" w:hAnsi="Arial"/>
            <w:sz w:val="10"/>
            <w:szCs w:val="10"/>
            <w:color w:val="auto"/>
          </w:rPr>
          <w:t>10.2 to Honeywell’s Form 8-K filed November 23,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8">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1" w:lineRule="exact"/>
        <w:rPr>
          <w:sz w:val="20"/>
          <w:szCs w:val="20"/>
          <w:color w:val="auto"/>
        </w:rPr>
      </w:pPr>
    </w:p>
    <w:p>
      <w:pPr>
        <w:ind w:right="460"/>
        <w:spacing w:after="0" w:line="213" w:lineRule="auto"/>
        <w:rPr>
          <w:rFonts w:ascii="Arial" w:cs="Arial" w:eastAsia="Arial" w:hAnsi="Arial"/>
          <w:sz w:val="10"/>
          <w:szCs w:val="10"/>
          <w:color w:val="auto"/>
        </w:rPr>
      </w:pPr>
      <w:hyperlink r:id="rId529">
        <w:r>
          <w:rPr>
            <w:rFonts w:ascii="Arial" w:cs="Arial" w:eastAsia="Arial" w:hAnsi="Arial"/>
            <w:sz w:val="10"/>
            <w:szCs w:val="10"/>
            <w:color w:val="auto"/>
          </w:rPr>
          <w:t>Indemnification and Reimbursement Agreement, dated September 12, 2018, by and among Honeywell ASASCO Inc., Honeywell ASASCO 2 Inc., and Honeywell International Inc. (incorporated by reference to Exhibit 2.1 to</w:t>
        </w:r>
      </w:hyperlink>
      <w:r>
        <w:rPr>
          <w:rFonts w:ascii="Arial" w:cs="Arial" w:eastAsia="Arial" w:hAnsi="Arial"/>
          <w:sz w:val="10"/>
          <w:szCs w:val="10"/>
          <w:color w:val="auto"/>
        </w:rPr>
        <w:t xml:space="preserve"> </w:t>
      </w:r>
      <w:hyperlink r:id="rId529">
        <w:r>
          <w:rPr>
            <w:rFonts w:ascii="Arial" w:cs="Arial" w:eastAsia="Arial" w:hAnsi="Arial"/>
            <w:sz w:val="10"/>
            <w:szCs w:val="10"/>
            <w:color w:val="auto"/>
          </w:rPr>
          <w:t>Honeywell’s Form 8-K filed September 14,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 w:space="720"/>
            <w:col w:w="9860"/>
          </w:cols>
          <w:pgMar w:left="292" w:top="977" w:right="359" w:bottom="1440" w:gutter="0" w:footer="0" w:header="0"/>
          <w:type w:val="continuous"/>
        </w:sectPr>
      </w:pPr>
    </w:p>
    <w:p>
      <w:pPr>
        <w:spacing w:after="0" w:line="250" w:lineRule="exact"/>
        <w:rPr>
          <w:sz w:val="20"/>
          <w:szCs w:val="20"/>
          <w:color w:val="auto"/>
        </w:rPr>
      </w:pPr>
    </w:p>
    <w:p>
      <w:pPr>
        <w:ind w:left="528" w:hanging="528"/>
        <w:spacing w:after="0"/>
        <w:tabs>
          <w:tab w:leader="none" w:pos="528" w:val="left"/>
        </w:tabs>
        <w:numPr>
          <w:ilvl w:val="0"/>
          <w:numId w:val="118"/>
        </w:numPr>
        <w:rPr>
          <w:rFonts w:ascii="Arial" w:cs="Arial" w:eastAsia="Arial" w:hAnsi="Arial"/>
          <w:sz w:val="11"/>
          <w:szCs w:val="11"/>
          <w:b w:val="1"/>
          <w:bCs w:val="1"/>
          <w:color w:val="D7282F"/>
        </w:rPr>
      </w:pPr>
      <w:r>
        <w:rPr>
          <w:rFonts w:ascii="Arial" w:cs="Arial" w:eastAsia="Arial" w:hAnsi="Arial"/>
          <w:sz w:val="9"/>
          <w:szCs w:val="9"/>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203440" cy="368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977" w:right="35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31"/>
        </w:trPr>
        <w:tc>
          <w:tcPr>
            <w:tcW w:w="136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Exhibit No.</w:t>
            </w:r>
          </w:p>
        </w:tc>
        <w:tc>
          <w:tcPr>
            <w:tcW w:w="9920" w:type="dxa"/>
            <w:vAlign w:val="bottom"/>
            <w:tcBorders>
              <w:bottom w:val="single" w:sz="8" w:color="DC202E"/>
            </w:tcBorders>
          </w:tcPr>
          <w:p>
            <w:pPr>
              <w:ind w:left="4700"/>
              <w:spacing w:after="0"/>
              <w:rPr>
                <w:sz w:val="20"/>
                <w:szCs w:val="20"/>
                <w:color w:val="auto"/>
              </w:rPr>
            </w:pPr>
            <w:r>
              <w:rPr>
                <w:rFonts w:ascii="Arial" w:cs="Arial" w:eastAsia="Arial" w:hAnsi="Arial"/>
                <w:sz w:val="10"/>
                <w:szCs w:val="10"/>
                <w:b w:val="1"/>
                <w:bCs w:val="1"/>
                <w:color w:val="auto"/>
              </w:rPr>
              <w:t>Description</w:t>
            </w:r>
          </w:p>
        </w:tc>
      </w:tr>
      <w:tr>
        <w:trPr>
          <w:trHeight w:val="119"/>
        </w:trPr>
        <w:tc>
          <w:tcPr>
            <w:tcW w:w="13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10.77</w:t>
            </w:r>
          </w:p>
        </w:tc>
        <w:tc>
          <w:tcPr>
            <w:tcW w:w="9920" w:type="dxa"/>
            <w:vAlign w:val="bottom"/>
            <w:tcBorders>
              <w:bottom w:val="single" w:sz="8" w:color="929292"/>
            </w:tcBorders>
          </w:tcPr>
          <w:p>
            <w:pPr>
              <w:ind w:left="20"/>
              <w:spacing w:after="0"/>
              <w:rPr>
                <w:rFonts w:ascii="Arial" w:cs="Arial" w:eastAsia="Arial" w:hAnsi="Arial"/>
                <w:sz w:val="10"/>
                <w:szCs w:val="10"/>
                <w:color w:val="auto"/>
                <w:w w:val="98"/>
              </w:rPr>
            </w:pPr>
            <w:hyperlink r:id="rId532">
              <w:r>
                <w:rPr>
                  <w:rFonts w:ascii="Arial" w:cs="Arial" w:eastAsia="Arial" w:hAnsi="Arial"/>
                  <w:sz w:val="10"/>
                  <w:szCs w:val="10"/>
                  <w:color w:val="auto"/>
                  <w:w w:val="98"/>
                </w:rPr>
                <w:t>Indemnification and Reimbursement Agreement, dated October 14, 2018, by and among New HAPI Inc. and Honeywell International Inc. (incorporated by reference to Exhibit 2.1 to Honeywell’s Form 8-K filed October 15, 2018)</w:t>
              </w:r>
            </w:hyperlink>
          </w:p>
        </w:tc>
      </w:tr>
      <w:tr>
        <w:trPr>
          <w:trHeight w:val="91"/>
        </w:trPr>
        <w:tc>
          <w:tcPr>
            <w:tcW w:w="1360" w:type="dxa"/>
            <w:vAlign w:val="bottom"/>
          </w:tcPr>
          <w:p>
            <w:pPr>
              <w:spacing w:after="0" w:line="92" w:lineRule="exact"/>
              <w:rPr>
                <w:sz w:val="20"/>
                <w:szCs w:val="20"/>
                <w:color w:val="auto"/>
              </w:rPr>
            </w:pPr>
            <w:r>
              <w:rPr>
                <w:rFonts w:ascii="Arial" w:cs="Arial" w:eastAsia="Arial" w:hAnsi="Arial"/>
                <w:sz w:val="10"/>
                <w:szCs w:val="10"/>
                <w:color w:val="auto"/>
              </w:rPr>
              <w:t>10.78</w:t>
            </w:r>
          </w:p>
        </w:tc>
        <w:tc>
          <w:tcPr>
            <w:tcW w:w="9920" w:type="dxa"/>
            <w:vAlign w:val="bottom"/>
          </w:tcPr>
          <w:p>
            <w:pPr>
              <w:ind w:left="20"/>
              <w:spacing w:after="0" w:line="92" w:lineRule="exact"/>
              <w:rPr>
                <w:rFonts w:ascii="Arial" w:cs="Arial" w:eastAsia="Arial" w:hAnsi="Arial"/>
                <w:sz w:val="10"/>
                <w:szCs w:val="10"/>
                <w:color w:val="auto"/>
                <w:w w:val="97"/>
              </w:rPr>
            </w:pPr>
            <w:hyperlink r:id="rId533">
              <w:r>
                <w:rPr>
                  <w:rFonts w:ascii="Arial" w:cs="Arial" w:eastAsia="Arial" w:hAnsi="Arial"/>
                  <w:sz w:val="10"/>
                  <w:szCs w:val="10"/>
                  <w:color w:val="auto"/>
                  <w:w w:val="97"/>
                </w:rPr>
                <w:t>Delayed Draw Term Loan Agreement, dated as of March 26, 2020, among Honeywell International Inc., the initial lenders named therein, Citibank, N.A., as administrative agent, and Citibank, N.A., Bank of America, N.A., JPMorgan</w:t>
              </w:r>
            </w:hyperlink>
          </w:p>
        </w:tc>
      </w:tr>
      <w:tr>
        <w:trPr>
          <w:trHeight w:val="114"/>
        </w:trPr>
        <w:tc>
          <w:tcPr>
            <w:tcW w:w="1360" w:type="dxa"/>
            <w:vAlign w:val="bottom"/>
            <w:tcBorders>
              <w:bottom w:val="single" w:sz="8" w:color="939598"/>
            </w:tcBorders>
          </w:tcPr>
          <w:p>
            <w:pPr>
              <w:spacing w:after="0"/>
              <w:rPr>
                <w:sz w:val="9"/>
                <w:szCs w:val="9"/>
                <w:color w:val="auto"/>
              </w:rPr>
            </w:pPr>
          </w:p>
        </w:tc>
        <w:tc>
          <w:tcPr>
            <w:tcW w:w="9920" w:type="dxa"/>
            <w:vAlign w:val="bottom"/>
            <w:tcBorders>
              <w:bottom w:val="single" w:sz="8" w:color="929292"/>
            </w:tcBorders>
          </w:tcPr>
          <w:p>
            <w:pPr>
              <w:ind w:left="20"/>
              <w:spacing w:after="0" w:line="114" w:lineRule="exact"/>
              <w:rPr>
                <w:rFonts w:ascii="Arial" w:cs="Arial" w:eastAsia="Arial" w:hAnsi="Arial"/>
                <w:sz w:val="10"/>
                <w:szCs w:val="10"/>
                <w:color w:val="auto"/>
              </w:rPr>
            </w:pPr>
            <w:hyperlink r:id="rId533">
              <w:r>
                <w:rPr>
                  <w:rFonts w:ascii="Arial" w:cs="Arial" w:eastAsia="Arial" w:hAnsi="Arial"/>
                  <w:sz w:val="10"/>
                  <w:szCs w:val="10"/>
                  <w:color w:val="auto"/>
                </w:rPr>
                <w:t>Chase Bank, N.A. and Wells Fargo Bank, National Association, as syndication agents (incorporated by reference to Exhibit 10.1 to Honeywell’s Form 8-K filed on March 31, 2020)</w:t>
              </w:r>
            </w:hyperlink>
          </w:p>
        </w:tc>
      </w:tr>
      <w:tr>
        <w:trPr>
          <w:trHeight w:val="91"/>
        </w:trPr>
        <w:tc>
          <w:tcPr>
            <w:tcW w:w="1360" w:type="dxa"/>
            <w:vAlign w:val="bottom"/>
          </w:tcPr>
          <w:p>
            <w:pPr>
              <w:spacing w:after="0" w:line="92" w:lineRule="exact"/>
              <w:rPr>
                <w:sz w:val="20"/>
                <w:szCs w:val="20"/>
                <w:color w:val="auto"/>
              </w:rPr>
            </w:pPr>
            <w:r>
              <w:rPr>
                <w:rFonts w:ascii="Arial" w:cs="Arial" w:eastAsia="Arial" w:hAnsi="Arial"/>
                <w:sz w:val="10"/>
                <w:szCs w:val="10"/>
                <w:color w:val="auto"/>
              </w:rPr>
              <w:t>10.79</w:t>
            </w:r>
          </w:p>
        </w:tc>
        <w:tc>
          <w:tcPr>
            <w:tcW w:w="9920" w:type="dxa"/>
            <w:vAlign w:val="bottom"/>
          </w:tcPr>
          <w:p>
            <w:pPr>
              <w:ind w:left="20"/>
              <w:spacing w:after="0" w:line="92" w:lineRule="exact"/>
              <w:rPr>
                <w:rFonts w:ascii="Arial" w:cs="Arial" w:eastAsia="Arial" w:hAnsi="Arial"/>
                <w:sz w:val="10"/>
                <w:szCs w:val="10"/>
                <w:color w:val="auto"/>
                <w:w w:val="96"/>
              </w:rPr>
            </w:pPr>
            <w:hyperlink r:id="rId534">
              <w:r>
                <w:rPr>
                  <w:rFonts w:ascii="Arial" w:cs="Arial" w:eastAsia="Arial" w:hAnsi="Arial"/>
                  <w:sz w:val="10"/>
                  <w:szCs w:val="10"/>
                  <w:color w:val="auto"/>
                  <w:w w:val="96"/>
                </w:rPr>
                <w:t>Second Amendment, dated July 28, 2020, to Indemnification and Reimbursement Agreement dated October 14, 2018 among Honeywell and Resideo Intermediate Holding Inc. (incorporated by reference to Exhibit 10.1 to Honeywell’s</w:t>
              </w:r>
            </w:hyperlink>
          </w:p>
        </w:tc>
      </w:tr>
      <w:tr>
        <w:trPr>
          <w:trHeight w:val="114"/>
        </w:trPr>
        <w:tc>
          <w:tcPr>
            <w:tcW w:w="1360" w:type="dxa"/>
            <w:vAlign w:val="bottom"/>
            <w:tcBorders>
              <w:bottom w:val="single" w:sz="8" w:color="939598"/>
            </w:tcBorders>
          </w:tcPr>
          <w:p>
            <w:pPr>
              <w:spacing w:after="0"/>
              <w:rPr>
                <w:sz w:val="9"/>
                <w:szCs w:val="9"/>
                <w:color w:val="auto"/>
              </w:rPr>
            </w:pPr>
          </w:p>
        </w:tc>
        <w:tc>
          <w:tcPr>
            <w:tcW w:w="9920" w:type="dxa"/>
            <w:vAlign w:val="bottom"/>
            <w:tcBorders>
              <w:bottom w:val="single" w:sz="8" w:color="929292"/>
            </w:tcBorders>
          </w:tcPr>
          <w:p>
            <w:pPr>
              <w:ind w:left="20"/>
              <w:spacing w:after="0" w:line="114" w:lineRule="exact"/>
              <w:rPr>
                <w:rFonts w:ascii="Arial" w:cs="Arial" w:eastAsia="Arial" w:hAnsi="Arial"/>
                <w:sz w:val="10"/>
                <w:szCs w:val="10"/>
                <w:color w:val="auto"/>
              </w:rPr>
            </w:pPr>
            <w:hyperlink r:id="rId534">
              <w:r>
                <w:rPr>
                  <w:rFonts w:ascii="Arial" w:cs="Arial" w:eastAsia="Arial" w:hAnsi="Arial"/>
                  <w:sz w:val="10"/>
                  <w:szCs w:val="10"/>
                  <w:color w:val="auto"/>
                </w:rPr>
                <w:t>Form 10-Q for the quarter ended September 30, 2020)</w:t>
              </w:r>
            </w:hyperlink>
          </w:p>
        </w:tc>
      </w:tr>
      <w:tr>
        <w:trPr>
          <w:trHeight w:val="91"/>
        </w:trPr>
        <w:tc>
          <w:tcPr>
            <w:tcW w:w="1360" w:type="dxa"/>
            <w:vAlign w:val="bottom"/>
          </w:tcPr>
          <w:p>
            <w:pPr>
              <w:spacing w:after="0" w:line="92" w:lineRule="exact"/>
              <w:rPr>
                <w:sz w:val="20"/>
                <w:szCs w:val="20"/>
                <w:color w:val="auto"/>
              </w:rPr>
            </w:pPr>
            <w:r>
              <w:rPr>
                <w:rFonts w:ascii="Arial" w:cs="Arial" w:eastAsia="Arial" w:hAnsi="Arial"/>
                <w:sz w:val="10"/>
                <w:szCs w:val="10"/>
                <w:color w:val="auto"/>
              </w:rPr>
              <w:t>10.80</w:t>
            </w:r>
          </w:p>
        </w:tc>
        <w:tc>
          <w:tcPr>
            <w:tcW w:w="9920" w:type="dxa"/>
            <w:vAlign w:val="bottom"/>
          </w:tcPr>
          <w:p>
            <w:pPr>
              <w:ind w:left="20"/>
              <w:spacing w:after="0" w:line="92" w:lineRule="exact"/>
              <w:rPr>
                <w:rFonts w:ascii="Arial" w:cs="Arial" w:eastAsia="Arial" w:hAnsi="Arial"/>
                <w:sz w:val="10"/>
                <w:szCs w:val="10"/>
                <w:color w:val="auto"/>
                <w:w w:val="96"/>
              </w:rPr>
            </w:pPr>
            <w:hyperlink r:id="rId535">
              <w:r>
                <w:rPr>
                  <w:rFonts w:ascii="Arial" w:cs="Arial" w:eastAsia="Arial" w:hAnsi="Arial"/>
                  <w:sz w:val="10"/>
                  <w:szCs w:val="10"/>
                  <w:color w:val="auto"/>
                  <w:w w:val="96"/>
                </w:rPr>
                <w:t>First Amendment, dated April 21, 2020, to Indemnification and Reimbursement Agreement, dated October 14, 2018 among Honeywell and Resideo Intermediate Holding Inc. (incorporated by reference to Exhibit 10.6 to Honeywell’s</w:t>
              </w:r>
            </w:hyperlink>
          </w:p>
        </w:tc>
      </w:tr>
      <w:tr>
        <w:trPr>
          <w:trHeight w:val="114"/>
        </w:trPr>
        <w:tc>
          <w:tcPr>
            <w:tcW w:w="1360" w:type="dxa"/>
            <w:vAlign w:val="bottom"/>
            <w:tcBorders>
              <w:bottom w:val="single" w:sz="8" w:color="939598"/>
            </w:tcBorders>
          </w:tcPr>
          <w:p>
            <w:pPr>
              <w:spacing w:after="0"/>
              <w:rPr>
                <w:sz w:val="9"/>
                <w:szCs w:val="9"/>
                <w:color w:val="auto"/>
              </w:rPr>
            </w:pPr>
          </w:p>
        </w:tc>
        <w:tc>
          <w:tcPr>
            <w:tcW w:w="9920" w:type="dxa"/>
            <w:vAlign w:val="bottom"/>
            <w:tcBorders>
              <w:bottom w:val="single" w:sz="8" w:color="929292"/>
            </w:tcBorders>
          </w:tcPr>
          <w:p>
            <w:pPr>
              <w:ind w:left="20"/>
              <w:spacing w:after="0" w:line="114" w:lineRule="exact"/>
              <w:rPr>
                <w:rFonts w:ascii="Arial" w:cs="Arial" w:eastAsia="Arial" w:hAnsi="Arial"/>
                <w:sz w:val="10"/>
                <w:szCs w:val="10"/>
                <w:color w:val="auto"/>
              </w:rPr>
            </w:pPr>
            <w:hyperlink r:id="rId535">
              <w:r>
                <w:rPr>
                  <w:rFonts w:ascii="Arial" w:cs="Arial" w:eastAsia="Arial" w:hAnsi="Arial"/>
                  <w:sz w:val="10"/>
                  <w:szCs w:val="10"/>
                  <w:color w:val="auto"/>
                </w:rPr>
                <w:t>Form 10-Q for the quarter ended June 30, 2020)</w:t>
              </w:r>
            </w:hyperlink>
          </w:p>
        </w:tc>
      </w:tr>
      <w:tr>
        <w:trPr>
          <w:trHeight w:val="91"/>
        </w:trPr>
        <w:tc>
          <w:tcPr>
            <w:tcW w:w="1360" w:type="dxa"/>
            <w:vAlign w:val="bottom"/>
          </w:tcPr>
          <w:p>
            <w:pPr>
              <w:spacing w:after="0" w:line="92" w:lineRule="exact"/>
              <w:rPr>
                <w:sz w:val="20"/>
                <w:szCs w:val="20"/>
                <w:color w:val="auto"/>
              </w:rPr>
            </w:pPr>
            <w:r>
              <w:rPr>
                <w:rFonts w:ascii="Arial" w:cs="Arial" w:eastAsia="Arial" w:hAnsi="Arial"/>
                <w:sz w:val="10"/>
                <w:szCs w:val="10"/>
                <w:color w:val="auto"/>
              </w:rPr>
              <w:t>10.81</w:t>
            </w:r>
          </w:p>
        </w:tc>
        <w:tc>
          <w:tcPr>
            <w:tcW w:w="9920" w:type="dxa"/>
            <w:vAlign w:val="bottom"/>
          </w:tcPr>
          <w:p>
            <w:pPr>
              <w:ind w:left="20"/>
              <w:spacing w:after="0" w:line="92" w:lineRule="exact"/>
              <w:rPr>
                <w:rFonts w:ascii="Arial" w:cs="Arial" w:eastAsia="Arial" w:hAnsi="Arial"/>
                <w:sz w:val="10"/>
                <w:szCs w:val="10"/>
                <w:color w:val="auto"/>
                <w:w w:val="96"/>
              </w:rPr>
            </w:pPr>
            <w:hyperlink r:id="rId536">
              <w:r>
                <w:rPr>
                  <w:rFonts w:ascii="Arial" w:cs="Arial" w:eastAsia="Arial" w:hAnsi="Arial"/>
                  <w:sz w:val="10"/>
                  <w:szCs w:val="10"/>
                  <w:color w:val="auto"/>
                  <w:w w:val="96"/>
                </w:rPr>
                <w:t>First Amendment, dated June 12, 2020, to Indemnification and Reimbursement Agreement, dated September 12, 2018 among Honeywell, Honeywell Holdings International Inc. and Garrett ASASCO Inc. (incorporated by reference to</w:t>
              </w:r>
            </w:hyperlink>
          </w:p>
        </w:tc>
      </w:tr>
      <w:tr>
        <w:trPr>
          <w:trHeight w:val="114"/>
        </w:trPr>
        <w:tc>
          <w:tcPr>
            <w:tcW w:w="1360" w:type="dxa"/>
            <w:vAlign w:val="bottom"/>
            <w:tcBorders>
              <w:bottom w:val="single" w:sz="8" w:color="939598"/>
            </w:tcBorders>
          </w:tcPr>
          <w:p>
            <w:pPr>
              <w:spacing w:after="0"/>
              <w:rPr>
                <w:sz w:val="9"/>
                <w:szCs w:val="9"/>
                <w:color w:val="auto"/>
              </w:rPr>
            </w:pPr>
          </w:p>
        </w:tc>
        <w:tc>
          <w:tcPr>
            <w:tcW w:w="9920" w:type="dxa"/>
            <w:vAlign w:val="bottom"/>
            <w:tcBorders>
              <w:bottom w:val="single" w:sz="8" w:color="929292"/>
            </w:tcBorders>
          </w:tcPr>
          <w:p>
            <w:pPr>
              <w:ind w:left="20"/>
              <w:spacing w:after="0" w:line="114" w:lineRule="exact"/>
              <w:rPr>
                <w:rFonts w:ascii="Arial" w:cs="Arial" w:eastAsia="Arial" w:hAnsi="Arial"/>
                <w:sz w:val="10"/>
                <w:szCs w:val="10"/>
                <w:color w:val="auto"/>
              </w:rPr>
            </w:pPr>
            <w:hyperlink r:id="rId536">
              <w:r>
                <w:rPr>
                  <w:rFonts w:ascii="Arial" w:cs="Arial" w:eastAsia="Arial" w:hAnsi="Arial"/>
                  <w:sz w:val="10"/>
                  <w:szCs w:val="10"/>
                  <w:color w:val="auto"/>
                </w:rPr>
                <w:t>Exhibit 10.7 to Honeywell’s Form 10-Q for the quarter ended June 30, 2020)</w:t>
              </w:r>
            </w:hyperlink>
          </w:p>
        </w:tc>
      </w:tr>
      <w:tr>
        <w:trPr>
          <w:trHeight w:val="91"/>
        </w:trPr>
        <w:tc>
          <w:tcPr>
            <w:tcW w:w="1360" w:type="dxa"/>
            <w:vAlign w:val="bottom"/>
          </w:tcPr>
          <w:p>
            <w:pPr>
              <w:spacing w:after="0" w:line="92" w:lineRule="exact"/>
              <w:rPr>
                <w:sz w:val="20"/>
                <w:szCs w:val="20"/>
                <w:color w:val="auto"/>
              </w:rPr>
            </w:pPr>
            <w:r>
              <w:rPr>
                <w:rFonts w:ascii="Arial" w:cs="Arial" w:eastAsia="Arial" w:hAnsi="Arial"/>
                <w:sz w:val="10"/>
                <w:szCs w:val="10"/>
                <w:color w:val="auto"/>
              </w:rPr>
              <w:t>10.82</w:t>
            </w:r>
          </w:p>
        </w:tc>
        <w:tc>
          <w:tcPr>
            <w:tcW w:w="9920" w:type="dxa"/>
            <w:vAlign w:val="bottom"/>
          </w:tcPr>
          <w:p>
            <w:pPr>
              <w:ind w:left="20"/>
              <w:spacing w:after="0" w:line="92" w:lineRule="exact"/>
              <w:rPr>
                <w:rFonts w:ascii="Arial" w:cs="Arial" w:eastAsia="Arial" w:hAnsi="Arial"/>
                <w:sz w:val="10"/>
                <w:szCs w:val="10"/>
                <w:color w:val="auto"/>
                <w:w w:val="99"/>
              </w:rPr>
            </w:pPr>
            <w:hyperlink r:id="rId537">
              <w:r>
                <w:rPr>
                  <w:rFonts w:ascii="Arial" w:cs="Arial" w:eastAsia="Arial" w:hAnsi="Arial"/>
                  <w:sz w:val="10"/>
                  <w:szCs w:val="10"/>
                  <w:color w:val="auto"/>
                  <w:w w:val="99"/>
                </w:rPr>
                <w:t>Third Amendment, dated November 16, 2020, to Indemnification and Reimbursement Agreement dated October 14, 2018 among Honeywell and Resideo Intermediate Holding Inc. (incorporated by reference to Exhibit 10.2 to</w:t>
              </w:r>
            </w:hyperlink>
          </w:p>
        </w:tc>
      </w:tr>
      <w:tr>
        <w:trPr>
          <w:trHeight w:val="114"/>
        </w:trPr>
        <w:tc>
          <w:tcPr>
            <w:tcW w:w="1360" w:type="dxa"/>
            <w:vAlign w:val="bottom"/>
            <w:tcBorders>
              <w:bottom w:val="single" w:sz="8" w:color="939598"/>
            </w:tcBorders>
          </w:tcPr>
          <w:p>
            <w:pPr>
              <w:spacing w:after="0"/>
              <w:rPr>
                <w:sz w:val="9"/>
                <w:szCs w:val="9"/>
                <w:color w:val="auto"/>
              </w:rPr>
            </w:pPr>
          </w:p>
        </w:tc>
        <w:tc>
          <w:tcPr>
            <w:tcW w:w="9920" w:type="dxa"/>
            <w:vAlign w:val="bottom"/>
            <w:tcBorders>
              <w:bottom w:val="single" w:sz="8" w:color="929292"/>
            </w:tcBorders>
          </w:tcPr>
          <w:p>
            <w:pPr>
              <w:ind w:left="20"/>
              <w:spacing w:after="0" w:line="114" w:lineRule="exact"/>
              <w:rPr>
                <w:rFonts w:ascii="Arial" w:cs="Arial" w:eastAsia="Arial" w:hAnsi="Arial"/>
                <w:sz w:val="10"/>
                <w:szCs w:val="10"/>
                <w:color w:val="auto"/>
              </w:rPr>
            </w:pPr>
            <w:hyperlink r:id="rId537">
              <w:r>
                <w:rPr>
                  <w:rFonts w:ascii="Arial" w:cs="Arial" w:eastAsia="Arial" w:hAnsi="Arial"/>
                  <w:sz w:val="10"/>
                  <w:szCs w:val="10"/>
                  <w:color w:val="auto"/>
                </w:rPr>
                <w:t>Honeywell’s Form 10-Q for the quarter ended March 31, 2021)</w:t>
              </w:r>
            </w:hyperlink>
          </w:p>
        </w:tc>
      </w:tr>
      <w:tr>
        <w:trPr>
          <w:trHeight w:val="91"/>
        </w:trPr>
        <w:tc>
          <w:tcPr>
            <w:tcW w:w="1360" w:type="dxa"/>
            <w:vAlign w:val="bottom"/>
          </w:tcPr>
          <w:p>
            <w:pPr>
              <w:spacing w:after="0" w:line="92" w:lineRule="exact"/>
              <w:rPr>
                <w:sz w:val="20"/>
                <w:szCs w:val="20"/>
                <w:color w:val="auto"/>
              </w:rPr>
            </w:pPr>
            <w:r>
              <w:rPr>
                <w:rFonts w:ascii="Arial" w:cs="Arial" w:eastAsia="Arial" w:hAnsi="Arial"/>
                <w:sz w:val="10"/>
                <w:szCs w:val="10"/>
                <w:color w:val="auto"/>
              </w:rPr>
              <w:t>10.83</w:t>
            </w:r>
          </w:p>
        </w:tc>
        <w:tc>
          <w:tcPr>
            <w:tcW w:w="9920" w:type="dxa"/>
            <w:vAlign w:val="bottom"/>
          </w:tcPr>
          <w:p>
            <w:pPr>
              <w:ind w:left="20"/>
              <w:spacing w:after="0" w:line="92" w:lineRule="exact"/>
              <w:rPr>
                <w:rFonts w:ascii="Arial" w:cs="Arial" w:eastAsia="Arial" w:hAnsi="Arial"/>
                <w:sz w:val="10"/>
                <w:szCs w:val="10"/>
                <w:color w:val="auto"/>
                <w:w w:val="99"/>
              </w:rPr>
            </w:pPr>
            <w:hyperlink r:id="rId538">
              <w:r>
                <w:rPr>
                  <w:rFonts w:ascii="Arial" w:cs="Arial" w:eastAsia="Arial" w:hAnsi="Arial"/>
                  <w:sz w:val="10"/>
                  <w:szCs w:val="10"/>
                  <w:color w:val="auto"/>
                  <w:w w:val="99"/>
                </w:rPr>
                <w:t>Fourth Amendment, dated February 12, 2021, to Indemnification and Reimbursement Agreement dated October 14, 2018 among Honeywell and Resideo Intermediate Holding Inc. (incorporated by reference to Exhibit 10.3 to</w:t>
              </w:r>
            </w:hyperlink>
          </w:p>
        </w:tc>
      </w:tr>
      <w:tr>
        <w:trPr>
          <w:trHeight w:val="115"/>
        </w:trPr>
        <w:tc>
          <w:tcPr>
            <w:tcW w:w="1360" w:type="dxa"/>
            <w:vAlign w:val="bottom"/>
          </w:tcPr>
          <w:p>
            <w:pPr>
              <w:spacing w:after="0"/>
              <w:rPr>
                <w:sz w:val="9"/>
                <w:szCs w:val="9"/>
                <w:color w:val="auto"/>
              </w:rPr>
            </w:pPr>
          </w:p>
        </w:tc>
        <w:tc>
          <w:tcPr>
            <w:tcW w:w="9920" w:type="dxa"/>
            <w:vAlign w:val="bottom"/>
          </w:tcPr>
          <w:p>
            <w:pPr>
              <w:ind w:left="20"/>
              <w:spacing w:after="0"/>
              <w:rPr>
                <w:rFonts w:ascii="Arial" w:cs="Arial" w:eastAsia="Arial" w:hAnsi="Arial"/>
                <w:sz w:val="10"/>
                <w:szCs w:val="10"/>
                <w:color w:val="auto"/>
              </w:rPr>
            </w:pPr>
            <w:hyperlink r:id="rId538">
              <w:r>
                <w:rPr>
                  <w:rFonts w:ascii="Arial" w:cs="Arial" w:eastAsia="Arial" w:hAnsi="Arial"/>
                  <w:sz w:val="10"/>
                  <w:szCs w:val="10"/>
                  <w:color w:val="auto"/>
                </w:rPr>
                <w:t>Honeywell’s Form 10-Q for the quarter ended March 31, 2021)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608965</wp:posOffset>
            </wp:positionV>
            <wp:extent cx="717232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9">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717232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0">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300"/>
          </w:cols>
          <w:pgMar w:left="300" w:top="977" w:right="29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1">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2">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3">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4">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5">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7">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86868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8">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rPr>
          <w:sz w:val="20"/>
          <w:szCs w:val="20"/>
          <w:color w:val="auto"/>
        </w:rPr>
      </w:pPr>
      <w:r>
        <w:rPr>
          <w:rFonts w:ascii="Arial" w:cs="Arial" w:eastAsia="Arial" w:hAnsi="Arial"/>
          <w:sz w:val="8"/>
          <w:szCs w:val="8"/>
          <w:color w:val="auto"/>
        </w:rPr>
        <w:t>101.INS</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0"/>
          <w:szCs w:val="10"/>
          <w:color w:val="auto"/>
        </w:rPr>
      </w:pPr>
      <w:hyperlink w:anchor="page182">
        <w:r>
          <w:rPr>
            <w:rFonts w:ascii="Arial" w:cs="Arial" w:eastAsia="Arial" w:hAnsi="Arial"/>
            <w:sz w:val="10"/>
            <w:szCs w:val="10"/>
            <w:color w:val="auto"/>
          </w:rPr>
          <w:t>Subsidiaries of the Registrant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9">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84">
        <w:r>
          <w:rPr>
            <w:rFonts w:ascii="Arial" w:cs="Arial" w:eastAsia="Arial" w:hAnsi="Arial"/>
            <w:sz w:val="10"/>
            <w:szCs w:val="10"/>
            <w:color w:val="auto"/>
          </w:rPr>
          <w:t>Consent of Deloitte &amp; Touche LLP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0">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85">
        <w:r>
          <w:rPr>
            <w:rFonts w:ascii="Arial" w:cs="Arial" w:eastAsia="Arial" w:hAnsi="Arial"/>
            <w:sz w:val="10"/>
            <w:szCs w:val="10"/>
            <w:color w:val="auto"/>
          </w:rPr>
          <w:t>Powers of Attorney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1">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94">
        <w:r>
          <w:rPr>
            <w:rFonts w:ascii="Arial" w:cs="Arial" w:eastAsia="Arial" w:hAnsi="Arial"/>
            <w:sz w:val="10"/>
            <w:szCs w:val="10"/>
            <w:color w:val="auto"/>
          </w:rPr>
          <w:t>Certification of Principal Executive Officer Pursuant to Section 302 of the Sarbanes-Oxley Act of 2002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2">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95">
        <w:r>
          <w:rPr>
            <w:rFonts w:ascii="Arial" w:cs="Arial" w:eastAsia="Arial" w:hAnsi="Arial"/>
            <w:sz w:val="10"/>
            <w:szCs w:val="10"/>
            <w:color w:val="auto"/>
          </w:rPr>
          <w:t>Certification of Principal Financial Officer Pursuant to Section 302 of the Sarbanes-Oxley Act of 2002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3">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96">
        <w:r>
          <w:rPr>
            <w:rFonts w:ascii="Arial" w:cs="Arial" w:eastAsia="Arial" w:hAnsi="Arial"/>
            <w:sz w:val="10"/>
            <w:szCs w:val="10"/>
            <w:color w:val="auto"/>
          </w:rPr>
          <w:t>Certification of Principal Executive Officer Pursuant to 18 U.S.C. Section 1350, as Adopted Pursuant to Section 906 of the 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4">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97">
        <w:r>
          <w:rPr>
            <w:rFonts w:ascii="Arial" w:cs="Arial" w:eastAsia="Arial" w:hAnsi="Arial"/>
            <w:sz w:val="10"/>
            <w:szCs w:val="10"/>
            <w:color w:val="auto"/>
          </w:rPr>
          <w:t>Certification of Principal Financial Officer Pursuant to 18 U.S.C. Section 1350, as Adopted Pursuant to Section 906 of the 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5">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spacing w:after="0"/>
        <w:rPr>
          <w:rFonts w:ascii="Arial" w:cs="Arial" w:eastAsia="Arial" w:hAnsi="Arial"/>
          <w:sz w:val="10"/>
          <w:szCs w:val="10"/>
          <w:color w:val="auto"/>
        </w:rPr>
      </w:pPr>
      <w:hyperlink w:anchor="page198">
        <w:r>
          <w:rPr>
            <w:rFonts w:ascii="Arial" w:cs="Arial" w:eastAsia="Arial" w:hAnsi="Arial"/>
            <w:sz w:val="10"/>
            <w:szCs w:val="10"/>
            <w:color w:val="auto"/>
          </w:rPr>
          <w:t>Mine Safety Disclosures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6303645"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6">
                      <a:extLst>
                        <a:ext uri="{28A0092B-C50C-407E-A947-70E740481C1C}"/>
                      </a:extLst>
                    </a:blip>
                    <a:srcRect/>
                    <a:stretch>
                      <a:fillRect/>
                    </a:stretch>
                  </pic:blipFill>
                  <pic:spPr bwMode="auto">
                    <a:xfrm>
                      <a:off x="0" y="0"/>
                      <a:ext cx="6303645" cy="5715"/>
                    </a:xfrm>
                    <a:prstGeom prst="rect">
                      <a:avLst/>
                    </a:prstGeom>
                    <a:noFill/>
                  </pic:spPr>
                </pic:pic>
              </a:graphicData>
            </a:graphic>
          </wp:anchor>
        </w:drawing>
      </w:r>
    </w:p>
    <w:p>
      <w:pPr>
        <w:ind w:right="180"/>
        <w:spacing w:after="0" w:line="204" w:lineRule="auto"/>
        <w:rPr>
          <w:sz w:val="20"/>
          <w:szCs w:val="20"/>
          <w:color w:val="auto"/>
        </w:rPr>
      </w:pPr>
      <w:r>
        <w:rPr>
          <w:rFonts w:ascii="Arial" w:cs="Arial" w:eastAsia="Arial" w:hAnsi="Arial"/>
          <w:sz w:val="10"/>
          <w:szCs w:val="10"/>
          <w:color w:val="auto"/>
        </w:rPr>
        <w:t>The following financial statements from the Company's Annual Report on Form 10-K for the year ended December 31, 2021, formatted in Inline XBRL: (i) Consolidated Statements of Cash Flows, (ii) Consolidated Statements of Operations, (iii) Consolidated Statements of Comprehensive Income, (iv) Consolidated Balance Sheets, (v) Consolidated Statements of Shareowners' Equity and (vi) Notes to Consolidated Financial Statements, tagged as blocks of text and including detailed tags.</w:t>
      </w:r>
    </w:p>
    <w:p>
      <w:pPr>
        <w:spacing w:after="0" w:line="1" w:lineRule="exact"/>
        <w:rPr>
          <w:sz w:val="20"/>
          <w:szCs w:val="20"/>
          <w:color w:val="auto"/>
        </w:rPr>
      </w:pPr>
    </w:p>
    <w:p>
      <w:pPr>
        <w:sectPr>
          <w:pgSz w:w="11900" w:h="16838" w:orient="portrait"/>
          <w:cols w:equalWidth="0" w:num="2">
            <w:col w:w="660" w:space="720"/>
            <w:col w:w="9920"/>
          </w:cols>
          <w:pgMar w:left="300" w:top="977" w:right="29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1360" w:type="dxa"/>
            <w:vAlign w:val="bottom"/>
            <w:tcBorders>
              <w:top w:val="single" w:sz="8" w:color="939598"/>
              <w:bottom w:val="single" w:sz="8" w:color="939598"/>
            </w:tcBorders>
          </w:tcPr>
          <w:p>
            <w:pPr>
              <w:spacing w:after="0"/>
              <w:rPr>
                <w:sz w:val="20"/>
                <w:szCs w:val="20"/>
                <w:color w:val="auto"/>
              </w:rPr>
            </w:pPr>
            <w:r>
              <w:rPr>
                <w:rFonts w:ascii="Arial" w:cs="Arial" w:eastAsia="Arial" w:hAnsi="Arial"/>
                <w:sz w:val="10"/>
                <w:szCs w:val="10"/>
                <w:color w:val="auto"/>
              </w:rPr>
              <w:t>101.SCH</w:t>
            </w:r>
          </w:p>
        </w:tc>
        <w:tc>
          <w:tcPr>
            <w:tcW w:w="9600" w:type="dxa"/>
            <w:vAlign w:val="bottom"/>
            <w:tcBorders>
              <w:top w:val="single" w:sz="8" w:color="929292"/>
              <w:bottom w:val="single" w:sz="8" w:color="929292"/>
            </w:tcBorders>
          </w:tcPr>
          <w:p>
            <w:pPr>
              <w:ind w:left="20"/>
              <w:spacing w:after="0"/>
              <w:rPr>
                <w:sz w:val="20"/>
                <w:szCs w:val="20"/>
                <w:color w:val="auto"/>
              </w:rPr>
            </w:pPr>
            <w:r>
              <w:rPr>
                <w:rFonts w:ascii="Arial" w:cs="Arial" w:eastAsia="Arial" w:hAnsi="Arial"/>
                <w:sz w:val="10"/>
                <w:szCs w:val="10"/>
                <w:color w:val="auto"/>
              </w:rPr>
              <w:t>iXBRL Taxonomy Extension Schema (filed herewith)</w:t>
            </w:r>
          </w:p>
        </w:tc>
        <w:tc>
          <w:tcPr>
            <w:tcW w:w="320" w:type="dxa"/>
            <w:vAlign w:val="bottom"/>
            <w:tcBorders>
              <w:top w:val="single" w:sz="8" w:color="929292"/>
              <w:bottom w:val="single" w:sz="8" w:color="929292"/>
            </w:tcBorders>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3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101.CAL</w:t>
            </w:r>
          </w:p>
        </w:tc>
        <w:tc>
          <w:tcPr>
            <w:tcW w:w="9600" w:type="dxa"/>
            <w:vAlign w:val="bottom"/>
            <w:tcBorders>
              <w:bottom w:val="single" w:sz="8" w:color="929292"/>
            </w:tcBorders>
          </w:tcPr>
          <w:p>
            <w:pPr>
              <w:ind w:left="20"/>
              <w:spacing w:after="0"/>
              <w:rPr>
                <w:sz w:val="20"/>
                <w:szCs w:val="20"/>
                <w:color w:val="auto"/>
              </w:rPr>
            </w:pPr>
            <w:r>
              <w:rPr>
                <w:rFonts w:ascii="Arial" w:cs="Arial" w:eastAsia="Arial" w:hAnsi="Arial"/>
                <w:sz w:val="10"/>
                <w:szCs w:val="10"/>
                <w:color w:val="auto"/>
              </w:rPr>
              <w:t>iXBRL Taxonomy Extension Calculation Linkbase (filed herewith)</w:t>
            </w:r>
          </w:p>
        </w:tc>
        <w:tc>
          <w:tcPr>
            <w:tcW w:w="320" w:type="dxa"/>
            <w:vAlign w:val="bottom"/>
            <w:tcBorders>
              <w:bottom w:val="single" w:sz="8" w:color="929292"/>
            </w:tcBorders>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3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101.DEF</w:t>
            </w:r>
          </w:p>
        </w:tc>
        <w:tc>
          <w:tcPr>
            <w:tcW w:w="9600" w:type="dxa"/>
            <w:vAlign w:val="bottom"/>
            <w:tcBorders>
              <w:bottom w:val="single" w:sz="8" w:color="929292"/>
            </w:tcBorders>
          </w:tcPr>
          <w:p>
            <w:pPr>
              <w:ind w:left="20"/>
              <w:spacing w:after="0"/>
              <w:rPr>
                <w:sz w:val="20"/>
                <w:szCs w:val="20"/>
                <w:color w:val="auto"/>
              </w:rPr>
            </w:pPr>
            <w:r>
              <w:rPr>
                <w:rFonts w:ascii="Arial" w:cs="Arial" w:eastAsia="Arial" w:hAnsi="Arial"/>
                <w:sz w:val="10"/>
                <w:szCs w:val="10"/>
                <w:color w:val="auto"/>
              </w:rPr>
              <w:t>iXBRL Taxonomy Extension Definition Linkbase (filed herewith)</w:t>
            </w:r>
          </w:p>
        </w:tc>
        <w:tc>
          <w:tcPr>
            <w:tcW w:w="320" w:type="dxa"/>
            <w:vAlign w:val="bottom"/>
            <w:tcBorders>
              <w:bottom w:val="single" w:sz="8" w:color="929292"/>
            </w:tcBorders>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3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101.LAB</w:t>
            </w:r>
          </w:p>
        </w:tc>
        <w:tc>
          <w:tcPr>
            <w:tcW w:w="9600" w:type="dxa"/>
            <w:vAlign w:val="bottom"/>
            <w:tcBorders>
              <w:bottom w:val="single" w:sz="8" w:color="929292"/>
            </w:tcBorders>
          </w:tcPr>
          <w:p>
            <w:pPr>
              <w:ind w:left="20"/>
              <w:spacing w:after="0"/>
              <w:rPr>
                <w:sz w:val="20"/>
                <w:szCs w:val="20"/>
                <w:color w:val="auto"/>
              </w:rPr>
            </w:pPr>
            <w:r>
              <w:rPr>
                <w:rFonts w:ascii="Arial" w:cs="Arial" w:eastAsia="Arial" w:hAnsi="Arial"/>
                <w:sz w:val="10"/>
                <w:szCs w:val="10"/>
                <w:color w:val="auto"/>
              </w:rPr>
              <w:t>iXBRL Taxonomy Extension Label Linkbase (filed herewith)</w:t>
            </w:r>
          </w:p>
        </w:tc>
        <w:tc>
          <w:tcPr>
            <w:tcW w:w="320" w:type="dxa"/>
            <w:vAlign w:val="bottom"/>
            <w:tcBorders>
              <w:bottom w:val="single" w:sz="8" w:color="929292"/>
            </w:tcBorders>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3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101.PRE</w:t>
            </w:r>
          </w:p>
        </w:tc>
        <w:tc>
          <w:tcPr>
            <w:tcW w:w="9600" w:type="dxa"/>
            <w:vAlign w:val="bottom"/>
            <w:tcBorders>
              <w:bottom w:val="single" w:sz="8" w:color="929292"/>
            </w:tcBorders>
          </w:tcPr>
          <w:p>
            <w:pPr>
              <w:ind w:left="20"/>
              <w:spacing w:after="0"/>
              <w:rPr>
                <w:sz w:val="20"/>
                <w:szCs w:val="20"/>
                <w:color w:val="auto"/>
              </w:rPr>
            </w:pPr>
            <w:r>
              <w:rPr>
                <w:rFonts w:ascii="Arial" w:cs="Arial" w:eastAsia="Arial" w:hAnsi="Arial"/>
                <w:sz w:val="10"/>
                <w:szCs w:val="10"/>
                <w:color w:val="auto"/>
              </w:rPr>
              <w:t>iXBRL Taxonomy Extension Presentation Linkbase (filed herewith)</w:t>
            </w:r>
          </w:p>
        </w:tc>
        <w:tc>
          <w:tcPr>
            <w:tcW w:w="320" w:type="dxa"/>
            <w:vAlign w:val="bottom"/>
            <w:tcBorders>
              <w:bottom w:val="single" w:sz="8" w:color="929292"/>
            </w:tcBorders>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136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104</w:t>
            </w:r>
          </w:p>
        </w:tc>
        <w:tc>
          <w:tcPr>
            <w:tcW w:w="9600" w:type="dxa"/>
            <w:vAlign w:val="bottom"/>
            <w:tcBorders>
              <w:bottom w:val="single" w:sz="8" w:color="929292"/>
            </w:tcBorders>
          </w:tcPr>
          <w:p>
            <w:pPr>
              <w:ind w:left="20"/>
              <w:spacing w:after="0"/>
              <w:rPr>
                <w:sz w:val="20"/>
                <w:szCs w:val="20"/>
                <w:color w:val="auto"/>
              </w:rPr>
            </w:pPr>
            <w:r>
              <w:rPr>
                <w:rFonts w:ascii="Arial" w:cs="Arial" w:eastAsia="Arial" w:hAnsi="Arial"/>
                <w:sz w:val="10"/>
                <w:szCs w:val="10"/>
                <w:color w:val="auto"/>
              </w:rPr>
              <w:t>Cover page from the Company’s Annual Report on Form 10-K for the year ended December 31, 2021, formatted in Inline XBRL (and contained in Exhibit 101)</w:t>
            </w:r>
          </w:p>
        </w:tc>
        <w:tc>
          <w:tcPr>
            <w:tcW w:w="320" w:type="dxa"/>
            <w:vAlign w:val="bottom"/>
            <w:tcBorders>
              <w:bottom w:val="single" w:sz="8" w:color="929292"/>
            </w:tcBorders>
          </w:tcPr>
          <w:p>
            <w:pPr>
              <w:spacing w:after="0"/>
              <w:rPr>
                <w:sz w:val="10"/>
                <w:szCs w:val="10"/>
                <w:color w:val="auto"/>
              </w:rPr>
            </w:pPr>
          </w:p>
        </w:tc>
        <w:tc>
          <w:tcPr>
            <w:tcW w:w="20" w:type="dxa"/>
            <w:vAlign w:val="bottom"/>
          </w:tcPr>
          <w:p>
            <w:pPr>
              <w:spacing w:after="0"/>
              <w:rPr>
                <w:sz w:val="10"/>
                <w:szCs w:val="10"/>
                <w:color w:val="auto"/>
              </w:rPr>
            </w:pPr>
          </w:p>
        </w:tc>
      </w:tr>
      <w:tr>
        <w:trPr>
          <w:trHeight w:val="255"/>
        </w:trPr>
        <w:tc>
          <w:tcPr>
            <w:tcW w:w="10960" w:type="dxa"/>
            <w:vAlign w:val="bottom"/>
            <w:gridSpan w:val="2"/>
          </w:tcPr>
          <w:p>
            <w:pPr>
              <w:spacing w:after="0"/>
              <w:rPr>
                <w:sz w:val="20"/>
                <w:szCs w:val="20"/>
                <w:color w:val="auto"/>
              </w:rPr>
            </w:pPr>
            <w:r>
              <w:rPr>
                <w:rFonts w:ascii="Arial" w:cs="Arial" w:eastAsia="Arial" w:hAnsi="Arial"/>
                <w:sz w:val="11"/>
                <w:szCs w:val="11"/>
                <w:color w:val="auto"/>
              </w:rPr>
              <w:t>The Exhibits identified above with an asterisk (*) are management contracts or compensatory plans or arrangements.</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08"/>
        </w:trPr>
        <w:tc>
          <w:tcPr>
            <w:tcW w:w="1360" w:type="dxa"/>
            <w:vAlign w:val="bottom"/>
          </w:tcPr>
          <w:p>
            <w:pPr>
              <w:spacing w:after="0"/>
              <w:rPr>
                <w:sz w:val="24"/>
                <w:szCs w:val="24"/>
                <w:color w:val="auto"/>
              </w:rPr>
            </w:pPr>
          </w:p>
        </w:tc>
        <w:tc>
          <w:tcPr>
            <w:tcW w:w="9600" w:type="dxa"/>
            <w:vAlign w:val="bottom"/>
          </w:tcPr>
          <w:p>
            <w:pPr>
              <w:ind w:left="8300"/>
              <w:spacing w:after="0"/>
              <w:rPr>
                <w:sz w:val="20"/>
                <w:szCs w:val="20"/>
                <w:color w:val="auto"/>
              </w:rPr>
            </w:pPr>
            <w:r>
              <w:rPr>
                <w:rFonts w:ascii="Arial" w:cs="Arial" w:eastAsia="Arial" w:hAnsi="Arial"/>
                <w:sz w:val="10"/>
                <w:szCs w:val="10"/>
                <w:color w:val="auto"/>
              </w:rPr>
              <w:t>Honeywell International Inc.</w:t>
            </w:r>
          </w:p>
        </w:tc>
        <w:tc>
          <w:tcPr>
            <w:tcW w:w="340" w:type="dxa"/>
            <w:vAlign w:val="bottom"/>
            <w:gridSpan w:val="2"/>
          </w:tcPr>
          <w:p>
            <w:pPr>
              <w:jc w:val="right"/>
              <w:spacing w:after="0"/>
              <w:rPr>
                <w:sz w:val="20"/>
                <w:szCs w:val="20"/>
                <w:color w:val="auto"/>
              </w:rPr>
            </w:pPr>
            <w:r>
              <w:rPr>
                <w:rFonts w:ascii="Arial" w:cs="Arial" w:eastAsia="Arial" w:hAnsi="Arial"/>
                <w:sz w:val="12"/>
                <w:szCs w:val="12"/>
                <w:b w:val="1"/>
                <w:bCs w:val="1"/>
                <w:color w:val="D7282F"/>
              </w:rPr>
              <w:t>123</w:t>
            </w:r>
          </w:p>
        </w:tc>
      </w:tr>
      <w:tr>
        <w:trPr>
          <w:trHeight w:val="144"/>
        </w:trPr>
        <w:tc>
          <w:tcPr>
            <w:tcW w:w="1360" w:type="dxa"/>
            <w:vAlign w:val="bottom"/>
            <w:tcBorders>
              <w:bottom w:val="single" w:sz="8" w:color="9A9A9A"/>
            </w:tcBorders>
          </w:tcPr>
          <w:p>
            <w:pPr>
              <w:spacing w:after="0"/>
              <w:rPr>
                <w:sz w:val="12"/>
                <w:szCs w:val="12"/>
                <w:color w:val="auto"/>
              </w:rPr>
            </w:pPr>
          </w:p>
        </w:tc>
        <w:tc>
          <w:tcPr>
            <w:tcW w:w="96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77" w:right="29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24"/>
          <w:szCs w:val="24"/>
          <w:b w:val="1"/>
          <w:bCs w:val="1"/>
          <w:color w:val="auto"/>
        </w:rPr>
        <w:t>SIGNATURES</w:t>
      </w: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5820"/>
        <w:spacing w:after="0"/>
        <w:rPr>
          <w:sz w:val="20"/>
          <w:szCs w:val="20"/>
          <w:color w:val="auto"/>
        </w:rPr>
      </w:pPr>
      <w:r>
        <w:rPr>
          <w:rFonts w:ascii="Arial" w:cs="Arial" w:eastAsia="Arial" w:hAnsi="Arial"/>
          <w:sz w:val="11"/>
          <w:szCs w:val="11"/>
          <w:color w:val="auto"/>
        </w:rPr>
        <w:t>HONEYWELL INTERNATIONAL INC.</w:t>
      </w:r>
    </w:p>
    <w:p>
      <w:pPr>
        <w:spacing w:after="0" w:line="162" w:lineRule="exact"/>
        <w:rPr>
          <w:sz w:val="20"/>
          <w:szCs w:val="20"/>
          <w:color w:val="auto"/>
        </w:rPr>
      </w:pPr>
    </w:p>
    <w:p>
      <w:pPr>
        <w:spacing w:after="0"/>
        <w:tabs>
          <w:tab w:leader="none" w:pos="5760" w:val="left"/>
          <w:tab w:leader="none" w:pos="6520" w:val="left"/>
        </w:tabs>
        <w:rPr>
          <w:sz w:val="20"/>
          <w:szCs w:val="20"/>
          <w:color w:val="auto"/>
        </w:rPr>
      </w:pPr>
      <w:r>
        <w:rPr>
          <w:rFonts w:ascii="Arial" w:cs="Arial" w:eastAsia="Arial" w:hAnsi="Arial"/>
          <w:sz w:val="11"/>
          <w:szCs w:val="11"/>
          <w:color w:val="auto"/>
        </w:rPr>
        <w:t>Date: February 11, 2022</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4445</wp:posOffset>
            </wp:positionV>
            <wp:extent cx="302323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9">
                      <a:extLst>
                        <a:ext uri="{28A0092B-C50C-407E-A947-70E740481C1C}"/>
                      </a:extLst>
                    </a:blip>
                    <a:srcRect/>
                    <a:stretch>
                      <a:fillRect/>
                    </a:stretch>
                  </pic:blipFill>
                  <pic:spPr bwMode="auto">
                    <a:xfrm>
                      <a:off x="0" y="0"/>
                      <a:ext cx="3023235" cy="5715"/>
                    </a:xfrm>
                    <a:prstGeom prst="rect">
                      <a:avLst/>
                    </a:prstGeom>
                    <a:noFill/>
                  </pic:spPr>
                </pic:pic>
              </a:graphicData>
            </a:graphic>
          </wp:anchor>
        </w:drawing>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1"/>
          <w:szCs w:val="11"/>
          <w:color w:val="auto"/>
        </w:rPr>
        <w:t>Robert D. Mailloux</w:t>
      </w:r>
    </w:p>
    <w:p>
      <w:pPr>
        <w:ind w:left="6540"/>
        <w:spacing w:after="0"/>
        <w:rPr>
          <w:sz w:val="20"/>
          <w:szCs w:val="20"/>
          <w:color w:val="auto"/>
        </w:rPr>
      </w:pPr>
      <w:r>
        <w:rPr>
          <w:rFonts w:ascii="Arial" w:cs="Arial" w:eastAsia="Arial" w:hAnsi="Arial"/>
          <w:sz w:val="11"/>
          <w:szCs w:val="11"/>
          <w:color w:val="auto"/>
        </w:rPr>
        <w:t>Vice President and Controller</w:t>
      </w:r>
    </w:p>
    <w:p>
      <w:pPr>
        <w:ind w:left="6540"/>
        <w:spacing w:after="0"/>
        <w:rPr>
          <w:sz w:val="20"/>
          <w:szCs w:val="20"/>
          <w:color w:val="auto"/>
        </w:rPr>
      </w:pPr>
      <w:r>
        <w:rPr>
          <w:rFonts w:ascii="Arial" w:cs="Arial" w:eastAsia="Arial" w:hAnsi="Arial"/>
          <w:sz w:val="11"/>
          <w:szCs w:val="11"/>
          <w:color w:val="auto"/>
        </w:rPr>
        <w:t>(on behalf of the Registrant</w:t>
      </w:r>
    </w:p>
    <w:p>
      <w:pPr>
        <w:ind w:left="6540"/>
        <w:spacing w:after="0"/>
        <w:rPr>
          <w:sz w:val="20"/>
          <w:szCs w:val="20"/>
          <w:color w:val="auto"/>
        </w:rPr>
      </w:pPr>
      <w:r>
        <w:rPr>
          <w:rFonts w:ascii="Arial" w:cs="Arial" w:eastAsia="Arial" w:hAnsi="Arial"/>
          <w:sz w:val="11"/>
          <w:szCs w:val="11"/>
          <w:color w:val="auto"/>
        </w:rPr>
        <w:t>and as the Registrant’s</w:t>
      </w:r>
    </w:p>
    <w:p>
      <w:pPr>
        <w:ind w:left="6540"/>
        <w:spacing w:after="0"/>
        <w:rPr>
          <w:sz w:val="20"/>
          <w:szCs w:val="20"/>
          <w:color w:val="auto"/>
        </w:rPr>
      </w:pPr>
      <w:r>
        <w:rPr>
          <w:rFonts w:ascii="Arial" w:cs="Arial" w:eastAsia="Arial" w:hAnsi="Arial"/>
          <w:sz w:val="11"/>
          <w:szCs w:val="11"/>
          <w:color w:val="auto"/>
        </w:rPr>
        <w:t>Principal Accounting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this annual report has been signed below by the following persons on behalf of the Registrant and in the capacities and on the date indicated:</w:t>
      </w:r>
    </w:p>
    <w:p>
      <w:pPr>
        <w:sectPr>
          <w:pgSz w:w="11900" w:h="16838" w:orient="portrait"/>
          <w:cols w:equalWidth="0" w:num="1">
            <w:col w:w="11300"/>
          </w:cols>
          <w:pgMar w:left="300" w:top="909" w:right="299" w:bottom="1440" w:gutter="0" w:footer="0" w:header="0"/>
        </w:sectPr>
      </w:pPr>
    </w:p>
    <w:p>
      <w:pPr>
        <w:spacing w:after="0" w:line="170" w:lineRule="exact"/>
        <w:rPr>
          <w:sz w:val="20"/>
          <w:szCs w:val="20"/>
          <w:color w:val="auto"/>
        </w:rPr>
      </w:pPr>
    </w:p>
    <w:p>
      <w:pPr>
        <w:ind w:left="2560"/>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5186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0">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163"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/s/ Darius E.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5186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1">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1"/>
          <w:szCs w:val="11"/>
          <w:color w:val="auto"/>
        </w:rPr>
        <w:t>Darius E. Adamczyk</w:t>
      </w:r>
    </w:p>
    <w:p>
      <w:pPr>
        <w:jc w:val="center"/>
        <w:ind w:right="1740"/>
        <w:spacing w:after="0" w:line="225" w:lineRule="auto"/>
        <w:rPr>
          <w:sz w:val="20"/>
          <w:szCs w:val="20"/>
          <w:color w:val="auto"/>
        </w:rPr>
      </w:pPr>
      <w:r>
        <w:rPr>
          <w:rFonts w:ascii="Arial" w:cs="Arial" w:eastAsia="Arial" w:hAnsi="Arial"/>
          <w:sz w:val="10"/>
          <w:szCs w:val="10"/>
          <w:color w:val="auto"/>
        </w:rPr>
        <w:t>Chairman and Chief Executive Officer</w:t>
      </w:r>
    </w:p>
    <w:p>
      <w:pPr>
        <w:jc w:val="center"/>
        <w:ind w:right="1740"/>
        <w:spacing w:after="0"/>
        <w:rPr>
          <w:sz w:val="20"/>
          <w:szCs w:val="20"/>
          <w:color w:val="auto"/>
        </w:rPr>
      </w:pPr>
      <w:r>
        <w:rPr>
          <w:rFonts w:ascii="Arial" w:cs="Arial" w:eastAsia="Arial" w:hAnsi="Arial"/>
          <w:sz w:val="11"/>
          <w:szCs w:val="11"/>
          <w:color w:val="auto"/>
        </w:rPr>
        <w:t>(Principal Executive Officer)</w:t>
      </w:r>
    </w:p>
    <w:p>
      <w:pPr>
        <w:spacing w:after="0" w:line="162"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5186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2">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1"/>
          <w:szCs w:val="11"/>
          <w:color w:val="auto"/>
        </w:rPr>
        <w:t>Duncan B. Angove</w:t>
      </w:r>
    </w:p>
    <w:p>
      <w:pPr>
        <w:ind w:left="2520"/>
        <w:spacing w:after="0"/>
        <w:rPr>
          <w:sz w:val="20"/>
          <w:szCs w:val="20"/>
          <w:color w:val="auto"/>
        </w:rPr>
      </w:pPr>
      <w:r>
        <w:rPr>
          <w:rFonts w:ascii="Arial" w:cs="Arial" w:eastAsia="Arial" w:hAnsi="Arial"/>
          <w:sz w:val="11"/>
          <w:szCs w:val="11"/>
          <w:color w:val="auto"/>
        </w:rPr>
        <w:t>Director</w:t>
      </w:r>
    </w:p>
    <w:p>
      <w:pPr>
        <w:spacing w:after="0" w:line="189"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5186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1"/>
          <w:szCs w:val="11"/>
          <w:color w:val="auto"/>
        </w:rPr>
        <w:t>William S. Ayer</w:t>
      </w:r>
    </w:p>
    <w:p>
      <w:pPr>
        <w:ind w:left="2520"/>
        <w:spacing w:after="0"/>
        <w:rPr>
          <w:sz w:val="20"/>
          <w:szCs w:val="20"/>
          <w:color w:val="auto"/>
        </w:rPr>
      </w:pPr>
      <w:r>
        <w:rPr>
          <w:rFonts w:ascii="Arial" w:cs="Arial" w:eastAsia="Arial" w:hAnsi="Arial"/>
          <w:sz w:val="11"/>
          <w:szCs w:val="11"/>
          <w:color w:val="auto"/>
        </w:rPr>
        <w:t>Director</w:t>
      </w:r>
    </w:p>
    <w:p>
      <w:pPr>
        <w:spacing w:after="0" w:line="189"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5186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1"/>
          <w:szCs w:val="11"/>
          <w:color w:val="auto"/>
        </w:rPr>
        <w:t>Kevin Burke</w:t>
      </w:r>
    </w:p>
    <w:p>
      <w:pPr>
        <w:jc w:val="center"/>
        <w:ind w:right="1740"/>
        <w:spacing w:after="0"/>
        <w:rPr>
          <w:sz w:val="20"/>
          <w:szCs w:val="20"/>
          <w:color w:val="auto"/>
        </w:rPr>
      </w:pPr>
      <w:r>
        <w:rPr>
          <w:rFonts w:ascii="Arial" w:cs="Arial" w:eastAsia="Arial" w:hAnsi="Arial"/>
          <w:sz w:val="11"/>
          <w:szCs w:val="11"/>
          <w:color w:val="auto"/>
        </w:rPr>
        <w:t>Director</w:t>
      </w:r>
    </w:p>
    <w:p>
      <w:pPr>
        <w:spacing w:after="0" w:line="162"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5186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1"/>
          <w:szCs w:val="11"/>
          <w:color w:val="auto"/>
        </w:rPr>
        <w:t>D. Scott Davis</w:t>
      </w:r>
    </w:p>
    <w:p>
      <w:pPr>
        <w:jc w:val="center"/>
        <w:ind w:right="1740"/>
        <w:spacing w:after="0"/>
        <w:rPr>
          <w:sz w:val="20"/>
          <w:szCs w:val="20"/>
          <w:color w:val="auto"/>
        </w:rPr>
      </w:pPr>
      <w:r>
        <w:rPr>
          <w:rFonts w:ascii="Arial" w:cs="Arial" w:eastAsia="Arial" w:hAnsi="Arial"/>
          <w:sz w:val="11"/>
          <w:szCs w:val="11"/>
          <w:color w:val="auto"/>
        </w:rPr>
        <w:t>Director</w:t>
      </w:r>
    </w:p>
    <w:p>
      <w:pPr>
        <w:spacing w:after="0" w:line="162"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5186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1"/>
          <w:szCs w:val="11"/>
          <w:color w:val="auto"/>
        </w:rPr>
        <w:t>Deborah Flint</w:t>
      </w:r>
    </w:p>
    <w:p>
      <w:pPr>
        <w:jc w:val="center"/>
        <w:ind w:right="1740"/>
        <w:spacing w:after="0"/>
        <w:rPr>
          <w:sz w:val="20"/>
          <w:szCs w:val="20"/>
          <w:color w:val="auto"/>
        </w:rPr>
      </w:pPr>
      <w:r>
        <w:rPr>
          <w:rFonts w:ascii="Arial" w:cs="Arial" w:eastAsia="Arial" w:hAnsi="Arial"/>
          <w:sz w:val="11"/>
          <w:szCs w:val="11"/>
          <w:color w:val="auto"/>
        </w:rPr>
        <w:t>Director</w:t>
      </w:r>
    </w:p>
    <w:p>
      <w:pPr>
        <w:spacing w:after="0" w:line="162" w:lineRule="exact"/>
        <w:rPr>
          <w:sz w:val="20"/>
          <w:szCs w:val="20"/>
          <w:color w:val="auto"/>
        </w:rPr>
      </w:pPr>
    </w:p>
    <w:p>
      <w:pPr>
        <w:ind w:left="2240"/>
        <w:spacing w:after="0"/>
        <w:rPr>
          <w:sz w:val="20"/>
          <w:szCs w:val="20"/>
          <w:color w:val="auto"/>
        </w:rPr>
      </w:pP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45186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7">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1"/>
          <w:szCs w:val="11"/>
          <w:color w:val="auto"/>
        </w:rPr>
        <w:t>Gregory P. Lewis</w:t>
      </w:r>
    </w:p>
    <w:p>
      <w:pPr>
        <w:jc w:val="center"/>
        <w:ind w:right="1740"/>
        <w:spacing w:after="0" w:line="204" w:lineRule="auto"/>
        <w:rPr>
          <w:sz w:val="20"/>
          <w:szCs w:val="20"/>
          <w:color w:val="auto"/>
        </w:rPr>
      </w:pPr>
      <w:r>
        <w:rPr>
          <w:rFonts w:ascii="Arial" w:cs="Arial" w:eastAsia="Arial" w:hAnsi="Arial"/>
          <w:sz w:val="11"/>
          <w:szCs w:val="11"/>
          <w:color w:val="auto"/>
        </w:rPr>
        <w:t>Senior Vice President and</w:t>
      </w:r>
    </w:p>
    <w:p>
      <w:pPr>
        <w:jc w:val="center"/>
        <w:ind w:right="1740"/>
        <w:spacing w:after="0" w:line="205" w:lineRule="auto"/>
        <w:rPr>
          <w:sz w:val="20"/>
          <w:szCs w:val="20"/>
          <w:color w:val="auto"/>
        </w:rPr>
      </w:pPr>
      <w:r>
        <w:rPr>
          <w:rFonts w:ascii="Arial" w:cs="Arial" w:eastAsia="Arial" w:hAnsi="Arial"/>
          <w:sz w:val="11"/>
          <w:szCs w:val="11"/>
          <w:color w:val="auto"/>
        </w:rPr>
        <w:t>Chief Financial Officer</w:t>
      </w:r>
    </w:p>
    <w:p>
      <w:pPr>
        <w:jc w:val="center"/>
        <w:ind w:right="1740"/>
        <w:spacing w:after="0"/>
        <w:rPr>
          <w:sz w:val="20"/>
          <w:szCs w:val="20"/>
          <w:color w:val="auto"/>
        </w:rPr>
      </w:pPr>
      <w:r>
        <w:rPr>
          <w:rFonts w:ascii="Arial" w:cs="Arial" w:eastAsia="Arial" w:hAnsi="Arial"/>
          <w:sz w:val="11"/>
          <w:szCs w:val="11"/>
          <w:color w:val="auto"/>
        </w:rPr>
        <w:t>(Principal Financial Officer)</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4445</wp:posOffset>
            </wp:positionV>
            <wp:extent cx="289750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8">
                      <a:extLst>
                        <a:ext uri="{28A0092B-C50C-407E-A947-70E740481C1C}"/>
                      </a:extLst>
                    </a:blip>
                    <a:srcRect/>
                    <a:stretch>
                      <a:fillRect/>
                    </a:stretch>
                  </pic:blipFill>
                  <pic:spPr bwMode="auto">
                    <a:xfrm>
                      <a:off x="0" y="0"/>
                      <a:ext cx="2897505" cy="571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1"/>
          <w:szCs w:val="11"/>
          <w:color w:val="auto"/>
        </w:rPr>
        <w:t>Gregory P. Lewis</w:t>
      </w:r>
    </w:p>
    <w:p>
      <w:pPr>
        <w:ind w:left="860"/>
        <w:spacing w:after="0"/>
        <w:rPr>
          <w:sz w:val="20"/>
          <w:szCs w:val="20"/>
          <w:color w:val="auto"/>
        </w:rPr>
      </w:pPr>
      <w:r>
        <w:rPr>
          <w:rFonts w:ascii="Arial" w:cs="Arial" w:eastAsia="Arial" w:hAnsi="Arial"/>
          <w:sz w:val="11"/>
          <w:szCs w:val="11"/>
          <w:color w:val="auto"/>
        </w:rPr>
        <w:t>Attorney-in-fact</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February 11, 2022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12065</wp:posOffset>
            </wp:positionV>
            <wp:extent cx="345186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9">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4445</wp:posOffset>
            </wp:positionV>
            <wp:extent cx="345186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0">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1"/>
          <w:szCs w:val="11"/>
          <w:color w:val="auto"/>
        </w:rPr>
        <w:t>Judd A. Gregg</w:t>
      </w:r>
    </w:p>
    <w:p>
      <w:pPr>
        <w:ind w:left="500"/>
        <w:spacing w:after="0"/>
        <w:rPr>
          <w:sz w:val="20"/>
          <w:szCs w:val="20"/>
          <w:color w:val="auto"/>
        </w:rPr>
      </w:pPr>
      <w:r>
        <w:rPr>
          <w:rFonts w:ascii="Arial" w:cs="Arial" w:eastAsia="Arial" w:hAnsi="Arial"/>
          <w:sz w:val="11"/>
          <w:szCs w:val="11"/>
          <w:color w:val="auto"/>
        </w:rPr>
        <w:t>Director</w:t>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4445</wp:posOffset>
            </wp:positionV>
            <wp:extent cx="345186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1">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1"/>
          <w:szCs w:val="11"/>
          <w:color w:val="auto"/>
        </w:rPr>
        <w:t>Rose Lee</w:t>
      </w:r>
    </w:p>
    <w:p>
      <w:pPr>
        <w:ind w:left="500"/>
        <w:spacing w:after="0"/>
        <w:rPr>
          <w:sz w:val="20"/>
          <w:szCs w:val="20"/>
          <w:color w:val="auto"/>
        </w:rPr>
      </w:pPr>
      <w:r>
        <w:rPr>
          <w:rFonts w:ascii="Arial" w:cs="Arial" w:eastAsia="Arial" w:hAnsi="Arial"/>
          <w:sz w:val="11"/>
          <w:szCs w:val="11"/>
          <w:color w:val="auto"/>
        </w:rPr>
        <w:t>Director</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4445</wp:posOffset>
            </wp:positionV>
            <wp:extent cx="345186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2">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1"/>
          <w:szCs w:val="11"/>
          <w:color w:val="auto"/>
        </w:rPr>
        <w:t>Grace D. Lieblein</w:t>
      </w:r>
    </w:p>
    <w:p>
      <w:pPr>
        <w:ind w:left="500"/>
        <w:spacing w:after="0"/>
        <w:rPr>
          <w:sz w:val="20"/>
          <w:szCs w:val="20"/>
          <w:color w:val="auto"/>
        </w:rPr>
      </w:pPr>
      <w:r>
        <w:rPr>
          <w:rFonts w:ascii="Arial" w:cs="Arial" w:eastAsia="Arial" w:hAnsi="Arial"/>
          <w:sz w:val="11"/>
          <w:szCs w:val="11"/>
          <w:color w:val="auto"/>
        </w:rPr>
        <w:t>Director</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4445</wp:posOffset>
            </wp:positionV>
            <wp:extent cx="345186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1"/>
          <w:szCs w:val="11"/>
          <w:color w:val="auto"/>
        </w:rPr>
        <w:t>George Paz</w:t>
      </w:r>
    </w:p>
    <w:p>
      <w:pPr>
        <w:jc w:val="center"/>
        <w:ind w:right="2020"/>
        <w:spacing w:after="0"/>
        <w:rPr>
          <w:sz w:val="20"/>
          <w:szCs w:val="20"/>
          <w:color w:val="auto"/>
        </w:rPr>
      </w:pPr>
      <w:r>
        <w:rPr>
          <w:rFonts w:ascii="Arial" w:cs="Arial" w:eastAsia="Arial" w:hAnsi="Arial"/>
          <w:sz w:val="11"/>
          <w:szCs w:val="11"/>
          <w:color w:val="auto"/>
        </w:rPr>
        <w:t>Director</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4445</wp:posOffset>
            </wp:positionV>
            <wp:extent cx="345186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1"/>
          <w:szCs w:val="11"/>
          <w:color w:val="auto"/>
        </w:rPr>
        <w:t>Robin L. Washington</w:t>
      </w:r>
    </w:p>
    <w:p>
      <w:pPr>
        <w:ind w:left="50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4445</wp:posOffset>
            </wp:positionV>
            <wp:extent cx="345186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1"/>
          <w:szCs w:val="11"/>
          <w:color w:val="auto"/>
        </w:rPr>
        <w:t>Robert D. Mailloux</w:t>
      </w:r>
    </w:p>
    <w:p>
      <w:pPr>
        <w:spacing w:after="0" w:line="225" w:lineRule="auto"/>
        <w:rPr>
          <w:sz w:val="20"/>
          <w:szCs w:val="20"/>
          <w:color w:val="auto"/>
        </w:rPr>
      </w:pPr>
      <w:r>
        <w:rPr>
          <w:rFonts w:ascii="Arial" w:cs="Arial" w:eastAsia="Arial" w:hAnsi="Arial"/>
          <w:sz w:val="10"/>
          <w:szCs w:val="10"/>
          <w:color w:val="auto"/>
        </w:rPr>
        <w:t>Vice President and Controller</w:t>
      </w:r>
    </w:p>
    <w:p>
      <w:pPr>
        <w:spacing w:after="0"/>
        <w:rPr>
          <w:sz w:val="20"/>
          <w:szCs w:val="20"/>
          <w:color w:val="auto"/>
        </w:rPr>
      </w:pPr>
      <w:r>
        <w:rPr>
          <w:rFonts w:ascii="Arial" w:cs="Arial" w:eastAsia="Arial" w:hAnsi="Arial"/>
          <w:sz w:val="10"/>
          <w:szCs w:val="10"/>
          <w:color w:val="auto"/>
        </w:rPr>
        <w:t>(Principal Accounting Officer)</w:t>
      </w:r>
    </w:p>
    <w:p>
      <w:pPr>
        <w:spacing w:after="0" w:line="1147" w:lineRule="exact"/>
        <w:rPr>
          <w:sz w:val="20"/>
          <w:szCs w:val="20"/>
          <w:color w:val="auto"/>
        </w:rPr>
      </w:pPr>
    </w:p>
    <w:p>
      <w:pPr>
        <w:sectPr>
          <w:pgSz w:w="11900" w:h="16838" w:orient="portrait"/>
          <w:cols w:equalWidth="0" w:num="2">
            <w:col w:w="7160" w:space="720"/>
            <w:col w:w="3420"/>
          </w:cols>
          <w:pgMar w:left="300" w:top="909" w:right="299" w:bottom="1440" w:gutter="0" w:footer="0" w:header="0"/>
          <w:type w:val="continuous"/>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960" w:type="dxa"/>
            <w:vAlign w:val="bottom"/>
          </w:tcPr>
          <w:p>
            <w:pPr>
              <w:ind w:left="966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D7282F"/>
              </w:rPr>
              <w:t>124</w:t>
            </w:r>
          </w:p>
        </w:tc>
      </w:tr>
      <w:tr>
        <w:trPr>
          <w:trHeight w:val="144"/>
        </w:trPr>
        <w:tc>
          <w:tcPr>
            <w:tcW w:w="109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type w:val="continuous"/>
        </w:sectPr>
      </w:pPr>
    </w:p>
    <w:bookmarkStart w:id="126" w:name="page127"/>
    <w:bookmarkEnd w:id="126"/>
    <w:p>
      <w:pPr>
        <w:ind w:left="8"/>
        <w:spacing w:after="0"/>
        <w:rPr>
          <w:sz w:val="20"/>
          <w:szCs w:val="20"/>
          <w:color w:val="auto"/>
        </w:rPr>
      </w:pPr>
      <w:r>
        <w:rPr>
          <w:rFonts w:ascii="Arial" w:cs="Arial" w:eastAsia="Arial" w:hAnsi="Arial"/>
          <w:sz w:val="24"/>
          <w:szCs w:val="24"/>
          <w:b w:val="1"/>
          <w:bCs w:val="1"/>
          <w:color w:val="auto"/>
        </w:rPr>
        <w:t>FORM 10-K CROSS-REFERENCE INDEX</w:t>
      </w:r>
    </w:p>
    <w:p>
      <w:pPr>
        <w:spacing w:after="0" w:line="29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440" w:type="dxa"/>
            <w:vAlign w:val="bottom"/>
            <w:tcBorders>
              <w:bottom w:val="single" w:sz="8" w:color="939598"/>
            </w:tcBorders>
          </w:tcPr>
          <w:p>
            <w:pPr>
              <w:jc w:val="right"/>
              <w:ind w:right="126"/>
              <w:spacing w:after="0"/>
              <w:rPr>
                <w:sz w:val="20"/>
                <w:szCs w:val="20"/>
                <w:color w:val="auto"/>
              </w:rPr>
            </w:pPr>
            <w:r>
              <w:rPr>
                <w:rFonts w:ascii="Arial" w:cs="Arial" w:eastAsia="Arial" w:hAnsi="Arial"/>
                <w:sz w:val="11"/>
                <w:szCs w:val="11"/>
                <w:b w:val="1"/>
                <w:bCs w:val="1"/>
                <w:color w:val="auto"/>
              </w:rPr>
              <w:t>Page(s)</w:t>
            </w:r>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DC202E"/>
              </w:rPr>
              <w:t>PART I</w:t>
            </w:r>
          </w:p>
        </w:tc>
        <w:tc>
          <w:tcPr>
            <w:tcW w:w="8800" w:type="dxa"/>
            <w:vAlign w:val="bottom"/>
            <w:tcBorders>
              <w:bottom w:val="single" w:sz="8" w:color="939598"/>
            </w:tcBorders>
          </w:tcPr>
          <w:p>
            <w:pPr>
              <w:spacing w:after="0"/>
              <w:rPr>
                <w:sz w:val="12"/>
                <w:szCs w:val="12"/>
                <w:color w:val="auto"/>
              </w:rPr>
            </w:pPr>
          </w:p>
        </w:tc>
      </w:tr>
      <w:tr>
        <w:trPr>
          <w:trHeight w:val="134"/>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3">
              <w:r>
                <w:rPr>
                  <w:rFonts w:ascii="Arial" w:cs="Arial" w:eastAsia="Arial" w:hAnsi="Arial"/>
                  <w:sz w:val="11"/>
                  <w:szCs w:val="11"/>
                  <w:b w:val="1"/>
                  <w:bCs w:val="1"/>
                  <w:color w:val="D7282F"/>
                </w:rPr>
                <w:t>2</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w:t>
            </w:r>
          </w:p>
        </w:tc>
        <w:tc>
          <w:tcPr>
            <w:tcW w:w="8800" w:type="dxa"/>
            <w:vAlign w:val="bottom"/>
            <w:tcBorders>
              <w:bottom w:val="single" w:sz="8" w:color="939598"/>
            </w:tcBorders>
          </w:tcPr>
          <w:p>
            <w:pPr>
              <w:ind w:left="420"/>
              <w:spacing w:after="0"/>
              <w:rPr>
                <w:sz w:val="20"/>
                <w:szCs w:val="20"/>
                <w:color w:val="auto"/>
              </w:rPr>
            </w:pPr>
            <w:r>
              <w:rPr>
                <w:rFonts w:ascii="Arial" w:cs="Arial" w:eastAsia="Arial" w:hAnsi="Arial"/>
                <w:sz w:val="11"/>
                <w:szCs w:val="11"/>
                <w:color w:val="auto"/>
              </w:rPr>
              <w:t>About Honeywell</w:t>
            </w:r>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50">
              <w:r>
                <w:rPr>
                  <w:rFonts w:ascii="Arial" w:cs="Arial" w:eastAsia="Arial" w:hAnsi="Arial"/>
                  <w:sz w:val="11"/>
                  <w:szCs w:val="11"/>
                  <w:b w:val="1"/>
                  <w:bCs w:val="1"/>
                  <w:color w:val="D7282F"/>
                </w:rPr>
                <w:t>49</w:t>
              </w:r>
            </w:hyperlink>
          </w:p>
        </w:tc>
        <w:tc>
          <w:tcPr>
            <w:tcW w:w="1060" w:type="dxa"/>
            <w:vAlign w:val="bottom"/>
            <w:tcBorders>
              <w:bottom w:val="single" w:sz="8" w:color="939598"/>
            </w:tcBorders>
          </w:tcPr>
          <w:p>
            <w:pPr>
              <w:spacing w:after="0"/>
              <w:rPr>
                <w:sz w:val="11"/>
                <w:szCs w:val="11"/>
                <w:color w:val="auto"/>
              </w:rPr>
            </w:pP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50">
              <w:r>
                <w:rPr>
                  <w:rFonts w:ascii="Arial" w:cs="Arial" w:eastAsia="Arial" w:hAnsi="Arial"/>
                  <w:sz w:val="11"/>
                  <w:szCs w:val="11"/>
                  <w:color w:val="auto"/>
                </w:rPr>
                <w:t>Information About our Executive Officers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30">
              <w:r>
                <w:rPr>
                  <w:rFonts w:ascii="Arial" w:cs="Arial" w:eastAsia="Arial" w:hAnsi="Arial"/>
                  <w:sz w:val="11"/>
                  <w:szCs w:val="11"/>
                  <w:b w:val="1"/>
                  <w:bCs w:val="1"/>
                  <w:color w:val="D7282F"/>
                </w:rPr>
                <w:t>29</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1A.</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30">
              <w:r>
                <w:rPr>
                  <w:rFonts w:ascii="Arial" w:cs="Arial" w:eastAsia="Arial" w:hAnsi="Arial"/>
                  <w:sz w:val="11"/>
                  <w:szCs w:val="11"/>
                  <w:color w:val="auto"/>
                </w:rPr>
                <w:t>Risk Factors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51">
              <w:r>
                <w:rPr>
                  <w:rFonts w:ascii="Arial" w:cs="Arial" w:eastAsia="Arial" w:hAnsi="Arial"/>
                  <w:sz w:val="11"/>
                  <w:szCs w:val="11"/>
                  <w:b w:val="1"/>
                  <w:bCs w:val="1"/>
                  <w:color w:val="D7282F"/>
                </w:rPr>
                <w:t>50</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1B.</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51">
              <w:r>
                <w:rPr>
                  <w:rFonts w:ascii="Arial" w:cs="Arial" w:eastAsia="Arial" w:hAnsi="Arial"/>
                  <w:sz w:val="11"/>
                  <w:szCs w:val="11"/>
                  <w:color w:val="auto"/>
                </w:rPr>
                <w:t>Unresolved Staff Comments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52">
              <w:r>
                <w:rPr>
                  <w:rFonts w:ascii="Arial" w:cs="Arial" w:eastAsia="Arial" w:hAnsi="Arial"/>
                  <w:sz w:val="11"/>
                  <w:szCs w:val="11"/>
                  <w:b w:val="1"/>
                  <w:bCs w:val="1"/>
                  <w:color w:val="D7282F"/>
                </w:rPr>
                <w:t>50</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2</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52">
              <w:r>
                <w:rPr>
                  <w:rFonts w:ascii="Arial" w:cs="Arial" w:eastAsia="Arial" w:hAnsi="Arial"/>
                  <w:sz w:val="11"/>
                  <w:szCs w:val="11"/>
                  <w:color w:val="auto"/>
                </w:rPr>
                <w:t>Properties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52">
              <w:r>
                <w:rPr>
                  <w:rFonts w:ascii="Arial" w:cs="Arial" w:eastAsia="Arial" w:hAnsi="Arial"/>
                  <w:sz w:val="11"/>
                  <w:szCs w:val="11"/>
                  <w:b w:val="1"/>
                  <w:bCs w:val="1"/>
                  <w:color w:val="D7282F"/>
                </w:rPr>
                <w:t>50</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3</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52">
              <w:r>
                <w:rPr>
                  <w:rFonts w:ascii="Arial" w:cs="Arial" w:eastAsia="Arial" w:hAnsi="Arial"/>
                  <w:sz w:val="11"/>
                  <w:szCs w:val="11"/>
                  <w:color w:val="auto"/>
                </w:rPr>
                <w:t>Legal Proceedings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52">
              <w:r>
                <w:rPr>
                  <w:rFonts w:ascii="Arial" w:cs="Arial" w:eastAsia="Arial" w:hAnsi="Arial"/>
                  <w:sz w:val="11"/>
                  <w:szCs w:val="11"/>
                  <w:b w:val="1"/>
                  <w:bCs w:val="1"/>
                  <w:color w:val="D7282F"/>
                </w:rPr>
                <w:t>50</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4</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52">
              <w:r>
                <w:rPr>
                  <w:rFonts w:ascii="Arial" w:cs="Arial" w:eastAsia="Arial" w:hAnsi="Arial"/>
                  <w:sz w:val="11"/>
                  <w:szCs w:val="11"/>
                  <w:color w:val="auto"/>
                </w:rPr>
                <w:t>Mine Safety Disclosures</w:t>
              </w:r>
            </w:hyperlink>
          </w:p>
        </w:tc>
      </w:tr>
      <w:tr>
        <w:trPr>
          <w:trHeight w:val="294"/>
        </w:trPr>
        <w:tc>
          <w:tcPr>
            <w:tcW w:w="1440" w:type="dxa"/>
            <w:vAlign w:val="bottom"/>
            <w:tcBorders>
              <w:bottom w:val="single" w:sz="8" w:color="939598"/>
            </w:tcBorders>
          </w:tcPr>
          <w:p>
            <w:pPr>
              <w:spacing w:after="0"/>
              <w:rPr>
                <w:sz w:val="24"/>
                <w:szCs w:val="24"/>
                <w:color w:val="auto"/>
              </w:rPr>
            </w:pPr>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DC202E"/>
              </w:rPr>
              <w:t>PART II.</w:t>
            </w:r>
          </w:p>
        </w:tc>
        <w:tc>
          <w:tcPr>
            <w:tcW w:w="8800" w:type="dxa"/>
            <w:vAlign w:val="bottom"/>
            <w:tcBorders>
              <w:bottom w:val="single" w:sz="8" w:color="939598"/>
            </w:tcBorders>
          </w:tcPr>
          <w:p>
            <w:pPr>
              <w:spacing w:after="0"/>
              <w:rPr>
                <w:sz w:val="24"/>
                <w:szCs w:val="24"/>
                <w:color w:val="auto"/>
              </w:rPr>
            </w:pPr>
          </w:p>
        </w:tc>
      </w:tr>
      <w:tr>
        <w:trPr>
          <w:trHeight w:val="134"/>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52">
              <w:r>
                <w:rPr>
                  <w:rFonts w:ascii="Arial" w:cs="Arial" w:eastAsia="Arial" w:hAnsi="Arial"/>
                  <w:sz w:val="11"/>
                  <w:szCs w:val="11"/>
                  <w:b w:val="1"/>
                  <w:bCs w:val="1"/>
                  <w:color w:val="D7282F"/>
                </w:rPr>
                <w:t>51</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5</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52">
              <w:r>
                <w:rPr>
                  <w:rFonts w:ascii="Arial" w:cs="Arial" w:eastAsia="Arial" w:hAnsi="Arial"/>
                  <w:sz w:val="11"/>
                  <w:szCs w:val="11"/>
                  <w:color w:val="auto"/>
                </w:rPr>
                <w:t>Market for Registrant’s Common Equity, Related Stockholder Matters and Issuer Purchases of Equity Securities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5">
              <w:r>
                <w:rPr>
                  <w:rFonts w:ascii="Arial" w:cs="Arial" w:eastAsia="Arial" w:hAnsi="Arial"/>
                  <w:sz w:val="11"/>
                  <w:szCs w:val="11"/>
                  <w:b w:val="1"/>
                  <w:bCs w:val="1"/>
                  <w:color w:val="D7282F"/>
                </w:rPr>
                <w:t>14</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6</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5">
              <w:r>
                <w:rPr>
                  <w:rFonts w:ascii="Arial" w:cs="Arial" w:eastAsia="Arial" w:hAnsi="Arial"/>
                  <w:sz w:val="11"/>
                  <w:szCs w:val="11"/>
                  <w:color w:val="auto"/>
                </w:rPr>
                <w:t>Selected Financial Data</w:t>
              </w:r>
            </w:hyperlink>
          </w:p>
        </w:tc>
      </w:tr>
      <w:tr>
        <w:trPr>
          <w:trHeight w:val="98"/>
        </w:trPr>
        <w:tc>
          <w:tcPr>
            <w:tcW w:w="1440" w:type="dxa"/>
            <w:vAlign w:val="bottom"/>
          </w:tcPr>
          <w:p>
            <w:pPr>
              <w:jc w:val="right"/>
              <w:ind w:right="126"/>
              <w:spacing w:after="0" w:line="99" w:lineRule="exact"/>
              <w:rPr>
                <w:rFonts w:ascii="Arial" w:cs="Arial" w:eastAsia="Arial" w:hAnsi="Arial"/>
                <w:sz w:val="11"/>
                <w:szCs w:val="11"/>
                <w:b w:val="1"/>
                <w:bCs w:val="1"/>
                <w:color w:val="D7282F"/>
              </w:rPr>
            </w:pPr>
            <w:hyperlink w:anchor="page16">
              <w:r>
                <w:rPr>
                  <w:rFonts w:ascii="Arial" w:cs="Arial" w:eastAsia="Arial" w:hAnsi="Arial"/>
                  <w:sz w:val="11"/>
                  <w:szCs w:val="11"/>
                  <w:b w:val="1"/>
                  <w:bCs w:val="1"/>
                  <w:color w:val="D7282F"/>
                </w:rPr>
                <w:t xml:space="preserve">15 </w:t>
              </w:r>
            </w:hyperlink>
            <w:r>
              <w:rPr>
                <w:rFonts w:ascii="Arial" w:cs="Arial" w:eastAsia="Arial" w:hAnsi="Arial"/>
                <w:sz w:val="11"/>
                <w:szCs w:val="11"/>
                <w:b w:val="1"/>
                <w:bCs w:val="1"/>
                <w:color w:val="D7282F"/>
              </w:rPr>
              <w:t xml:space="preserve">- </w:t>
            </w:r>
            <w:hyperlink w:anchor="page30">
              <w:r>
                <w:rPr>
                  <w:rFonts w:ascii="Arial" w:cs="Arial" w:eastAsia="Arial" w:hAnsi="Arial"/>
                  <w:sz w:val="11"/>
                  <w:szCs w:val="11"/>
                  <w:b w:val="1"/>
                  <w:bCs w:val="1"/>
                  <w:color w:val="D7282F"/>
                </w:rPr>
                <w:t>29,</w:t>
              </w:r>
            </w:hyperlink>
          </w:p>
        </w:tc>
        <w:tc>
          <w:tcPr>
            <w:tcW w:w="1060" w:type="dxa"/>
            <w:vAlign w:val="bottom"/>
          </w:tcPr>
          <w:p>
            <w:pPr>
              <w:ind w:left="180"/>
              <w:spacing w:after="0" w:line="99" w:lineRule="exact"/>
              <w:rPr>
                <w:sz w:val="20"/>
                <w:szCs w:val="20"/>
                <w:color w:val="auto"/>
              </w:rPr>
            </w:pPr>
            <w:r>
              <w:rPr>
                <w:rFonts w:ascii="Arial" w:cs="Arial" w:eastAsia="Arial" w:hAnsi="Arial"/>
                <w:sz w:val="11"/>
                <w:szCs w:val="11"/>
                <w:b w:val="1"/>
                <w:bCs w:val="1"/>
                <w:color w:val="auto"/>
              </w:rPr>
              <w:t>ITEM 7</w:t>
            </w:r>
          </w:p>
        </w:tc>
        <w:tc>
          <w:tcPr>
            <w:tcW w:w="8800" w:type="dxa"/>
            <w:vAlign w:val="bottom"/>
          </w:tcPr>
          <w:p>
            <w:pPr>
              <w:ind w:left="420"/>
              <w:spacing w:after="0" w:line="99" w:lineRule="exact"/>
              <w:rPr>
                <w:rFonts w:ascii="Arial" w:cs="Arial" w:eastAsia="Arial" w:hAnsi="Arial"/>
                <w:sz w:val="11"/>
                <w:szCs w:val="11"/>
                <w:color w:val="auto"/>
              </w:rPr>
            </w:pPr>
            <w:hyperlink w:anchor="page16">
              <w:r>
                <w:rPr>
                  <w:rFonts w:ascii="Arial" w:cs="Arial" w:eastAsia="Arial" w:hAnsi="Arial"/>
                  <w:sz w:val="11"/>
                  <w:szCs w:val="11"/>
                  <w:color w:val="auto"/>
                </w:rPr>
                <w:t>Management’s Discussion and Analysis of Financial Condition and Results of Operations</w:t>
              </w:r>
            </w:hyperlink>
          </w:p>
        </w:tc>
      </w:tr>
      <w:tr>
        <w:trPr>
          <w:trHeight w:val="14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40">
              <w:r>
                <w:rPr>
                  <w:rFonts w:ascii="Arial" w:cs="Arial" w:eastAsia="Arial" w:hAnsi="Arial"/>
                  <w:sz w:val="11"/>
                  <w:szCs w:val="11"/>
                  <w:b w:val="1"/>
                  <w:bCs w:val="1"/>
                  <w:color w:val="D7282F"/>
                </w:rPr>
                <w:t xml:space="preserve">39 </w:t>
              </w:r>
            </w:hyperlink>
            <w:r>
              <w:rPr>
                <w:rFonts w:ascii="Arial" w:cs="Arial" w:eastAsia="Arial" w:hAnsi="Arial"/>
                <w:sz w:val="11"/>
                <w:szCs w:val="11"/>
                <w:b w:val="1"/>
                <w:bCs w:val="1"/>
                <w:color w:val="D7282F"/>
              </w:rPr>
              <w:t xml:space="preserve">- </w:t>
            </w:r>
            <w:hyperlink w:anchor="page49">
              <w:r>
                <w:rPr>
                  <w:rFonts w:ascii="Arial" w:cs="Arial" w:eastAsia="Arial" w:hAnsi="Arial"/>
                  <w:sz w:val="11"/>
                  <w:szCs w:val="11"/>
                  <w:b w:val="1"/>
                  <w:bCs w:val="1"/>
                  <w:color w:val="D7282F"/>
                </w:rPr>
                <w:t>48</w:t>
              </w:r>
            </w:hyperlink>
          </w:p>
        </w:tc>
        <w:tc>
          <w:tcPr>
            <w:tcW w:w="1060" w:type="dxa"/>
            <w:vAlign w:val="bottom"/>
            <w:tcBorders>
              <w:bottom w:val="single" w:sz="8" w:color="939598"/>
            </w:tcBorders>
          </w:tcPr>
          <w:p>
            <w:pPr>
              <w:spacing w:after="0"/>
              <w:rPr>
                <w:sz w:val="12"/>
                <w:szCs w:val="12"/>
                <w:color w:val="auto"/>
              </w:rPr>
            </w:pPr>
          </w:p>
        </w:tc>
        <w:tc>
          <w:tcPr>
            <w:tcW w:w="8800" w:type="dxa"/>
            <w:vAlign w:val="bottom"/>
            <w:tcBorders>
              <w:bottom w:val="single" w:sz="8" w:color="939598"/>
            </w:tcBorders>
          </w:tcPr>
          <w:p>
            <w:pPr>
              <w:spacing w:after="0"/>
              <w:rPr>
                <w:sz w:val="12"/>
                <w:szCs w:val="12"/>
                <w:color w:val="auto"/>
              </w:rPr>
            </w:pPr>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39">
              <w:r>
                <w:rPr>
                  <w:rFonts w:ascii="Arial" w:cs="Arial" w:eastAsia="Arial" w:hAnsi="Arial"/>
                  <w:sz w:val="11"/>
                  <w:szCs w:val="11"/>
                  <w:b w:val="1"/>
                  <w:bCs w:val="1"/>
                  <w:color w:val="D7282F"/>
                </w:rPr>
                <w:t>38</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7A.</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39">
              <w:r>
                <w:rPr>
                  <w:rFonts w:ascii="Arial" w:cs="Arial" w:eastAsia="Arial" w:hAnsi="Arial"/>
                  <w:sz w:val="11"/>
                  <w:szCs w:val="11"/>
                  <w:color w:val="auto"/>
                </w:rPr>
                <w:t>Quantitative and Qualitative Disclosures About Market Risks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54">
              <w:r>
                <w:rPr>
                  <w:rFonts w:ascii="Arial" w:cs="Arial" w:eastAsia="Arial" w:hAnsi="Arial"/>
                  <w:sz w:val="11"/>
                  <w:szCs w:val="11"/>
                  <w:b w:val="1"/>
                  <w:bCs w:val="1"/>
                  <w:color w:val="D7282F"/>
                </w:rPr>
                <w:t>53</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8</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54">
              <w:r>
                <w:rPr>
                  <w:rFonts w:ascii="Arial" w:cs="Arial" w:eastAsia="Arial" w:hAnsi="Arial"/>
                  <w:sz w:val="11"/>
                  <w:szCs w:val="11"/>
                  <w:color w:val="auto"/>
                </w:rPr>
                <w:t>Financial Statements and Supplementary Data</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17">
              <w:r>
                <w:rPr>
                  <w:rFonts w:ascii="Arial" w:cs="Arial" w:eastAsia="Arial" w:hAnsi="Arial"/>
                  <w:sz w:val="11"/>
                  <w:szCs w:val="11"/>
                  <w:b w:val="1"/>
                  <w:bCs w:val="1"/>
                  <w:color w:val="D7282F"/>
                </w:rPr>
                <w:t>116</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9</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17">
              <w:r>
                <w:rPr>
                  <w:rFonts w:ascii="Arial" w:cs="Arial" w:eastAsia="Arial" w:hAnsi="Arial"/>
                  <w:sz w:val="11"/>
                  <w:szCs w:val="11"/>
                  <w:color w:val="auto"/>
                </w:rPr>
                <w:t>Changes in and Disagreements with Accountants on Accounting and Financial Disclosure</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18">
              <w:r>
                <w:rPr>
                  <w:rFonts w:ascii="Arial" w:cs="Arial" w:eastAsia="Arial" w:hAnsi="Arial"/>
                  <w:sz w:val="11"/>
                  <w:szCs w:val="11"/>
                  <w:b w:val="1"/>
                  <w:bCs w:val="1"/>
                  <w:color w:val="D7282F"/>
                </w:rPr>
                <w:t>116</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9A.</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18">
              <w:r>
                <w:rPr>
                  <w:rFonts w:ascii="Arial" w:cs="Arial" w:eastAsia="Arial" w:hAnsi="Arial"/>
                  <w:sz w:val="11"/>
                  <w:szCs w:val="11"/>
                  <w:color w:val="auto"/>
                </w:rPr>
                <w:t>Controls and Procedures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18">
              <w:r>
                <w:rPr>
                  <w:rFonts w:ascii="Arial" w:cs="Arial" w:eastAsia="Arial" w:hAnsi="Arial"/>
                  <w:sz w:val="11"/>
                  <w:szCs w:val="11"/>
                  <w:b w:val="1"/>
                  <w:bCs w:val="1"/>
                  <w:color w:val="D7282F"/>
                </w:rPr>
                <w:t>116</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9B.</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18">
              <w:r>
                <w:rPr>
                  <w:rFonts w:ascii="Arial" w:cs="Arial" w:eastAsia="Arial" w:hAnsi="Arial"/>
                  <w:sz w:val="11"/>
                  <w:szCs w:val="11"/>
                  <w:color w:val="auto"/>
                </w:rPr>
                <w:t>Other Information</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19">
              <w:r>
                <w:rPr>
                  <w:rFonts w:ascii="Arial" w:cs="Arial" w:eastAsia="Arial" w:hAnsi="Arial"/>
                  <w:sz w:val="11"/>
                  <w:szCs w:val="11"/>
                  <w:b w:val="1"/>
                  <w:bCs w:val="1"/>
                  <w:color w:val="D7282F"/>
                </w:rPr>
                <w:t>117</w:t>
              </w:r>
            </w:hyperlink>
          </w:p>
        </w:tc>
        <w:tc>
          <w:tcPr>
            <w:tcW w:w="1060" w:type="dxa"/>
            <w:vAlign w:val="bottom"/>
            <w:tcBorders>
              <w:bottom w:val="single" w:sz="8" w:color="939598"/>
            </w:tcBorders>
          </w:tcPr>
          <w:p>
            <w:pPr>
              <w:ind w:left="180"/>
              <w:spacing w:after="0"/>
              <w:rPr>
                <w:rFonts w:ascii="Arial" w:cs="Arial" w:eastAsia="Arial" w:hAnsi="Arial"/>
                <w:sz w:val="11"/>
                <w:szCs w:val="11"/>
                <w:b w:val="1"/>
                <w:bCs w:val="1"/>
                <w:color w:val="auto"/>
              </w:rPr>
            </w:pPr>
            <w:hyperlink w:anchor="page119">
              <w:r>
                <w:rPr>
                  <w:rFonts w:ascii="Arial" w:cs="Arial" w:eastAsia="Arial" w:hAnsi="Arial"/>
                  <w:sz w:val="11"/>
                  <w:szCs w:val="11"/>
                  <w:b w:val="1"/>
                  <w:bCs w:val="1"/>
                  <w:color w:val="auto"/>
                </w:rPr>
                <w:t>ITEM 9C.</w:t>
              </w:r>
            </w:hyperlink>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19">
              <w:r>
                <w:rPr>
                  <w:rFonts w:ascii="Arial" w:cs="Arial" w:eastAsia="Arial" w:hAnsi="Arial"/>
                  <w:sz w:val="11"/>
                  <w:szCs w:val="11"/>
                  <w:color w:val="auto"/>
                </w:rPr>
                <w:t>Disclosure Regarding Foreign Jurisdictions that Prevent Inspections</w:t>
              </w:r>
            </w:hyperlink>
          </w:p>
        </w:tc>
      </w:tr>
      <w:tr>
        <w:trPr>
          <w:trHeight w:val="294"/>
        </w:trPr>
        <w:tc>
          <w:tcPr>
            <w:tcW w:w="1440" w:type="dxa"/>
            <w:vAlign w:val="bottom"/>
            <w:tcBorders>
              <w:bottom w:val="single" w:sz="8" w:color="939598"/>
            </w:tcBorders>
          </w:tcPr>
          <w:p>
            <w:pPr>
              <w:spacing w:after="0"/>
              <w:rPr>
                <w:sz w:val="24"/>
                <w:szCs w:val="24"/>
                <w:color w:val="auto"/>
              </w:rPr>
            </w:pPr>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DC202E"/>
              </w:rPr>
              <w:t>Part III.</w:t>
            </w:r>
          </w:p>
        </w:tc>
        <w:tc>
          <w:tcPr>
            <w:tcW w:w="8800" w:type="dxa"/>
            <w:vAlign w:val="bottom"/>
            <w:tcBorders>
              <w:bottom w:val="single" w:sz="8" w:color="939598"/>
            </w:tcBorders>
          </w:tcPr>
          <w:p>
            <w:pPr>
              <w:spacing w:after="0"/>
              <w:rPr>
                <w:sz w:val="24"/>
                <w:szCs w:val="24"/>
                <w:color w:val="auto"/>
              </w:rPr>
            </w:pPr>
          </w:p>
        </w:tc>
      </w:tr>
      <w:tr>
        <w:trPr>
          <w:trHeight w:val="134"/>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19">
              <w:r>
                <w:rPr>
                  <w:rFonts w:ascii="Arial" w:cs="Arial" w:eastAsia="Arial" w:hAnsi="Arial"/>
                  <w:sz w:val="11"/>
                  <w:szCs w:val="11"/>
                  <w:b w:val="1"/>
                  <w:bCs w:val="1"/>
                  <w:color w:val="D7282F"/>
                </w:rPr>
                <w:t>117</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10</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19">
              <w:r>
                <w:rPr>
                  <w:rFonts w:ascii="Arial" w:cs="Arial" w:eastAsia="Arial" w:hAnsi="Arial"/>
                  <w:sz w:val="11"/>
                  <w:szCs w:val="11"/>
                  <w:color w:val="auto"/>
                </w:rPr>
                <w:t xml:space="preserve">Directors, Executive Officers </w:t>
              </w:r>
            </w:hyperlink>
            <w:r>
              <w:rPr>
                <w:rFonts w:ascii="Arial" w:cs="Arial" w:eastAsia="Arial" w:hAnsi="Arial"/>
                <w:sz w:val="11"/>
                <w:szCs w:val="11"/>
                <w:color w:val="auto"/>
              </w:rPr>
              <w:t>and Corporate Governance</w:t>
            </w:r>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19">
              <w:r>
                <w:rPr>
                  <w:rFonts w:ascii="Arial" w:cs="Arial" w:eastAsia="Arial" w:hAnsi="Arial"/>
                  <w:sz w:val="11"/>
                  <w:szCs w:val="11"/>
                  <w:b w:val="1"/>
                  <w:bCs w:val="1"/>
                  <w:color w:val="D7282F"/>
                </w:rPr>
                <w:t>117</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11</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19">
              <w:r>
                <w:rPr>
                  <w:rFonts w:ascii="Arial" w:cs="Arial" w:eastAsia="Arial" w:hAnsi="Arial"/>
                  <w:sz w:val="11"/>
                  <w:szCs w:val="11"/>
                  <w:color w:val="auto"/>
                </w:rPr>
                <w:t>Executive Compensation</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19">
              <w:r>
                <w:rPr>
                  <w:rFonts w:ascii="Arial" w:cs="Arial" w:eastAsia="Arial" w:hAnsi="Arial"/>
                  <w:sz w:val="11"/>
                  <w:szCs w:val="11"/>
                  <w:b w:val="1"/>
                  <w:bCs w:val="1"/>
                  <w:color w:val="D7282F"/>
                </w:rPr>
                <w:t>118</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12</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19">
              <w:r>
                <w:rPr>
                  <w:rFonts w:ascii="Arial" w:cs="Arial" w:eastAsia="Arial" w:hAnsi="Arial"/>
                  <w:sz w:val="11"/>
                  <w:szCs w:val="11"/>
                  <w:color w:val="auto"/>
                </w:rPr>
                <w:t>Security Ownership of Certain Beneficial Owners and Management and Related Stockholder Matters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20">
              <w:r>
                <w:rPr>
                  <w:rFonts w:ascii="Arial" w:cs="Arial" w:eastAsia="Arial" w:hAnsi="Arial"/>
                  <w:sz w:val="11"/>
                  <w:szCs w:val="11"/>
                  <w:b w:val="1"/>
                  <w:bCs w:val="1"/>
                  <w:color w:val="D7282F"/>
                </w:rPr>
                <w:t>119</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13</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20">
              <w:r>
                <w:rPr>
                  <w:rFonts w:ascii="Arial" w:cs="Arial" w:eastAsia="Arial" w:hAnsi="Arial"/>
                  <w:sz w:val="11"/>
                  <w:szCs w:val="11"/>
                  <w:color w:val="auto"/>
                </w:rPr>
                <w:t xml:space="preserve">Certain Relationships and Related Transactions, </w:t>
              </w:r>
            </w:hyperlink>
            <w:r>
              <w:rPr>
                <w:rFonts w:ascii="Arial" w:cs="Arial" w:eastAsia="Arial" w:hAnsi="Arial"/>
                <w:sz w:val="11"/>
                <w:szCs w:val="11"/>
                <w:color w:val="auto"/>
              </w:rPr>
              <w:t>and Director Independence</w:t>
            </w:r>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21">
              <w:r>
                <w:rPr>
                  <w:rFonts w:ascii="Arial" w:cs="Arial" w:eastAsia="Arial" w:hAnsi="Arial"/>
                  <w:sz w:val="11"/>
                  <w:szCs w:val="11"/>
                  <w:b w:val="1"/>
                  <w:bCs w:val="1"/>
                  <w:color w:val="D7282F"/>
                </w:rPr>
                <w:t>119</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14</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21">
              <w:r>
                <w:rPr>
                  <w:rFonts w:ascii="Arial" w:cs="Arial" w:eastAsia="Arial" w:hAnsi="Arial"/>
                  <w:sz w:val="11"/>
                  <w:szCs w:val="11"/>
                  <w:color w:val="auto"/>
                </w:rPr>
                <w:t>Principal Accounting Fees and Services</w:t>
              </w:r>
            </w:hyperlink>
          </w:p>
        </w:tc>
      </w:tr>
      <w:tr>
        <w:trPr>
          <w:trHeight w:val="294"/>
        </w:trPr>
        <w:tc>
          <w:tcPr>
            <w:tcW w:w="1440" w:type="dxa"/>
            <w:vAlign w:val="bottom"/>
            <w:tcBorders>
              <w:bottom w:val="single" w:sz="8" w:color="939598"/>
            </w:tcBorders>
          </w:tcPr>
          <w:p>
            <w:pPr>
              <w:spacing w:after="0"/>
              <w:rPr>
                <w:sz w:val="24"/>
                <w:szCs w:val="24"/>
                <w:color w:val="auto"/>
              </w:rPr>
            </w:pPr>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DC202E"/>
              </w:rPr>
              <w:t>Part IV.</w:t>
            </w:r>
          </w:p>
        </w:tc>
        <w:tc>
          <w:tcPr>
            <w:tcW w:w="8800" w:type="dxa"/>
            <w:vAlign w:val="bottom"/>
            <w:tcBorders>
              <w:bottom w:val="single" w:sz="8" w:color="939598"/>
            </w:tcBorders>
          </w:tcPr>
          <w:p>
            <w:pPr>
              <w:spacing w:after="0"/>
              <w:rPr>
                <w:sz w:val="24"/>
                <w:szCs w:val="24"/>
                <w:color w:val="auto"/>
              </w:rPr>
            </w:pPr>
          </w:p>
        </w:tc>
      </w:tr>
      <w:tr>
        <w:trPr>
          <w:trHeight w:val="134"/>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21">
              <w:r>
                <w:rPr>
                  <w:rFonts w:ascii="Arial" w:cs="Arial" w:eastAsia="Arial" w:hAnsi="Arial"/>
                  <w:sz w:val="11"/>
                  <w:szCs w:val="11"/>
                  <w:b w:val="1"/>
                  <w:bCs w:val="1"/>
                  <w:color w:val="D7282F"/>
                </w:rPr>
                <w:t>119</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15</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21">
              <w:r>
                <w:rPr>
                  <w:rFonts w:ascii="Arial" w:cs="Arial" w:eastAsia="Arial" w:hAnsi="Arial"/>
                  <w:sz w:val="11"/>
                  <w:szCs w:val="11"/>
                  <w:color w:val="auto"/>
                </w:rPr>
                <w:t>Exhibits and Financial Statement Schedules</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21">
              <w:r>
                <w:rPr>
                  <w:rFonts w:ascii="Arial" w:cs="Arial" w:eastAsia="Arial" w:hAnsi="Arial"/>
                  <w:sz w:val="11"/>
                  <w:szCs w:val="11"/>
                  <w:b w:val="1"/>
                  <w:bCs w:val="1"/>
                  <w:color w:val="D7282F"/>
                </w:rPr>
                <w:t>119</w:t>
              </w:r>
            </w:hyperlink>
          </w:p>
        </w:tc>
        <w:tc>
          <w:tcPr>
            <w:tcW w:w="1060" w:type="dxa"/>
            <w:vAlign w:val="bottom"/>
            <w:tcBorders>
              <w:bottom w:val="single" w:sz="8" w:color="939598"/>
            </w:tcBorders>
          </w:tcPr>
          <w:p>
            <w:pPr>
              <w:ind w:left="180"/>
              <w:spacing w:after="0"/>
              <w:rPr>
                <w:sz w:val="20"/>
                <w:szCs w:val="20"/>
                <w:color w:val="auto"/>
              </w:rPr>
            </w:pPr>
            <w:r>
              <w:rPr>
                <w:rFonts w:ascii="Arial" w:cs="Arial" w:eastAsia="Arial" w:hAnsi="Arial"/>
                <w:sz w:val="11"/>
                <w:szCs w:val="11"/>
                <w:b w:val="1"/>
                <w:bCs w:val="1"/>
                <w:color w:val="auto"/>
              </w:rPr>
              <w:t>ITEM 16</w:t>
            </w: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21">
              <w:r>
                <w:rPr>
                  <w:rFonts w:ascii="Arial" w:cs="Arial" w:eastAsia="Arial" w:hAnsi="Arial"/>
                  <w:sz w:val="11"/>
                  <w:szCs w:val="11"/>
                  <w:color w:val="auto"/>
                </w:rPr>
                <w:t>Form 10-K Summary</w:t>
              </w:r>
            </w:hyperlink>
          </w:p>
        </w:tc>
      </w:tr>
      <w:tr>
        <w:trPr>
          <w:trHeight w:val="133"/>
        </w:trPr>
        <w:tc>
          <w:tcPr>
            <w:tcW w:w="1440" w:type="dxa"/>
            <w:vAlign w:val="bottom"/>
            <w:tcBorders>
              <w:bottom w:val="single" w:sz="8" w:color="939598"/>
            </w:tcBorders>
          </w:tcPr>
          <w:p>
            <w:pPr>
              <w:jc w:val="right"/>
              <w:ind w:right="126"/>
              <w:spacing w:after="0"/>
              <w:rPr>
                <w:rFonts w:ascii="Arial" w:cs="Arial" w:eastAsia="Arial" w:hAnsi="Arial"/>
                <w:sz w:val="11"/>
                <w:szCs w:val="11"/>
                <w:b w:val="1"/>
                <w:bCs w:val="1"/>
                <w:color w:val="D7282F"/>
              </w:rPr>
            </w:pPr>
            <w:hyperlink w:anchor="page125">
              <w:r>
                <w:rPr>
                  <w:rFonts w:ascii="Arial" w:cs="Arial" w:eastAsia="Arial" w:hAnsi="Arial"/>
                  <w:sz w:val="11"/>
                  <w:szCs w:val="11"/>
                  <w:b w:val="1"/>
                  <w:bCs w:val="1"/>
                  <w:color w:val="D7282F"/>
                </w:rPr>
                <w:t>124</w:t>
              </w:r>
            </w:hyperlink>
          </w:p>
        </w:tc>
        <w:tc>
          <w:tcPr>
            <w:tcW w:w="1060" w:type="dxa"/>
            <w:vAlign w:val="bottom"/>
            <w:tcBorders>
              <w:bottom w:val="single" w:sz="8" w:color="939598"/>
            </w:tcBorders>
          </w:tcPr>
          <w:p>
            <w:pPr>
              <w:spacing w:after="0"/>
              <w:rPr>
                <w:sz w:val="11"/>
                <w:szCs w:val="11"/>
                <w:color w:val="auto"/>
              </w:rPr>
            </w:pPr>
          </w:p>
        </w:tc>
        <w:tc>
          <w:tcPr>
            <w:tcW w:w="8800" w:type="dxa"/>
            <w:vAlign w:val="bottom"/>
            <w:tcBorders>
              <w:bottom w:val="single" w:sz="8" w:color="939598"/>
            </w:tcBorders>
          </w:tcPr>
          <w:p>
            <w:pPr>
              <w:ind w:left="420"/>
              <w:spacing w:after="0"/>
              <w:rPr>
                <w:rFonts w:ascii="Arial" w:cs="Arial" w:eastAsia="Arial" w:hAnsi="Arial"/>
                <w:sz w:val="11"/>
                <w:szCs w:val="11"/>
                <w:color w:val="auto"/>
              </w:rPr>
            </w:pPr>
            <w:hyperlink w:anchor="page125">
              <w:r>
                <w:rPr>
                  <w:rFonts w:ascii="Arial" w:cs="Arial" w:eastAsia="Arial" w:hAnsi="Arial"/>
                  <w:sz w:val="11"/>
                  <w:szCs w:val="11"/>
                  <w:color w:val="auto"/>
                </w:rPr>
                <w:t>Signatures</w:t>
              </w:r>
            </w:hyperlink>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8" w:hanging="528"/>
        <w:spacing w:after="0"/>
        <w:tabs>
          <w:tab w:leader="none" w:pos="528" w:val="left"/>
        </w:tabs>
        <w:numPr>
          <w:ilvl w:val="0"/>
          <w:numId w:val="11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ectPr>
          <w:pgSz w:w="11900" w:h="16838" w:orient="portrait"/>
          <w:cols w:equalWidth="0" w:num="1">
            <w:col w:w="11308"/>
          </w:cols>
          <w:pgMar w:left="292" w:top="909" w:right="2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2"/>
          <w:szCs w:val="12"/>
          <w:b w:val="1"/>
          <w:bCs w:val="1"/>
          <w:color w:val="auto"/>
        </w:rPr>
        <w:t>EXHIBIT 4.2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THE REGISTRANT’S SECURITIES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78"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As of December 31, 2021, Honeywell International Inc. had five classes of securities registered under Section 12 of the Securities Exchange Act of 1934, as amended (the “Exchange Act”): (1) our Common Stock, par value $1.00 per share; (2) our 1.300% Senior Notes due 2023; (3) our 0.000% Senior Notes due 2024; (4) our 2.250% Senior Notes due 2028; and (5) our 0.750% Senior Notes due 2032.</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92" w:lineRule="exact"/>
        <w:rPr>
          <w:sz w:val="20"/>
          <w:szCs w:val="20"/>
          <w:color w:val="auto"/>
        </w:rPr>
      </w:pPr>
    </w:p>
    <w:p>
      <w:pPr>
        <w:jc w:val="both"/>
        <w:ind w:firstLine="288"/>
        <w:spacing w:after="0" w:line="256" w:lineRule="auto"/>
        <w:rPr>
          <w:sz w:val="20"/>
          <w:szCs w:val="20"/>
          <w:color w:val="auto"/>
        </w:rPr>
      </w:pPr>
      <w:r>
        <w:rPr>
          <w:rFonts w:ascii="Arial" w:cs="Arial" w:eastAsia="Arial" w:hAnsi="Arial"/>
          <w:sz w:val="12"/>
          <w:szCs w:val="12"/>
          <w:color w:val="auto"/>
        </w:rPr>
        <w:t>As of the date of this filing, we are authorized to issue up to 2,000,000,000 shares of common stock. As of December 31, 2021, we had approximately 958 million shares of common stock issued (including approximately 273 million shares held in treasury). EQ Shareowner Services, a division of Equiniti Trust Company, is the transfer agent and registrar for our common stock. Shares of common stock are listed on The Nasdaq Stock Market LLC (“Nasdaq”) and the London Stock Exchange under the symbol “HON.”</w:t>
      </w:r>
    </w:p>
    <w:p>
      <w:pPr>
        <w:spacing w:after="0" w:line="62" w:lineRule="exact"/>
        <w:rPr>
          <w:sz w:val="20"/>
          <w:szCs w:val="20"/>
          <w:color w:val="auto"/>
        </w:rPr>
      </w:pPr>
    </w:p>
    <w:p>
      <w:pPr>
        <w:jc w:val="both"/>
        <w:ind w:right="20" w:firstLine="288"/>
        <w:spacing w:after="0" w:line="261" w:lineRule="auto"/>
        <w:rPr>
          <w:sz w:val="20"/>
          <w:szCs w:val="20"/>
          <w:color w:val="auto"/>
        </w:rPr>
      </w:pPr>
      <w:r>
        <w:rPr>
          <w:rFonts w:ascii="Arial" w:cs="Arial" w:eastAsia="Arial" w:hAnsi="Arial"/>
          <w:sz w:val="12"/>
          <w:szCs w:val="12"/>
          <w:color w:val="auto"/>
        </w:rPr>
        <w:t>The following summary is not complete. You should refer to the applicable provision of Honeywell’s charter and by-laws, each of which are incorporated by reference as an exhibit to the Annual Report on Form 10-K of which this Exhibit 4.2 is a part, and to Delaware corporate law for a complete statement of the terms and rights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92" w:lineRule="exact"/>
        <w:rPr>
          <w:sz w:val="20"/>
          <w:szCs w:val="20"/>
          <w:color w:val="auto"/>
        </w:rPr>
      </w:pPr>
    </w:p>
    <w:p>
      <w:pPr>
        <w:jc w:val="both"/>
        <w:ind w:firstLine="288"/>
        <w:spacing w:after="0" w:line="261" w:lineRule="auto"/>
        <w:rPr>
          <w:sz w:val="20"/>
          <w:szCs w:val="20"/>
          <w:color w:val="auto"/>
        </w:rPr>
      </w:pPr>
      <w:r>
        <w:rPr>
          <w:rFonts w:ascii="Arial" w:cs="Arial" w:eastAsia="Arial" w:hAnsi="Arial"/>
          <w:sz w:val="12"/>
          <w:szCs w:val="12"/>
          <w:color w:val="auto"/>
        </w:rPr>
        <w:t>Holders of common stock are entitled to receive dividends when, as and if declared by the board of directors, out of funds legally available for their payment, subject to the rights of holders of any preferred stock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Rights</w:t>
      </w:r>
    </w:p>
    <w:p>
      <w:pPr>
        <w:spacing w:after="0" w:line="92" w:lineRule="exact"/>
        <w:rPr>
          <w:sz w:val="20"/>
          <w:szCs w:val="20"/>
          <w:color w:val="auto"/>
        </w:rPr>
      </w:pPr>
    </w:p>
    <w:p>
      <w:pPr>
        <w:jc w:val="both"/>
        <w:ind w:firstLine="288"/>
        <w:spacing w:after="0" w:line="256" w:lineRule="auto"/>
        <w:rPr>
          <w:sz w:val="20"/>
          <w:szCs w:val="20"/>
          <w:color w:val="auto"/>
        </w:rPr>
      </w:pPr>
      <w:r>
        <w:rPr>
          <w:rFonts w:ascii="Arial" w:cs="Arial" w:eastAsia="Arial" w:hAnsi="Arial"/>
          <w:sz w:val="12"/>
          <w:szCs w:val="12"/>
          <w:color w:val="auto"/>
        </w:rPr>
        <w:t>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 Upon Liquidation</w:t>
      </w:r>
    </w:p>
    <w:p>
      <w:pPr>
        <w:spacing w:after="0" w:line="92" w:lineRule="exact"/>
        <w:rPr>
          <w:sz w:val="20"/>
          <w:szCs w:val="20"/>
          <w:color w:val="auto"/>
        </w:rPr>
      </w:pPr>
    </w:p>
    <w:p>
      <w:pPr>
        <w:jc w:val="both"/>
        <w:ind w:right="20" w:firstLine="288"/>
        <w:spacing w:after="0" w:line="261" w:lineRule="auto"/>
        <w:rPr>
          <w:sz w:val="20"/>
          <w:szCs w:val="20"/>
          <w:color w:val="auto"/>
        </w:rPr>
      </w:pPr>
      <w:r>
        <w:rPr>
          <w:rFonts w:ascii="Arial" w:cs="Arial" w:eastAsia="Arial" w:hAnsi="Arial"/>
          <w:sz w:val="12"/>
          <w:szCs w:val="12"/>
          <w:color w:val="auto"/>
        </w:rPr>
        <w:t>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Rights</w:t>
      </w:r>
    </w:p>
    <w:p>
      <w:pPr>
        <w:spacing w:after="0" w:line="92" w:lineRule="exact"/>
        <w:rPr>
          <w:sz w:val="20"/>
          <w:szCs w:val="20"/>
          <w:color w:val="auto"/>
        </w:rPr>
      </w:pPr>
    </w:p>
    <w:p>
      <w:pPr>
        <w:jc w:val="both"/>
        <w:ind w:firstLine="288"/>
        <w:spacing w:after="0" w:line="256" w:lineRule="auto"/>
        <w:rPr>
          <w:sz w:val="20"/>
          <w:szCs w:val="20"/>
          <w:color w:val="auto"/>
        </w:rPr>
      </w:pPr>
      <w:r>
        <w:rPr>
          <w:rFonts w:ascii="Arial" w:cs="Arial" w:eastAsia="Arial" w:hAnsi="Arial"/>
          <w:sz w:val="12"/>
          <w:szCs w:val="12"/>
          <w:color w:val="auto"/>
        </w:rPr>
        <w:t>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w:t>
      </w:r>
    </w:p>
    <w:p>
      <w:pPr>
        <w:sectPr>
          <w:pgSz w:w="11900" w:h="16838" w:orient="portrait"/>
          <w:cols w:equalWidth="0" w:num="1">
            <w:col w:w="11300"/>
          </w:cols>
          <w:pgMar w:left="300" w:top="989" w:right="29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b w:val="1"/>
          <w:bCs w:val="1"/>
          <w:color w:val="auto"/>
        </w:rPr>
        <w:t>Possible Anti-Takeover Provisions</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Honeywell’s charter and by-laws provide:</w:t>
      </w:r>
    </w:p>
    <w:p>
      <w:pPr>
        <w:spacing w:after="0" w:line="78" w:lineRule="exact"/>
        <w:rPr>
          <w:sz w:val="20"/>
          <w:szCs w:val="20"/>
          <w:color w:val="auto"/>
        </w:rPr>
      </w:pPr>
    </w:p>
    <w:p>
      <w:pPr>
        <w:ind w:left="420" w:hanging="212"/>
        <w:spacing w:after="0" w:line="261" w:lineRule="auto"/>
        <w:tabs>
          <w:tab w:leader="none" w:pos="41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w:t>
      </w:r>
    </w:p>
    <w:p>
      <w:pPr>
        <w:spacing w:after="0" w:line="59" w:lineRule="exact"/>
        <w:rPr>
          <w:rFonts w:ascii="Arial" w:cs="Arial" w:eastAsia="Arial" w:hAnsi="Arial"/>
          <w:sz w:val="12"/>
          <w:szCs w:val="12"/>
          <w:color w:val="auto"/>
        </w:rPr>
      </w:pPr>
    </w:p>
    <w:p>
      <w:pPr>
        <w:ind w:left="420" w:hanging="212"/>
        <w:spacing w:after="0"/>
        <w:tabs>
          <w:tab w:leader="none" w:pos="4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that vacancies on the board of directors other than at the annual meeting are filled by a vote of the remaining directors;</w:t>
      </w:r>
    </w:p>
    <w:p>
      <w:pPr>
        <w:spacing w:after="0" w:line="78" w:lineRule="exact"/>
        <w:rPr>
          <w:rFonts w:ascii="Arial" w:cs="Arial" w:eastAsia="Arial" w:hAnsi="Arial"/>
          <w:sz w:val="12"/>
          <w:szCs w:val="12"/>
          <w:color w:val="auto"/>
        </w:rPr>
      </w:pPr>
    </w:p>
    <w:p>
      <w:pPr>
        <w:ind w:left="420" w:hanging="212"/>
        <w:spacing w:after="0" w:line="261" w:lineRule="auto"/>
        <w:tabs>
          <w:tab w:leader="none" w:pos="41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that special meetings of shareowners generally may be called only by the chief executive officer, by a majority of the authorized number of directors, or by the holders of not less than fifteen percent of the outstanding shares of Honeywell’s common stock (excluding derivatives);</w:t>
      </w:r>
    </w:p>
    <w:p>
      <w:pPr>
        <w:spacing w:after="0" w:line="59" w:lineRule="exact"/>
        <w:rPr>
          <w:rFonts w:ascii="Arial" w:cs="Arial" w:eastAsia="Arial" w:hAnsi="Arial"/>
          <w:sz w:val="12"/>
          <w:szCs w:val="12"/>
          <w:color w:val="auto"/>
        </w:rPr>
      </w:pPr>
    </w:p>
    <w:p>
      <w:pPr>
        <w:ind w:left="420" w:hanging="212"/>
        <w:spacing w:after="0"/>
        <w:tabs>
          <w:tab w:leader="none" w:pos="4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that action may be taken by shareowners only at annual or special meetings and not by written consent;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that advance notice must be given to Honeywell for a shareowner to nominate directors for election at a shareowner meeting; and</w:t>
      </w:r>
    </w:p>
    <w:p>
      <w:pPr>
        <w:spacing w:after="0" w:line="78" w:lineRule="exact"/>
        <w:rPr>
          <w:rFonts w:ascii="Arial" w:cs="Arial" w:eastAsia="Arial" w:hAnsi="Arial"/>
          <w:sz w:val="12"/>
          <w:szCs w:val="12"/>
          <w:color w:val="auto"/>
        </w:rPr>
      </w:pPr>
    </w:p>
    <w:p>
      <w:pPr>
        <w:ind w:left="420" w:right="20" w:hanging="212"/>
        <w:spacing w:after="0" w:line="261" w:lineRule="auto"/>
        <w:tabs>
          <w:tab w:leader="none" w:pos="417"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Any of these provisions could delay, deter or prevent a tender offer for or attempted takeover of Honeywell.</w:t>
      </w:r>
    </w:p>
    <w:p>
      <w:pPr>
        <w:spacing w:after="0" w:line="78" w:lineRule="exact"/>
        <w:rPr>
          <w:sz w:val="20"/>
          <w:szCs w:val="20"/>
          <w:color w:val="auto"/>
        </w:rPr>
      </w:pPr>
    </w:p>
    <w:p>
      <w:pPr>
        <w:ind w:firstLine="288"/>
        <w:spacing w:after="0" w:line="261" w:lineRule="auto"/>
        <w:rPr>
          <w:sz w:val="20"/>
          <w:szCs w:val="20"/>
          <w:color w:val="auto"/>
        </w:rPr>
      </w:pPr>
      <w:r>
        <w:rPr>
          <w:rFonts w:ascii="Arial" w:cs="Arial" w:eastAsia="Arial" w:hAnsi="Arial"/>
          <w:sz w:val="12"/>
          <w:szCs w:val="12"/>
          <w:color w:val="auto"/>
        </w:rPr>
        <w:t>Our charter permits us to issue up to 40,000,000 shares of preferred stock with terms that may be set by our board of directors or a committee of the board. That preferred stock could have terms that could delay, deter or prevent a tender offer or takeover attempt of Honeywell.</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Under Delaware law, an acquirer of 15% or more of our shares of stock must wait three years before a business combination with us unless one of the following exceptions is available:</w:t>
      </w:r>
    </w:p>
    <w:p>
      <w:pPr>
        <w:spacing w:after="0" w:line="78" w:lineRule="exact"/>
        <w:rPr>
          <w:sz w:val="20"/>
          <w:szCs w:val="20"/>
          <w:color w:val="auto"/>
        </w:rPr>
      </w:pPr>
    </w:p>
    <w:p>
      <w:pPr>
        <w:ind w:left="420" w:hanging="212"/>
        <w:spacing w:after="0"/>
        <w:tabs>
          <w:tab w:leader="none" w:pos="4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approval by our board of directors prior to the time the acquirer became a 15% shareowner of Honeywell;</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acquisition of at least 85% of our voting stock in the transaction in which the acquirer became a 15% shareowner of Honeywell;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approval of the business combination by our board of directors and two-thirds of our disinterested shareowners.</w:t>
      </w:r>
    </w:p>
    <w:p>
      <w:pPr>
        <w:spacing w:after="0" w:line="78" w:lineRule="exact"/>
        <w:rPr>
          <w:sz w:val="20"/>
          <w:szCs w:val="20"/>
          <w:color w:val="auto"/>
        </w:rPr>
      </w:pPr>
    </w:p>
    <w:p>
      <w:pPr>
        <w:jc w:val="both"/>
        <w:ind w:firstLine="288"/>
        <w:spacing w:after="0" w:line="253" w:lineRule="auto"/>
        <w:rPr>
          <w:sz w:val="20"/>
          <w:szCs w:val="20"/>
          <w:color w:val="auto"/>
        </w:rPr>
      </w:pPr>
      <w:r>
        <w:rPr>
          <w:rFonts w:ascii="Arial" w:cs="Arial" w:eastAsia="Arial" w:hAnsi="Arial"/>
          <w:sz w:val="12"/>
          <w:szCs w:val="12"/>
          <w:color w:val="auto"/>
        </w:rPr>
        <w:t>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 forum provisions described above.</w:t>
      </w:r>
    </w:p>
    <w:p>
      <w:pPr>
        <w:sectPr>
          <w:pgSz w:w="11900" w:h="16838" w:orient="portrait"/>
          <w:cols w:equalWidth="0" w:num="1">
            <w:col w:w="11300"/>
          </w:cols>
          <w:pgMar w:left="300" w:top="1061" w:right="2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2"/>
          <w:szCs w:val="12"/>
          <w:b w:val="1"/>
          <w:bCs w:val="1"/>
          <w:color w:val="auto"/>
        </w:rPr>
        <w:t>Description of Debt Securities</w:t>
      </w:r>
    </w:p>
    <w:p>
      <w:pPr>
        <w:spacing w:after="0" w:line="80" w:lineRule="exact"/>
        <w:rPr>
          <w:sz w:val="20"/>
          <w:szCs w:val="20"/>
          <w:color w:val="auto"/>
        </w:rPr>
      </w:pPr>
    </w:p>
    <w:p>
      <w:pPr>
        <w:jc w:val="both"/>
        <w:ind w:firstLine="228"/>
        <w:spacing w:after="0" w:line="261" w:lineRule="auto"/>
        <w:rPr>
          <w:sz w:val="20"/>
          <w:szCs w:val="20"/>
          <w:color w:val="auto"/>
        </w:rPr>
      </w:pPr>
      <w:r>
        <w:rPr>
          <w:rFonts w:ascii="Arial" w:cs="Arial" w:eastAsia="Arial" w:hAnsi="Arial"/>
          <w:sz w:val="12"/>
          <w:szCs w:val="12"/>
          <w:i w:val="1"/>
          <w:iCs w:val="1"/>
          <w:color w:val="auto"/>
        </w:rPr>
        <w:t>The following description of certain material terms of our 1.300% Senior Notes due 2023 (the “2023 notes”), our 0.000% Senior Notes due 2024 (the “2024 notes”), our 2.250% Senior Notes due 2028 (the “2028 notes”), and our 0.750% Senior Notes due 2032 (the “2032 notes”) (collectively referred to in this exhibit as the “debt securities”) does not purport to be complete. The following description is subject to, and is qualified in its entirety by reference to, the debt securities and the indenture between us and Deutsche Bank Trust Company Americas, as trustee, dated March 1, 2007 (as may be amended, supplemented or amended and restated from time to time) (the “indenture”). Terms used that are otherwise not defined have the meanings given to them in the indenture.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92" w:lineRule="exact"/>
        <w:rPr>
          <w:sz w:val="20"/>
          <w:szCs w:val="20"/>
          <w:color w:val="auto"/>
        </w:rPr>
      </w:pPr>
    </w:p>
    <w:p>
      <w:pPr>
        <w:jc w:val="both"/>
        <w:ind w:firstLine="228"/>
        <w:spacing w:after="0" w:line="261" w:lineRule="auto"/>
        <w:rPr>
          <w:sz w:val="20"/>
          <w:szCs w:val="20"/>
          <w:color w:val="auto"/>
        </w:rPr>
      </w:pPr>
      <w:r>
        <w:rPr>
          <w:rFonts w:ascii="Arial" w:cs="Arial" w:eastAsia="Arial" w:hAnsi="Arial"/>
          <w:sz w:val="12"/>
          <w:szCs w:val="12"/>
          <w:color w:val="auto"/>
        </w:rPr>
        <w:t>We have outstanding €1.25 billion aggregate principal amount of our 1.300% Senior Notes due 2023, €500 million aggregate principal amount of our 0.000% Senior Notes due 2024, €750 million aggregate principal amount of our 2.250% Senior Notes due 2028, and €500 million aggregate principal amount of our 0.75% Senior Notes due 2032, which securities are listed on the Nasdaq.</w:t>
      </w:r>
    </w:p>
    <w:p>
      <w:pPr>
        <w:spacing w:after="0" w:line="60" w:lineRule="exact"/>
        <w:rPr>
          <w:sz w:val="20"/>
          <w:szCs w:val="20"/>
          <w:color w:val="auto"/>
        </w:rPr>
      </w:pPr>
    </w:p>
    <w:p>
      <w:pPr>
        <w:jc w:val="both"/>
        <w:ind w:firstLine="228"/>
        <w:spacing w:after="0" w:line="261" w:lineRule="auto"/>
        <w:rPr>
          <w:sz w:val="20"/>
          <w:szCs w:val="20"/>
          <w:color w:val="auto"/>
        </w:rPr>
      </w:pPr>
      <w:r>
        <w:rPr>
          <w:rFonts w:ascii="Arial" w:cs="Arial" w:eastAsia="Arial" w:hAnsi="Arial"/>
          <w:sz w:val="12"/>
          <w:szCs w:val="12"/>
          <w:color w:val="auto"/>
        </w:rPr>
        <w:t>Each series of the debt securities was issued as separate series under an indenture dated March 1, 2007 (the “indenture”) between us and Deutsche Bank Trust Company Americas, as trustee. The 2023 notes will mature on February 22, 2023, the 2024 notes will mature on March 10, 2024, the 2028 notes will mature on February 22, 2028, and the 2032 notes will mature on March 10, 2032.</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debt securities are issued only in registered, book-entry form without interest coupons in minimum denominations of €100,000 and integral multiples of €1,000 in excess thereof.</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debt securities are not subject to a sinking fund.</w:t>
      </w:r>
    </w:p>
    <w:p>
      <w:pPr>
        <w:spacing w:after="0" w:line="78" w:lineRule="exact"/>
        <w:rPr>
          <w:sz w:val="20"/>
          <w:szCs w:val="20"/>
          <w:color w:val="auto"/>
        </w:rPr>
      </w:pPr>
    </w:p>
    <w:p>
      <w:pPr>
        <w:jc w:val="both"/>
        <w:ind w:firstLine="228"/>
        <w:spacing w:after="0" w:line="261" w:lineRule="auto"/>
        <w:rPr>
          <w:sz w:val="20"/>
          <w:szCs w:val="20"/>
          <w:color w:val="auto"/>
        </w:rPr>
      </w:pPr>
      <w:r>
        <w:rPr>
          <w:rFonts w:ascii="Arial" w:cs="Arial" w:eastAsia="Arial" w:hAnsi="Arial"/>
          <w:sz w:val="12"/>
          <w:szCs w:val="12"/>
          <w:color w:val="auto"/>
        </w:rPr>
        <w:t>The term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Covenants</w:t>
      </w:r>
    </w:p>
    <w:p>
      <w:pPr>
        <w:spacing w:after="0" w:line="92"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2"/>
          <w:szCs w:val="12"/>
          <w:color w:val="auto"/>
        </w:rPr>
        <w:t>Except as described below with respect to any series of debt securities, we are not restricted by the indenture from incurring, assuming or becoming liable for any type of debt or other obligations, from paying dividends or making distributions on our capital stock or purchasing or redeeming our capital stock. The indenture does not require the maintenance of any financial ratios or specified levels of net worth or liquidity. In addition, with certain exceptions, the indenture does not contain any covenants or other 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 such as for example, a highly leveraged transaction.</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Covenants contained in the indenture, which are summarized below, are applicable to each series of debt securities so long as any of the debt securities of that series are outstanding.</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Limitation on Mortgages. </w:t>
      </w:r>
      <w:r>
        <w:rPr>
          <w:rFonts w:ascii="Arial" w:cs="Arial" w:eastAsia="Arial" w:hAnsi="Arial"/>
          <w:sz w:val="12"/>
          <w:szCs w:val="12"/>
          <w:color w:val="auto"/>
        </w:rPr>
        <w:t>In the indenture, we covenant not to issue, assume or guarantee any indebtedness for borrowed money secured by liens on:</w:t>
      </w:r>
    </w:p>
    <w:p>
      <w:pPr>
        <w:spacing w:after="0" w:line="90" w:lineRule="exact"/>
        <w:rPr>
          <w:sz w:val="20"/>
          <w:szCs w:val="20"/>
          <w:color w:val="auto"/>
        </w:rPr>
      </w:pPr>
    </w:p>
    <w:p>
      <w:pPr>
        <w:ind w:left="420" w:hanging="212"/>
        <w:spacing w:after="0"/>
        <w:tabs>
          <w:tab w:leader="none" w:pos="4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any property located in the United States which is in the opinion of our board of directors, a principal manufacturing property; or</w:t>
      </w:r>
    </w:p>
    <w:p>
      <w:pPr>
        <w:spacing w:after="0" w:line="78" w:lineRule="exact"/>
        <w:rPr>
          <w:rFonts w:ascii="Arial" w:cs="Arial" w:eastAsia="Arial" w:hAnsi="Arial"/>
          <w:sz w:val="12"/>
          <w:szCs w:val="12"/>
          <w:color w:val="auto"/>
        </w:rPr>
      </w:pPr>
    </w:p>
    <w:p>
      <w:pPr>
        <w:ind w:left="420" w:hanging="212"/>
        <w:spacing w:after="0" w:line="261" w:lineRule="auto"/>
        <w:tabs>
          <w:tab w:leader="none" w:pos="417"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any shares of capital stock or indebtedness of any subsidiary owning such property, without equally and ratably securing the debt securities, subject to exceptions specified in the indenture. These exceptions include:</w:t>
      </w:r>
    </w:p>
    <w:p>
      <w:pPr>
        <w:spacing w:after="0" w:line="59" w:lineRule="exact"/>
        <w:rPr>
          <w:rFonts w:ascii="Arial" w:cs="Arial" w:eastAsia="Arial" w:hAnsi="Arial"/>
          <w:sz w:val="12"/>
          <w:szCs w:val="12"/>
          <w:color w:val="auto"/>
        </w:rPr>
      </w:pPr>
    </w:p>
    <w:p>
      <w:pPr>
        <w:ind w:left="860" w:hanging="220"/>
        <w:spacing w:after="0"/>
        <w:tabs>
          <w:tab w:leader="none" w:pos="86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existing liens on our property or liens on property of corporations at the time those corporations become our subsidiaries or are merged with us;</w:t>
      </w:r>
    </w:p>
    <w:p>
      <w:pPr>
        <w:sectPr>
          <w:pgSz w:w="11900" w:h="16838" w:orient="portrait"/>
          <w:cols w:equalWidth="0" w:num="1">
            <w:col w:w="11300"/>
          </w:cols>
          <w:pgMar w:left="300" w:top="1061" w:right="299" w:bottom="1440" w:gutter="0" w:footer="0" w:header="0"/>
        </w:sectPr>
      </w:pPr>
    </w:p>
    <w:bookmarkStart w:id="130" w:name="page131"/>
    <w:bookmarkEnd w:id="130"/>
    <w:p>
      <w:pPr>
        <w:ind w:left="860" w:hanging="220"/>
        <w:spacing w:after="0"/>
        <w:tabs>
          <w:tab w:leader="none" w:pos="86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liens existing on property when acquired, or incurred to finance the purchase price of that property;</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certain liens on property to secure the cost of development of, or improvements on, that property;</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certain liens in favor of or required by contracts with governmental entities; and</w:t>
      </w:r>
    </w:p>
    <w:p>
      <w:pPr>
        <w:spacing w:after="0" w:line="78" w:lineRule="exact"/>
        <w:rPr>
          <w:rFonts w:ascii="Arial" w:cs="Arial" w:eastAsia="Arial" w:hAnsi="Arial"/>
          <w:sz w:val="12"/>
          <w:szCs w:val="12"/>
          <w:color w:val="auto"/>
        </w:rPr>
      </w:pPr>
    </w:p>
    <w:p>
      <w:pPr>
        <w:ind w:left="860" w:hanging="220"/>
        <w:spacing w:after="0"/>
        <w:tabs>
          <w:tab w:leader="none" w:pos="86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indebtedness secured by liens otherwise prohibited by the covenant not exceeding 10% of the consolidated net tangible assets of Honeywell and our consolidated subsidiaries.</w:t>
      </w:r>
    </w:p>
    <w:p>
      <w:pPr>
        <w:spacing w:after="0" w:line="66" w:lineRule="exact"/>
        <w:rPr>
          <w:sz w:val="20"/>
          <w:szCs w:val="20"/>
          <w:color w:val="auto"/>
        </w:rPr>
      </w:pPr>
    </w:p>
    <w:p>
      <w:pPr>
        <w:ind w:firstLine="228"/>
        <w:spacing w:after="0" w:line="282" w:lineRule="auto"/>
        <w:rPr>
          <w:sz w:val="20"/>
          <w:szCs w:val="20"/>
          <w:color w:val="auto"/>
        </w:rPr>
      </w:pPr>
      <w:r>
        <w:rPr>
          <w:rFonts w:ascii="Arial" w:cs="Arial" w:eastAsia="Arial" w:hAnsi="Arial"/>
          <w:sz w:val="12"/>
          <w:szCs w:val="12"/>
          <w:i w:val="1"/>
          <w:iCs w:val="1"/>
          <w:color w:val="auto"/>
        </w:rPr>
        <w:t xml:space="preserve">Limitation on Sale and Lease-Back. </w:t>
      </w:r>
      <w:r>
        <w:rPr>
          <w:rFonts w:ascii="Arial" w:cs="Arial" w:eastAsia="Arial" w:hAnsi="Arial"/>
          <w:sz w:val="12"/>
          <w:szCs w:val="12"/>
          <w:color w:val="auto"/>
        </w:rPr>
        <w:t>We also covenant not to enter into any sale and lease-back transaction covering any property located in the United States which is in the opinion of our board of directors, a</w:t>
      </w:r>
      <w:r>
        <w:rPr>
          <w:rFonts w:ascii="Arial" w:cs="Arial" w:eastAsia="Arial" w:hAnsi="Arial"/>
          <w:sz w:val="12"/>
          <w:szCs w:val="12"/>
          <w:i w:val="1"/>
          <w:iCs w:val="1"/>
          <w:color w:val="auto"/>
        </w:rPr>
        <w:t xml:space="preserve"> </w:t>
      </w:r>
      <w:r>
        <w:rPr>
          <w:rFonts w:ascii="Arial" w:cs="Arial" w:eastAsia="Arial" w:hAnsi="Arial"/>
          <w:sz w:val="12"/>
          <w:szCs w:val="12"/>
          <w:color w:val="auto"/>
        </w:rPr>
        <w:t>principal manufacturing property, unless:</w:t>
      </w:r>
    </w:p>
    <w:p>
      <w:pPr>
        <w:spacing w:after="0" w:line="48" w:lineRule="exact"/>
        <w:rPr>
          <w:sz w:val="20"/>
          <w:szCs w:val="20"/>
          <w:color w:val="auto"/>
        </w:rPr>
      </w:pPr>
    </w:p>
    <w:p>
      <w:pPr>
        <w:ind w:left="420" w:hanging="212"/>
        <w:spacing w:after="0" w:line="261" w:lineRule="auto"/>
        <w:tabs>
          <w:tab w:leader="none" w:pos="417" w:val="left"/>
        </w:tabs>
        <w:numPr>
          <w:ilvl w:val="0"/>
          <w:numId w:val="124"/>
        </w:numPr>
        <w:rPr>
          <w:rFonts w:ascii="Arial" w:cs="Arial" w:eastAsia="Arial" w:hAnsi="Arial"/>
          <w:sz w:val="12"/>
          <w:szCs w:val="12"/>
          <w:color w:val="auto"/>
        </w:rPr>
      </w:pPr>
      <w:r>
        <w:rPr>
          <w:rFonts w:ascii="Arial" w:cs="Arial" w:eastAsia="Arial" w:hAnsi="Arial"/>
          <w:sz w:val="12"/>
          <w:szCs w:val="12"/>
          <w:color w:val="auto"/>
        </w:rPr>
        <w:t>we would be entitled under the provisions described under “-Limitation on Mortgages” to incur debt equal to the value of such sale and lease-back transaction, secured by liens on the property to be leased, without equally securing the outstanding debt securities; or</w:t>
      </w:r>
    </w:p>
    <w:p>
      <w:pPr>
        <w:spacing w:after="0" w:line="59" w:lineRule="exact"/>
        <w:rPr>
          <w:rFonts w:ascii="Arial" w:cs="Arial" w:eastAsia="Arial" w:hAnsi="Arial"/>
          <w:sz w:val="12"/>
          <w:szCs w:val="12"/>
          <w:color w:val="auto"/>
        </w:rPr>
      </w:pPr>
    </w:p>
    <w:p>
      <w:pPr>
        <w:ind w:left="420" w:hanging="212"/>
        <w:spacing w:after="0" w:line="261" w:lineRule="auto"/>
        <w:tabs>
          <w:tab w:leader="none" w:pos="417" w:val="left"/>
        </w:tabs>
        <w:numPr>
          <w:ilvl w:val="0"/>
          <w:numId w:val="124"/>
        </w:numPr>
        <w:rPr>
          <w:rFonts w:ascii="Arial" w:cs="Arial" w:eastAsia="Arial" w:hAnsi="Arial"/>
          <w:sz w:val="12"/>
          <w:szCs w:val="12"/>
          <w:color w:val="auto"/>
        </w:rPr>
      </w:pPr>
      <w:r>
        <w:rPr>
          <w:rFonts w:ascii="Arial" w:cs="Arial" w:eastAsia="Arial" w:hAnsi="Arial"/>
          <w:sz w:val="12"/>
          <w:szCs w:val="12"/>
          <w:color w:val="auto"/>
        </w:rPr>
        <w:t>we, during the four months following the effective date of such sale and lease-back transaction, apply an amount equal to the value of such sale and lease-back transaction to the voluntary retirement of long-term indebtedness of Honeywell or our subsidiaries.</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Consolidation, Merger and Sale of Assets. </w:t>
      </w:r>
      <w:r>
        <w:rPr>
          <w:rFonts w:ascii="Arial" w:cs="Arial" w:eastAsia="Arial" w:hAnsi="Arial"/>
          <w:sz w:val="12"/>
          <w:szCs w:val="12"/>
          <w:color w:val="auto"/>
        </w:rPr>
        <w:t>The indenture provides that we may not consolidate with or merge into any other person or sell our assets substantially as an entirety, unless:</w:t>
      </w:r>
    </w:p>
    <w:p>
      <w:pPr>
        <w:spacing w:after="0" w:line="90" w:lineRule="exact"/>
        <w:rPr>
          <w:sz w:val="20"/>
          <w:szCs w:val="20"/>
          <w:color w:val="auto"/>
        </w:rPr>
      </w:pPr>
    </w:p>
    <w:p>
      <w:pPr>
        <w:ind w:left="420" w:right="20" w:hanging="212"/>
        <w:spacing w:after="0" w:line="261" w:lineRule="auto"/>
        <w:tabs>
          <w:tab w:leader="none" w:pos="41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w:t>
      </w:r>
    </w:p>
    <w:p>
      <w:pPr>
        <w:spacing w:after="0" w:line="59" w:lineRule="exact"/>
        <w:rPr>
          <w:rFonts w:ascii="Arial" w:cs="Arial" w:eastAsia="Arial" w:hAnsi="Arial"/>
          <w:sz w:val="12"/>
          <w:szCs w:val="12"/>
          <w:color w:val="auto"/>
        </w:rPr>
      </w:pPr>
    </w:p>
    <w:p>
      <w:pPr>
        <w:ind w:left="420" w:hanging="212"/>
        <w:spacing w:after="0" w:line="261" w:lineRule="auto"/>
        <w:tabs>
          <w:tab w:leader="none" w:pos="41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immediately after giving effect to such transaction, no event of default, and no event which, after notice or lapse of time, or both, would become an event of default, shall have happened and be continuing; and</w:t>
      </w:r>
    </w:p>
    <w:p>
      <w:pPr>
        <w:spacing w:after="0" w:line="59" w:lineRule="exact"/>
        <w:rPr>
          <w:rFonts w:ascii="Arial" w:cs="Arial" w:eastAsia="Arial" w:hAnsi="Arial"/>
          <w:sz w:val="12"/>
          <w:szCs w:val="12"/>
          <w:color w:val="auto"/>
        </w:rPr>
      </w:pPr>
    </w:p>
    <w:p>
      <w:pPr>
        <w:ind w:left="420" w:hanging="212"/>
        <w:spacing w:after="0" w:line="261" w:lineRule="auto"/>
        <w:tabs>
          <w:tab w:leader="none" w:pos="417" w:val="left"/>
        </w:tabs>
        <w:numPr>
          <w:ilvl w:val="0"/>
          <w:numId w:val="125"/>
        </w:numPr>
        <w:rPr>
          <w:rFonts w:ascii="Arial" w:cs="Arial" w:eastAsia="Arial" w:hAnsi="Arial"/>
          <w:sz w:val="12"/>
          <w:szCs w:val="12"/>
          <w:color w:val="auto"/>
        </w:rPr>
      </w:pPr>
      <w:r>
        <w:rPr>
          <w:rFonts w:ascii="Arial" w:cs="Arial" w:eastAsia="Arial" w:hAnsi="Arial"/>
          <w:sz w:val="12"/>
          <w:szCs w:val="12"/>
          <w:color w:val="auto"/>
        </w:rPr>
        <w:t>we have delivered to the trustee an officers’ certificate and an opinion of counsel each stating that such consolidation or transfer and a supplemental indenture, if applicable, comply with the indenture and that all conditions precedent herein provided for relating to such transaction have been complied with.</w:t>
      </w:r>
    </w:p>
    <w:p>
      <w:pPr>
        <w:spacing w:after="0" w:line="60" w:lineRule="exact"/>
        <w:rPr>
          <w:sz w:val="20"/>
          <w:szCs w:val="20"/>
          <w:color w:val="auto"/>
        </w:rPr>
      </w:pPr>
    </w:p>
    <w:p>
      <w:pPr>
        <w:ind w:firstLine="228"/>
        <w:spacing w:after="0" w:line="261" w:lineRule="auto"/>
        <w:rPr>
          <w:sz w:val="20"/>
          <w:szCs w:val="20"/>
          <w:color w:val="auto"/>
        </w:rPr>
      </w:pPr>
      <w:r>
        <w:rPr>
          <w:rFonts w:ascii="Arial" w:cs="Arial" w:eastAsia="Arial" w:hAnsi="Arial"/>
          <w:sz w:val="12"/>
          <w:szCs w:val="12"/>
          <w:color w:val="auto"/>
        </w:rPr>
        <w:t>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does not restrict, or require us to redeem or permit holders to cause redemption of debt securities in the event of:</w:t>
      </w:r>
    </w:p>
    <w:p>
      <w:pPr>
        <w:spacing w:after="0" w:line="78" w:lineRule="exact"/>
        <w:rPr>
          <w:sz w:val="20"/>
          <w:szCs w:val="20"/>
          <w:color w:val="auto"/>
        </w:rPr>
      </w:pPr>
    </w:p>
    <w:p>
      <w:pPr>
        <w:ind w:left="420" w:hanging="212"/>
        <w:spacing w:after="0"/>
        <w:tabs>
          <w:tab w:leader="none" w:pos="4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 consolidation, merger, sale of assets or other similar transaction that may adversely affect our creditworthiness or the successor or combined entity;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 change in control of us;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 highly leveraged transaction involving us whether or not involving a change in control.</w:t>
      </w:r>
    </w:p>
    <w:p>
      <w:pPr>
        <w:spacing w:after="0" w:line="7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2"/>
          <w:szCs w:val="12"/>
          <w:color w:val="auto"/>
        </w:rPr>
        <w:t>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 continue to apply to us in the event of a leveraged buyout initiated or supported by us, our management, or any of our affiliates or their management, but may not prevent such a transaction from taking place.</w:t>
      </w:r>
    </w:p>
    <w:p>
      <w:pPr>
        <w:sectPr>
          <w:pgSz w:w="11900" w:h="16838" w:orient="portrait"/>
          <w:cols w:equalWidth="0" w:num="1">
            <w:col w:w="11300"/>
          </w:cols>
          <w:pgMar w:left="300" w:top="1075" w:right="299"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b w:val="1"/>
          <w:bCs w:val="1"/>
          <w:color w:val="auto"/>
        </w:rPr>
        <w:t>Events of Default, Notice and Waiver</w:t>
      </w:r>
    </w:p>
    <w:p>
      <w:pPr>
        <w:spacing w:after="0" w:line="92"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2"/>
          <w:szCs w:val="12"/>
          <w:color w:val="auto"/>
        </w:rPr>
        <w:t xml:space="preserve">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 accrued thereon;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the event of default is any of certain events of bankruptcy, insolvency or reorganization, all the debt securities, together with interest, if any, accrued thereon, will become immediately due and payable without further action or notice on the part of the trustee or the holders.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Under the indenture, an event of default with respect to the debt securities of any series is any one of the following events:</w:t>
      </w:r>
    </w:p>
    <w:p>
      <w:pPr>
        <w:spacing w:after="0" w:line="42" w:lineRule="exact"/>
        <w:rPr>
          <w:sz w:val="20"/>
          <w:szCs w:val="20"/>
          <w:color w:val="auto"/>
        </w:rPr>
      </w:pPr>
    </w:p>
    <w:p>
      <w:pPr>
        <w:ind w:left="1020" w:hanging="286"/>
        <w:spacing w:after="0"/>
        <w:tabs>
          <w:tab w:leader="none" w:pos="10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default for 30 days in payment when due of any interest due with respect to the debt securities of such series;</w:t>
      </w:r>
    </w:p>
    <w:p>
      <w:pPr>
        <w:spacing w:after="0" w:line="33" w:lineRule="exact"/>
        <w:rPr>
          <w:rFonts w:ascii="Arial" w:cs="Arial" w:eastAsia="Arial" w:hAnsi="Arial"/>
          <w:sz w:val="12"/>
          <w:szCs w:val="12"/>
          <w:color w:val="auto"/>
        </w:rPr>
      </w:pPr>
    </w:p>
    <w:p>
      <w:pPr>
        <w:ind w:left="1020" w:hanging="286"/>
        <w:spacing w:after="0"/>
        <w:tabs>
          <w:tab w:leader="none" w:pos="10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default in payment when due of principal of or of premium, if any, on the debt securities of such series;</w:t>
      </w:r>
    </w:p>
    <w:p>
      <w:pPr>
        <w:spacing w:after="0" w:line="33" w:lineRule="exact"/>
        <w:rPr>
          <w:rFonts w:ascii="Arial" w:cs="Arial" w:eastAsia="Arial" w:hAnsi="Arial"/>
          <w:sz w:val="12"/>
          <w:szCs w:val="12"/>
          <w:color w:val="auto"/>
        </w:rPr>
      </w:pPr>
    </w:p>
    <w:p>
      <w:pPr>
        <w:jc w:val="both"/>
        <w:ind w:left="1020" w:right="20" w:hanging="286"/>
        <w:spacing w:after="0" w:line="251" w:lineRule="auto"/>
        <w:tabs>
          <w:tab w:leader="none" w:pos="10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sole remedy of holders of the securities for an event of default relating to the failure to file any documents or reports that Honeywell is required to file with the SEC pursuant to Section 13 or 15(d) of the Securities Exchange Act of 1934, as amended, and for any failure to comply with the requirements of Section 314(a)(1) of the Trust Indenture Act of 1939, as amended, which we refer to as 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and that, on the 61st day after such event of default (if such event of default is not cured or waived prior to such 61st day), the securities will be subject to acceleration as provided in the indenture;</w:t>
      </w:r>
    </w:p>
    <w:p>
      <w:pPr>
        <w:spacing w:after="0" w:line="32" w:lineRule="exact"/>
        <w:rPr>
          <w:rFonts w:ascii="Arial" w:cs="Arial" w:eastAsia="Arial" w:hAnsi="Arial"/>
          <w:sz w:val="12"/>
          <w:szCs w:val="12"/>
          <w:color w:val="auto"/>
        </w:rPr>
      </w:pPr>
    </w:p>
    <w:p>
      <w:pPr>
        <w:ind w:left="1020" w:hanging="286"/>
        <w:spacing w:after="0"/>
        <w:tabs>
          <w:tab w:leader="none" w:pos="10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certain events of bankruptcy, insolvency and reorganization; and</w:t>
      </w:r>
    </w:p>
    <w:p>
      <w:pPr>
        <w:spacing w:after="0" w:line="33" w:lineRule="exact"/>
        <w:rPr>
          <w:rFonts w:ascii="Arial" w:cs="Arial" w:eastAsia="Arial" w:hAnsi="Arial"/>
          <w:sz w:val="12"/>
          <w:szCs w:val="12"/>
          <w:color w:val="auto"/>
        </w:rPr>
      </w:pPr>
    </w:p>
    <w:p>
      <w:pPr>
        <w:ind w:left="1020" w:hanging="286"/>
        <w:spacing w:after="0"/>
        <w:tabs>
          <w:tab w:leader="none" w:pos="10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any other event of default provided with respect to debt securities of that series.</w:t>
      </w:r>
    </w:p>
    <w:p>
      <w:pPr>
        <w:spacing w:after="0" w:line="87"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2"/>
          <w:szCs w:val="12"/>
          <w:color w:val="auto"/>
        </w:rPr>
        <w:t xml:space="preserve">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except in the case of default in the 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 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w:t>
      </w:r>
    </w:p>
    <w:p>
      <w:pPr>
        <w:sectPr>
          <w:pgSz w:w="11900" w:h="16838" w:orient="portrait"/>
          <w:cols w:equalWidth="0" w:num="1">
            <w:col w:w="11300"/>
          </w:cols>
          <w:pgMar w:left="300" w:top="1061" w:right="299" w:bottom="1440" w:gutter="0" w:footer="0" w:header="0"/>
        </w:sectPr>
      </w:pPr>
    </w:p>
    <w:bookmarkStart w:id="132" w:name="page133"/>
    <w:bookmarkEnd w:id="132"/>
    <w:p>
      <w:pPr>
        <w:jc w:val="both"/>
        <w:ind w:firstLine="228"/>
        <w:spacing w:after="0" w:line="254" w:lineRule="auto"/>
        <w:rPr>
          <w:sz w:val="20"/>
          <w:szCs w:val="20"/>
          <w:color w:val="auto"/>
        </w:rPr>
      </w:pPr>
      <w:r>
        <w:rPr>
          <w:rFonts w:ascii="Arial" w:cs="Arial" w:eastAsia="Arial" w:hAnsi="Arial"/>
          <w:sz w:val="12"/>
          <w:szCs w:val="12"/>
          <w:color w:val="auto"/>
        </w:rPr>
        <w:t>The indenture contains a provision entitling the trustee, subject to the duty of the trustee during the continuance of an event of default to act with the required standard of care, to be indemnified by the holders before proceeding to exercise any right or power under the indenture at the request of such holders. The indenture provides that the holders of a majority in outstanding principal amount of the debt securities of any series may, subject to certain exceptions, on behalf of the holders of debt securities of such series direct the time, method and place of conducting proceedings for remedies available to the trustee, or exercising any trust or power conferred on the trustee.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includes a covenant that we will file annually with the trustee a certificate of no default, or specifying any default that exists.</w:t>
      </w:r>
    </w:p>
    <w:p>
      <w:pPr>
        <w:spacing w:after="0" w:line="78"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2"/>
          <w:szCs w:val="12"/>
          <w:color w:val="auto"/>
        </w:rPr>
        <w:t>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 of such series or in respect of a provision which under the indenture cannot be modified or amended without the consent of the holder of each such debt security.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 holder of a debt security of any series has any right to institute any proceeding with respect to the indenture or the debt securities of any series or for any remedy thereunder unless:</w:t>
      </w:r>
    </w:p>
    <w:p>
      <w:pPr>
        <w:spacing w:after="0" w:line="78" w:lineRule="exact"/>
        <w:rPr>
          <w:sz w:val="20"/>
          <w:szCs w:val="20"/>
          <w:color w:val="auto"/>
        </w:rPr>
      </w:pPr>
    </w:p>
    <w:p>
      <w:pPr>
        <w:ind w:left="420" w:hanging="212"/>
        <w:spacing w:after="0"/>
        <w:tabs>
          <w:tab w:leader="none" w:pos="4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such holder shall have previously given to the trustee written notice of a continuing event of default;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holders of at least 25% in aggregate principal amount of the outstanding debt securities of such series have also made such a written request;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such holder or holders have provided indemnity satisfactory to the trustee to institute such proceeding as trustee;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trustee has not received from the holders of a majority in outstanding principal amount of the debt securities of such series a direction inconsistent with such request;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trustee has failed to institute such proceeding within 90 calendar days of such notice.</w:t>
      </w:r>
    </w:p>
    <w:p>
      <w:pPr>
        <w:spacing w:after="0" w:line="78" w:lineRule="exact"/>
        <w:rPr>
          <w:sz w:val="20"/>
          <w:szCs w:val="20"/>
          <w:color w:val="auto"/>
        </w:rPr>
      </w:pPr>
    </w:p>
    <w:p>
      <w:pPr>
        <w:ind w:firstLine="228"/>
        <w:spacing w:after="0" w:line="261" w:lineRule="auto"/>
        <w:rPr>
          <w:sz w:val="20"/>
          <w:szCs w:val="20"/>
          <w:color w:val="auto"/>
        </w:rPr>
      </w:pPr>
      <w:r>
        <w:rPr>
          <w:rFonts w:ascii="Arial" w:cs="Arial" w:eastAsia="Arial" w:hAnsi="Arial"/>
          <w:sz w:val="12"/>
          <w:szCs w:val="12"/>
          <w:color w:val="auto"/>
        </w:rPr>
        <w:t>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Waiver</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trustee and we may amend or supplement the indenture or the debt securities of any series without the consent of any holder, in order to:</w:t>
      </w:r>
    </w:p>
    <w:p>
      <w:pPr>
        <w:spacing w:after="0" w:line="78" w:lineRule="exact"/>
        <w:rPr>
          <w:sz w:val="20"/>
          <w:szCs w:val="20"/>
          <w:color w:val="auto"/>
        </w:rPr>
      </w:pPr>
    </w:p>
    <w:p>
      <w:pPr>
        <w:ind w:left="420" w:hanging="212"/>
        <w:spacing w:after="0"/>
        <w:tabs>
          <w:tab w:leader="none" w:pos="4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cure any ambiguity, defect or inconsistency;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provide for uncertificated debt securities in addition to or in place of certificated debt securities;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provide for the assumption of our obligations to the holders in the case of a merger or consolidation of us as permitted by the indenture;</w:t>
      </w:r>
    </w:p>
    <w:p>
      <w:pPr>
        <w:spacing w:after="0" w:line="78" w:lineRule="exact"/>
        <w:rPr>
          <w:rFonts w:ascii="Arial" w:cs="Arial" w:eastAsia="Arial" w:hAnsi="Arial"/>
          <w:sz w:val="12"/>
          <w:szCs w:val="12"/>
          <w:color w:val="auto"/>
        </w:rPr>
      </w:pPr>
    </w:p>
    <w:p>
      <w:pPr>
        <w:ind w:left="420" w:right="20" w:hanging="212"/>
        <w:spacing w:after="0" w:line="261" w:lineRule="auto"/>
        <w:tabs>
          <w:tab w:leader="none" w:pos="417" w:val="left"/>
        </w:tabs>
        <w:numPr>
          <w:ilvl w:val="0"/>
          <w:numId w:val="129"/>
        </w:numPr>
        <w:rPr>
          <w:rFonts w:ascii="Arial" w:cs="Arial" w:eastAsia="Arial" w:hAnsi="Arial"/>
          <w:sz w:val="12"/>
          <w:szCs w:val="12"/>
          <w:color w:val="auto"/>
        </w:rPr>
      </w:pPr>
      <w:r>
        <w:rPr>
          <w:rFonts w:ascii="Arial" w:cs="Arial" w:eastAsia="Arial" w:hAnsi="Arial"/>
          <w:sz w:val="12"/>
          <w:szCs w:val="12"/>
          <w:color w:val="auto"/>
        </w:rPr>
        <w:t>evidence and provide for the acceptance of appointment by a successor trustee and to add to or change any of the provisions of the indenture as are necessary to provide for or facilitate the administration of the trusts by more than one trustee;</w:t>
      </w:r>
    </w:p>
    <w:p>
      <w:pPr>
        <w:spacing w:after="0" w:line="59" w:lineRule="exact"/>
        <w:rPr>
          <w:rFonts w:ascii="Arial" w:cs="Arial" w:eastAsia="Arial" w:hAnsi="Arial"/>
          <w:sz w:val="12"/>
          <w:szCs w:val="12"/>
          <w:color w:val="auto"/>
        </w:rPr>
      </w:pPr>
    </w:p>
    <w:p>
      <w:pPr>
        <w:ind w:left="420" w:hanging="212"/>
        <w:spacing w:after="0"/>
        <w:tabs>
          <w:tab w:leader="none" w:pos="4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make any change that would provide any additional rights or benefits to the holders of all or any series of debt securities and that does not adversely affect any such holder;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comply with SEC requirements in order to effect or maintain the qualification of the indenture under the Trust Indenture Act.</w:t>
      </w:r>
    </w:p>
    <w:p>
      <w:pPr>
        <w:sectPr>
          <w:pgSz w:w="11900" w:h="16838" w:orient="portrait"/>
          <w:cols w:equalWidth="0" w:num="1">
            <w:col w:w="11300"/>
          </w:cols>
          <w:pgMar w:left="300" w:top="1075" w:right="299" w:bottom="1440" w:gutter="0" w:footer="0" w:header="0"/>
        </w:sectPr>
      </w:pPr>
    </w:p>
    <w:bookmarkStart w:id="133" w:name="page134"/>
    <w:bookmarkEnd w:id="133"/>
    <w:p>
      <w:pPr>
        <w:ind w:firstLine="228"/>
        <w:spacing w:after="0" w:line="261" w:lineRule="auto"/>
        <w:rPr>
          <w:sz w:val="20"/>
          <w:szCs w:val="20"/>
          <w:color w:val="auto"/>
        </w:rPr>
      </w:pPr>
      <w:r>
        <w:rPr>
          <w:rFonts w:ascii="Arial" w:cs="Arial" w:eastAsia="Arial" w:hAnsi="Arial"/>
          <w:sz w:val="12"/>
          <w:szCs w:val="12"/>
          <w:color w:val="auto"/>
        </w:rPr>
        <w:t>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w:t>
      </w:r>
    </w:p>
    <w:p>
      <w:pPr>
        <w:spacing w:after="0" w:line="60" w:lineRule="exact"/>
        <w:rPr>
          <w:sz w:val="20"/>
          <w:szCs w:val="20"/>
          <w:color w:val="auto"/>
        </w:rPr>
      </w:pPr>
    </w:p>
    <w:p>
      <w:pPr>
        <w:ind w:left="420" w:hanging="212"/>
        <w:spacing w:after="0"/>
        <w:tabs>
          <w:tab w:leader="none" w:pos="4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change the stated maturity of, or time for payment of interest on, any debt security;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reduce the principal amount of, or the rate of interest or the premium, payable upon the redemption of, if any, on any debt security;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change the place or currency of payment of principal of, or interest or premium, if any, on any debt security;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impair the right to institute suit for the enforcement of any payment on or with respect to such debt securities on or after the stated maturity or prepayment date thereof;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reduce the percentage in principal amount of debt securities of any series where holders must consent to an amendment, supplement or waiver.</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Defeasance</w:t>
      </w:r>
    </w:p>
    <w:p>
      <w:pPr>
        <w:spacing w:after="0" w:line="92" w:lineRule="exact"/>
        <w:rPr>
          <w:sz w:val="20"/>
          <w:szCs w:val="20"/>
          <w:color w:val="auto"/>
        </w:rPr>
      </w:pPr>
    </w:p>
    <w:p>
      <w:pPr>
        <w:jc w:val="both"/>
        <w:ind w:firstLine="228"/>
        <w:spacing w:after="0" w:line="252" w:lineRule="auto"/>
        <w:rPr>
          <w:sz w:val="20"/>
          <w:szCs w:val="20"/>
          <w:color w:val="auto"/>
        </w:rPr>
      </w:pPr>
      <w:r>
        <w:rPr>
          <w:rFonts w:ascii="Arial" w:cs="Arial" w:eastAsia="Arial" w:hAnsi="Arial"/>
          <w:sz w:val="12"/>
          <w:szCs w:val="12"/>
          <w:color w:val="auto"/>
        </w:rPr>
        <w:t>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such debt securities), upon the 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 premium, if any.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w:t>
      </w:r>
    </w:p>
    <w:p>
      <w:pPr>
        <w:spacing w:after="0" w:line="66" w:lineRule="exact"/>
        <w:rPr>
          <w:sz w:val="20"/>
          <w:szCs w:val="20"/>
          <w:color w:val="auto"/>
        </w:rPr>
      </w:pPr>
    </w:p>
    <w:p>
      <w:pPr>
        <w:jc w:val="both"/>
        <w:ind w:firstLine="228"/>
        <w:spacing w:after="0" w:line="252" w:lineRule="auto"/>
        <w:rPr>
          <w:sz w:val="20"/>
          <w:szCs w:val="20"/>
          <w:color w:val="auto"/>
        </w:rPr>
      </w:pPr>
      <w:r>
        <w:rPr>
          <w:rFonts w:ascii="Arial" w:cs="Arial" w:eastAsia="Arial" w:hAnsi="Arial"/>
          <w:sz w:val="12"/>
          <w:szCs w:val="12"/>
          <w:color w:val="auto"/>
        </w:rPr>
        <w:t>We may also omit to comply with the restrictive covenants, if any, of any particular series of debt securities, other than our covenant to pay the amounts due and owing with respect to such series of debt securities. Thereafter, any such omission shall not be an event of default with respect to the debt securities of such series, upon the deposit with the trustee, in trust, of money and/or U.S. government securities which through the payment of interest and principal in respect thereof in accordance with their terms provides money in an amount sufficient to pay any installment of principal of (and premium, if any) and interest, if any, in respect of debt securities of such series on the stated maturity date of such principal or installment of principal, or interest or premium, if any. Our obligations under the indenture and the debt 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67"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2"/>
          <w:szCs w:val="12"/>
          <w:color w:val="auto"/>
        </w:rPr>
        <w:t>In the event we exercise our option to omit compliance with certain covenants as described in the preceding paragraph and the debt securities of such series are declared due and payable because of the occurrence of any event of default, then the amount of monies and U.S. government securities on deposit with the trustee will be sufficient to pay amounts due on the debt securities of such series at the time of the acceleration resulting from such event of default. We remain liable in any event for such payments as provided in the debt securities of such series.</w:t>
      </w:r>
    </w:p>
    <w:p>
      <w:pPr>
        <w:sectPr>
          <w:pgSz w:w="11900" w:h="16838" w:orient="portrait"/>
          <w:cols w:equalWidth="0" w:num="1">
            <w:col w:w="11300"/>
          </w:cols>
          <w:pgMar w:left="300" w:top="1075" w:right="299" w:bottom="1440" w:gutter="0" w:footer="0" w:header="0"/>
        </w:sectPr>
      </w:pPr>
    </w:p>
    <w:bookmarkStart w:id="134" w:name="page135"/>
    <w:bookmarkEnd w:id="134"/>
    <w:p>
      <w:pPr>
        <w:spacing w:after="0"/>
        <w:rPr>
          <w:sz w:val="20"/>
          <w:szCs w:val="20"/>
          <w:color w:val="auto"/>
        </w:rPr>
      </w:pPr>
      <w:r>
        <w:rPr>
          <w:rFonts w:ascii="Arial" w:cs="Arial" w:eastAsia="Arial" w:hAnsi="Arial"/>
          <w:sz w:val="12"/>
          <w:szCs w:val="12"/>
          <w:b w:val="1"/>
          <w:bCs w:val="1"/>
          <w:color w:val="auto"/>
        </w:rPr>
        <w:t>Satisfaction and Discharge</w:t>
      </w:r>
    </w:p>
    <w:p>
      <w:pPr>
        <w:spacing w:after="0" w:line="92" w:lineRule="exact"/>
        <w:rPr>
          <w:sz w:val="20"/>
          <w:szCs w:val="20"/>
          <w:color w:val="auto"/>
        </w:rPr>
      </w:pPr>
    </w:p>
    <w:p>
      <w:pPr>
        <w:ind w:firstLine="228"/>
        <w:spacing w:after="0" w:line="261" w:lineRule="auto"/>
        <w:rPr>
          <w:sz w:val="20"/>
          <w:szCs w:val="20"/>
          <w:color w:val="auto"/>
        </w:rPr>
      </w:pPr>
      <w:r>
        <w:rPr>
          <w:rFonts w:ascii="Arial" w:cs="Arial" w:eastAsia="Arial" w:hAnsi="Arial"/>
          <w:sz w:val="12"/>
          <w:szCs w:val="12"/>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60" w:lineRule="exact"/>
        <w:rPr>
          <w:sz w:val="20"/>
          <w:szCs w:val="20"/>
          <w:color w:val="auto"/>
        </w:rPr>
      </w:pPr>
    </w:p>
    <w:p>
      <w:pPr>
        <w:jc w:val="both"/>
        <w:ind w:left="420" w:hanging="212"/>
        <w:spacing w:after="0" w:line="254" w:lineRule="auto"/>
        <w:tabs>
          <w:tab w:leader="none" w:pos="417" w:val="left"/>
        </w:tabs>
        <w:numPr>
          <w:ilvl w:val="0"/>
          <w:numId w:val="131"/>
        </w:numPr>
        <w:rPr>
          <w:rFonts w:ascii="Arial" w:cs="Arial" w:eastAsia="Arial" w:hAnsi="Arial"/>
          <w:sz w:val="12"/>
          <w:szCs w:val="12"/>
          <w:color w:val="auto"/>
        </w:rPr>
      </w:pPr>
      <w:r>
        <w:rPr>
          <w:rFonts w:ascii="Arial" w:cs="Arial" w:eastAsia="Arial" w:hAnsi="Arial"/>
          <w:sz w:val="12"/>
          <w:szCs w:val="12"/>
          <w:color w:val="auto"/>
        </w:rPr>
        <w:t>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w:t>
      </w:r>
    </w:p>
    <w:p>
      <w:pPr>
        <w:spacing w:after="0" w:line="63" w:lineRule="exact"/>
        <w:rPr>
          <w:rFonts w:ascii="Arial" w:cs="Arial" w:eastAsia="Arial" w:hAnsi="Arial"/>
          <w:sz w:val="12"/>
          <w:szCs w:val="12"/>
          <w:color w:val="auto"/>
        </w:rPr>
      </w:pPr>
    </w:p>
    <w:p>
      <w:pPr>
        <w:ind w:left="420" w:hanging="212"/>
        <w:spacing w:after="0"/>
        <w:tabs>
          <w:tab w:leader="none" w:pos="4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we have paid or caused to be paid all other sums payable under the indenture with respect to the debt securities of such series by us; and</w:t>
      </w:r>
    </w:p>
    <w:p>
      <w:pPr>
        <w:spacing w:after="0" w:line="78" w:lineRule="exact"/>
        <w:rPr>
          <w:rFonts w:ascii="Arial" w:cs="Arial" w:eastAsia="Arial" w:hAnsi="Arial"/>
          <w:sz w:val="12"/>
          <w:szCs w:val="12"/>
          <w:color w:val="auto"/>
        </w:rPr>
      </w:pPr>
    </w:p>
    <w:p>
      <w:pPr>
        <w:ind w:left="420" w:right="20" w:hanging="212"/>
        <w:spacing w:after="0" w:line="261" w:lineRule="auto"/>
        <w:tabs>
          <w:tab w:leader="none" w:pos="417" w:val="left"/>
        </w:tabs>
        <w:numPr>
          <w:ilvl w:val="0"/>
          <w:numId w:val="131"/>
        </w:numPr>
        <w:rPr>
          <w:rFonts w:ascii="Arial" w:cs="Arial" w:eastAsia="Arial" w:hAnsi="Arial"/>
          <w:sz w:val="12"/>
          <w:szCs w:val="12"/>
          <w:color w:val="auto"/>
        </w:rPr>
      </w:pPr>
      <w:r>
        <w:rPr>
          <w:rFonts w:ascii="Arial" w:cs="Arial" w:eastAsia="Arial" w:hAnsi="Arial"/>
          <w:sz w:val="12"/>
          <w:szCs w:val="12"/>
          <w:color w:val="auto"/>
        </w:rPr>
        <w:t>we have delivered to the trustee an officers’ certificate and an opinion of counsel, each to the effect that all conditions precedent relating to the satisfaction and discharge of the indenture as to such series have been satisfied.</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on the Debt Securities</w:t>
      </w:r>
    </w:p>
    <w:p>
      <w:pPr>
        <w:spacing w:after="0" w:line="92" w:lineRule="exact"/>
        <w:rPr>
          <w:sz w:val="20"/>
          <w:szCs w:val="20"/>
          <w:color w:val="auto"/>
        </w:rPr>
      </w:pPr>
    </w:p>
    <w:p>
      <w:pPr>
        <w:jc w:val="both"/>
        <w:ind w:firstLine="228"/>
        <w:spacing w:after="0" w:line="252" w:lineRule="auto"/>
        <w:rPr>
          <w:sz w:val="20"/>
          <w:szCs w:val="20"/>
          <w:color w:val="auto"/>
        </w:rPr>
      </w:pPr>
      <w:r>
        <w:rPr>
          <w:rFonts w:ascii="Arial" w:cs="Arial" w:eastAsia="Arial" w:hAnsi="Arial"/>
          <w:sz w:val="12"/>
          <w:szCs w:val="12"/>
          <w:color w:val="auto"/>
        </w:rPr>
        <w:t xml:space="preserve">All payments on the debt securities are payable in euros; provided that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debt securities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on or prior to the second business day prior to the relevant payment date. Any payment in respect of the debt securities so made in U.S. dollars does not constitute an event of default under the debt securities or the indenture. Neither the trustee nor the paying agent will have any responsibility for any calculation or conversion in connection with the foregoing.</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Ranking</w:t>
      </w:r>
    </w:p>
    <w:p>
      <w:pPr>
        <w:spacing w:after="0" w:line="92" w:lineRule="exact"/>
        <w:rPr>
          <w:sz w:val="20"/>
          <w:szCs w:val="20"/>
          <w:color w:val="auto"/>
        </w:rPr>
      </w:pPr>
    </w:p>
    <w:p>
      <w:pPr>
        <w:jc w:val="both"/>
        <w:ind w:right="20" w:firstLine="228"/>
        <w:spacing w:after="0" w:line="261" w:lineRule="auto"/>
        <w:rPr>
          <w:sz w:val="20"/>
          <w:szCs w:val="20"/>
          <w:color w:val="auto"/>
        </w:rPr>
      </w:pPr>
      <w:r>
        <w:rPr>
          <w:rFonts w:ascii="Arial" w:cs="Arial" w:eastAsia="Arial" w:hAnsi="Arial"/>
          <w:sz w:val="12"/>
          <w:szCs w:val="12"/>
          <w:color w:val="auto"/>
        </w:rPr>
        <w:t>The debt securities are our senior unsecured and unsubordinated debt obligations and rank equally among themselves and with all of our other existing and future senior unsecured indebtedness and senior to all of our subordinated debt.</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2023 notes and the 2028 notes began bearing interest as of February 22, 2016, and the 2024 notes and the 2032 notes began bearing interest from March 10, 2020.</w:t>
      </w:r>
    </w:p>
    <w:p>
      <w:pPr>
        <w:sectPr>
          <w:pgSz w:w="11900" w:h="16838" w:orient="portrait"/>
          <w:cols w:equalWidth="0" w:num="1">
            <w:col w:w="11300"/>
          </w:cols>
          <w:pgMar w:left="300" w:top="1061" w:right="299"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i w:val="1"/>
          <w:iCs w:val="1"/>
          <w:color w:val="auto"/>
        </w:rPr>
        <w:t>Fixed Rate Notes</w:t>
      </w:r>
    </w:p>
    <w:p>
      <w:pPr>
        <w:spacing w:after="0" w:line="90" w:lineRule="exact"/>
        <w:rPr>
          <w:sz w:val="20"/>
          <w:szCs w:val="20"/>
          <w:color w:val="auto"/>
        </w:rPr>
      </w:pPr>
    </w:p>
    <w:p>
      <w:pPr>
        <w:jc w:val="both"/>
        <w:ind w:firstLine="228"/>
        <w:spacing w:after="0" w:line="252" w:lineRule="auto"/>
        <w:rPr>
          <w:sz w:val="20"/>
          <w:szCs w:val="20"/>
          <w:color w:val="auto"/>
        </w:rPr>
      </w:pPr>
      <w:r>
        <w:rPr>
          <w:rFonts w:ascii="Arial" w:cs="Arial" w:eastAsia="Arial" w:hAnsi="Arial"/>
          <w:sz w:val="12"/>
          <w:szCs w:val="12"/>
          <w:color w:val="auto"/>
        </w:rPr>
        <w:t>The 2023 notes bear interest at a fixed rate of 1.300% per annum, the 2024 notes bear interest at a fixed rate of 0.000% per annum, the 2028 notes bear interest at a fixed rate of 2.250% per annum, and the 2032 notes bear interest at a fixed rate of 0.750% per annum. Interest on the 2023 notes and the 2028 notes accrues from February 22, 2016, or from the most recent date to which interest has been paid or provided for, and interest on the 2024 notes and the 2032 notes accrues from March 10, 2020, or from the most recent date to which interest has been paid or provided for, in each case payable annually in arrears on February 22 of each year with respect to the 2023 notes and the 2028 notes and on March 10 of each year with respect to the 2024 notes and the 2032 notes (each a “debt securities interest payment date”), commencing February 22, 2017 with respect to the 2023 notes and the 2028 notes and March 10, 2021 with respect to the 2024 notes and the 2032 notes to holders of record at the close of business on the 15th calendar day (whether or not a business day) immediately preceding the interest payment date or, if the debt securities are represented by one or more global notes, the close of business on the business day (for this purpose a day on which Clearstream and Euroclear are open for business) immediately preceding the debt securities interest payment date; provided, however, that interest payable on the maturity date of the debt securities or any redemption date of the debt securities shall be payable to the person to whom the principal of such debt securities shall be payable.</w:t>
      </w:r>
    </w:p>
    <w:p>
      <w:pPr>
        <w:spacing w:after="0" w:line="65" w:lineRule="exact"/>
        <w:rPr>
          <w:sz w:val="20"/>
          <w:szCs w:val="20"/>
          <w:color w:val="auto"/>
        </w:rPr>
      </w:pPr>
    </w:p>
    <w:p>
      <w:pPr>
        <w:jc w:val="both"/>
        <w:ind w:firstLine="228"/>
        <w:spacing w:after="0" w:line="252" w:lineRule="auto"/>
        <w:rPr>
          <w:sz w:val="20"/>
          <w:szCs w:val="20"/>
          <w:color w:val="auto"/>
        </w:rPr>
      </w:pPr>
      <w:r>
        <w:rPr>
          <w:rFonts w:ascii="Arial" w:cs="Arial" w:eastAsia="Arial" w:hAnsi="Arial"/>
          <w:sz w:val="12"/>
          <w:szCs w:val="12"/>
          <w:color w:val="auto"/>
        </w:rPr>
        <w:t>Interest payable on the debt securities on any debt securities interest payment date, redemption date or maturity date is the amount of interest accrued from, and including, the next preceding debt securities interest payment date in respect of which interest has been paid or duly provided for to, but excluding, such debt securities interest payment date, redemption date or maturity date, as the case may be. This payment convention is referred to as ACTUAL/ACTUAL (ICMA) as defined in the rulebook of the International Capital Markets Association. If any debt securities interest payment date falls on a day that is not a business day, the interest payment will be made on the next succeeding day that is a business day, but no additional interest will accrue as a result of the delay in payment. If the maturity date or the redemption date of the debt securities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debt securities to receive the payments of interest on such notes are subject to the applicable procedures of Euroclear and Clearstream.</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Optional Redemption of the Debt Securities</w:t>
      </w:r>
    </w:p>
    <w:p>
      <w:pPr>
        <w:spacing w:after="0" w:line="92" w:lineRule="exact"/>
        <w:rPr>
          <w:sz w:val="20"/>
          <w:szCs w:val="20"/>
          <w:color w:val="auto"/>
        </w:rPr>
      </w:pPr>
    </w:p>
    <w:p>
      <w:pPr>
        <w:jc w:val="both"/>
        <w:ind w:firstLine="228"/>
        <w:spacing w:after="0" w:line="252" w:lineRule="auto"/>
        <w:rPr>
          <w:sz w:val="20"/>
          <w:szCs w:val="20"/>
          <w:color w:val="auto"/>
        </w:rPr>
      </w:pPr>
      <w:r>
        <w:rPr>
          <w:rFonts w:ascii="Arial" w:cs="Arial" w:eastAsia="Arial" w:hAnsi="Arial"/>
          <w:sz w:val="12"/>
          <w:szCs w:val="12"/>
          <w:color w:val="auto"/>
        </w:rPr>
        <w:t>The 2023 notes and the 2028 notes are redeemable, in whole or in part, at any time and from time to time at our option, the 2024 notes are redeemable at our option, in whole or in part, at any time prior to February 10, 2024, and the 2032 notes are redeemable at our option, in whole or in part, at any time prior to December 10, 2031, at a redemption price equal to the greater of (i) 100% of the principal amount of the notes to be redeemed and (ii) the sum of the present values of the remaining scheduled payments of principal and interest on the fixed rate notes to be redeemed (exclusive of interest accrued to the date of redemption), discounted to the redemption date on an annual basis (ACTUAL/ACTUAL (ICMA)), at the applicable Comparable Government Bond Rate described below plus 25 basis points for the 2023 notes, plus 15 basis points for the 2024 notes, plus 30 basis points for the 2028 notes, and plus 25 basis points for the 2032 notes, plus, in each case, accrued and unpaid interest on the principal amount of the fixed rate notes to be redeemed to the date of redemption. We will calculate the redemption price.</w:t>
      </w:r>
    </w:p>
    <w:p>
      <w:pPr>
        <w:spacing w:after="0" w:line="67" w:lineRule="exact"/>
        <w:rPr>
          <w:sz w:val="20"/>
          <w:szCs w:val="20"/>
          <w:color w:val="auto"/>
        </w:rPr>
      </w:pPr>
    </w:p>
    <w:p>
      <w:pPr>
        <w:jc w:val="both"/>
        <w:ind w:right="20" w:firstLine="228"/>
        <w:spacing w:after="0" w:line="256" w:lineRule="auto"/>
        <w:rPr>
          <w:sz w:val="20"/>
          <w:szCs w:val="20"/>
          <w:color w:val="auto"/>
        </w:rPr>
      </w:pPr>
      <w:r>
        <w:rPr>
          <w:rFonts w:ascii="Arial" w:cs="Arial" w:eastAsia="Arial" w:hAnsi="Arial"/>
          <w:sz w:val="12"/>
          <w:szCs w:val="12"/>
          <w:color w:val="auto"/>
        </w:rPr>
        <w:t>At any time on or after February 10, 2024 with respect to the 2024 notes and at any time on or after December 10, 2031 with respect to the 2032 notes, we may redeem the notes, in whole or in part, at a redemption price equal to 100% of the principal amount of such notes of such series being redeemed, plus accrued and unpaid interest on the principal amount of such notes of such series to be redeemed to the date of redemption.</w:t>
      </w:r>
    </w:p>
    <w:p>
      <w:pPr>
        <w:spacing w:after="0" w:line="62" w:lineRule="exact"/>
        <w:rPr>
          <w:sz w:val="20"/>
          <w:szCs w:val="20"/>
          <w:color w:val="auto"/>
        </w:rPr>
      </w:pPr>
    </w:p>
    <w:p>
      <w:pPr>
        <w:jc w:val="both"/>
        <w:ind w:firstLine="228"/>
        <w:spacing w:after="0" w:line="261" w:lineRule="auto"/>
        <w:rPr>
          <w:sz w:val="20"/>
          <w:szCs w:val="20"/>
          <w:color w:val="auto"/>
        </w:rPr>
      </w:pPr>
      <w:r>
        <w:rPr>
          <w:rFonts w:ascii="Arial" w:cs="Arial" w:eastAsia="Arial" w:hAnsi="Arial"/>
          <w:sz w:val="12"/>
          <w:szCs w:val="12"/>
          <w:color w:val="auto"/>
        </w:rPr>
        <w:t>“Comparable Government Bond Rate” means, with respect to any redemption date, the rate per annum equal to the yield to maturity, expressed as a percentage (rounded to three decimal places, with 0.0005 being rounded upwards), on the third business day prior to the date fixed for redemption,</w:t>
      </w:r>
    </w:p>
    <w:p>
      <w:pPr>
        <w:sectPr>
          <w:pgSz w:w="11900" w:h="16838" w:orient="portrait"/>
          <w:cols w:equalWidth="0" w:num="1">
            <w:col w:w="11300"/>
          </w:cols>
          <w:pgMar w:left="300" w:top="1063" w:right="299" w:bottom="1440" w:gutter="0" w:footer="0" w:header="0"/>
        </w:sectPr>
      </w:pPr>
    </w:p>
    <w:bookmarkStart w:id="136" w:name="page137"/>
    <w:bookmarkEnd w:id="136"/>
    <w:p>
      <w:pPr>
        <w:jc w:val="both"/>
        <w:spacing w:after="0" w:line="256" w:lineRule="auto"/>
        <w:rPr>
          <w:sz w:val="20"/>
          <w:szCs w:val="20"/>
          <w:color w:val="auto"/>
        </w:rPr>
      </w:pPr>
      <w:r>
        <w:rPr>
          <w:rFonts w:ascii="Arial" w:cs="Arial" w:eastAsia="Arial" w:hAnsi="Arial"/>
          <w:sz w:val="12"/>
          <w:szCs w:val="12"/>
          <w:color w:val="auto"/>
        </w:rPr>
        <w:t>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for such redemption date.</w:t>
      </w:r>
    </w:p>
    <w:p>
      <w:pPr>
        <w:spacing w:after="0" w:line="62"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2"/>
          <w:szCs w:val="12"/>
          <w:color w:val="auto"/>
        </w:rPr>
        <w:t>“Comparable Government Bond” means, in relation to any Comparable Government Bond Rate calculation, the German government bond (Bundesanleihe) selected by an Independent Investment Banker as having an actual or interpolated maturity comparable to the remaining term of the fixed rate notes to be redeemed that would be utilized, at the time of selection and in accordance with customary financial practice, in pricing new issues of euro-denominated corporate debt securities of a comparable maturity to the remaining term of such fixed rate notes.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“Independent Investment Banker” means one of the Reference Government Bond Dealers selected by us.</w:t>
      </w:r>
    </w:p>
    <w:p>
      <w:pPr>
        <w:spacing w:after="0" w:line="78" w:lineRule="exact"/>
        <w:rPr>
          <w:sz w:val="20"/>
          <w:szCs w:val="20"/>
          <w:color w:val="auto"/>
        </w:rPr>
      </w:pPr>
    </w:p>
    <w:p>
      <w:pPr>
        <w:jc w:val="both"/>
        <w:ind w:firstLine="228"/>
        <w:spacing w:after="0" w:line="261" w:lineRule="auto"/>
        <w:rPr>
          <w:sz w:val="20"/>
          <w:szCs w:val="20"/>
          <w:color w:val="auto"/>
        </w:rPr>
      </w:pPr>
      <w:r>
        <w:rPr>
          <w:rFonts w:ascii="Arial" w:cs="Arial" w:eastAsia="Arial" w:hAnsi="Arial"/>
          <w:sz w:val="12"/>
          <w:szCs w:val="12"/>
          <w:color w:val="auto"/>
        </w:rPr>
        <w:t>“Comparable Government Bond Price” means, with respect to any redemption date, (1) the arithmetic average of the Reference Government Bond Dealer Quotations for such redemption date, after excluding the highest and lowest such Reference Government Bond Dealer Quotations, or (2) if we obtain fewer than four such Reference Government Bond Dealer Quotations, the arithmetic average of all such quotations.</w:t>
      </w:r>
    </w:p>
    <w:p>
      <w:pPr>
        <w:spacing w:after="0" w:line="60" w:lineRule="exact"/>
        <w:rPr>
          <w:sz w:val="20"/>
          <w:szCs w:val="20"/>
          <w:color w:val="auto"/>
        </w:rPr>
      </w:pPr>
    </w:p>
    <w:p>
      <w:pPr>
        <w:jc w:val="both"/>
        <w:ind w:firstLine="228"/>
        <w:spacing w:after="0" w:line="284" w:lineRule="auto"/>
        <w:rPr>
          <w:sz w:val="20"/>
          <w:szCs w:val="20"/>
          <w:color w:val="auto"/>
        </w:rPr>
      </w:pPr>
      <w:r>
        <w:rPr>
          <w:rFonts w:ascii="Arial" w:cs="Arial" w:eastAsia="Arial" w:hAnsi="Arial"/>
          <w:sz w:val="11"/>
          <w:szCs w:val="11"/>
          <w:color w:val="auto"/>
        </w:rPr>
        <w:t>“Reference Government Bond Dealer” means each of (i) with respect to the 2023 notes and the 2028 notes, Barclays Bank PLC, Citigroup Global Markets Limited, Goldman, Sachs &amp; Co. and Merrill Lynch International or any of their affiliates that are primary European government securities dealers, and their respective successors, and with respect to the 2024 notes and the 2032 notes, Barclays Bank PLC, BNP Paribas, Goldman, Sachs &amp; Co. LLC and UniCredit Bank AG or any of their affiliates that are primary European government securities dealers, and their respective successors; provided that if any of the foregoing or any of their affiliates shall cease to be a primary European government securities dealer (“Primary Dealer”), we shall substitute therefor another Primary Dealer and (ii) three other Primary Dealers selected by us.</w:t>
      </w:r>
    </w:p>
    <w:p>
      <w:pPr>
        <w:spacing w:after="0" w:line="49"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2"/>
          <w:szCs w:val="12"/>
          <w:color w:val="auto"/>
        </w:rPr>
        <w:t>“Reference Government Bond Dealer Quotations” means, with respect to each Reference Government Bond Dealer and any redemption date, the arithmetic average, as determined by us, of the bid and asked prices for the Comparable Government Bond (expressed in each case as a percentage of its principal amount) quoted in writing to us by such Reference Government Bond Dealer at 11:00 a.m., Brussels time, on the third business day preceding such redemption date.</w:t>
      </w:r>
    </w:p>
    <w:p>
      <w:pPr>
        <w:spacing w:after="0" w:line="62"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2"/>
          <w:szCs w:val="12"/>
          <w:color w:val="auto"/>
        </w:rPr>
        <w:t>With respect to the 2023 notes and the 2028 notes, notice of any redemption will be mailed at least 30 days but not more than 60 days before the redemption date to each holder of fixed rate notes of such series to be redeemed. With respect to the 2024 notes and the 2032 notes, notice of any redemption will be mailed at least 10 days but not more than 60 days before the redemption date to each holder of fixed rate notes of such series to be redeemed. If we elect to redeem fewer than all the fixed rate notes of such series, the trustee will select the particular fixed rate notes of such series to be redeemed by such method that the trustee deems fair and appropriate; provided that if the fixed rate notes of such series are represented by one or more global securities, beneficial interests therein will be selected for redemption by Clearstream and Euroclear in accordance with their respective applicable procedures therefor; and provided, further, that no fixed rate notes of a principal amount of €100,000 or less will be redeemed in part.</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Unless we default in payment of the redemption price, on and after the redemption date interest will cease to accrue on the fixed rate notes or portions thereof called for redemption.</w:t>
      </w:r>
    </w:p>
    <w:p>
      <w:pPr>
        <w:spacing w:after="0" w:line="78" w:lineRule="exact"/>
        <w:rPr>
          <w:sz w:val="20"/>
          <w:szCs w:val="20"/>
          <w:color w:val="auto"/>
        </w:rPr>
      </w:pPr>
    </w:p>
    <w:p>
      <w:pPr>
        <w:jc w:val="both"/>
        <w:ind w:right="20" w:firstLine="228"/>
        <w:spacing w:after="0" w:line="261" w:lineRule="auto"/>
        <w:rPr>
          <w:sz w:val="20"/>
          <w:szCs w:val="20"/>
          <w:color w:val="auto"/>
        </w:rPr>
      </w:pPr>
      <w:r>
        <w:rPr>
          <w:rFonts w:ascii="Arial" w:cs="Arial" w:eastAsia="Arial" w:hAnsi="Arial"/>
          <w:sz w:val="12"/>
          <w:szCs w:val="12"/>
          <w:color w:val="auto"/>
        </w:rPr>
        <w:t>The debt securities are also subject to redemption prior to maturity if certain changes in U.S. tax law occur. If such changes occur, the debt securities may be redeemed at a redemption price of 100% of their principal amount plus accrued and unpaid interest to the date of redemption. See “Redemption for Tax Reasons.”</w:t>
      </w:r>
    </w:p>
    <w:p>
      <w:pPr>
        <w:sectPr>
          <w:pgSz w:w="11900" w:h="16838" w:orient="portrait"/>
          <w:cols w:equalWidth="0" w:num="1">
            <w:col w:w="11300"/>
          </w:cols>
          <w:pgMar w:left="300" w:top="1075" w:right="299" w:bottom="1440" w:gutter="0" w:footer="0" w:header="0"/>
        </w:sectPr>
      </w:pPr>
    </w:p>
    <w:bookmarkStart w:id="137" w:name="page138"/>
    <w:bookmarkEnd w:id="137"/>
    <w:p>
      <w:pPr>
        <w:spacing w:after="0"/>
        <w:rPr>
          <w:sz w:val="20"/>
          <w:szCs w:val="20"/>
          <w:color w:val="auto"/>
        </w:rPr>
      </w:pPr>
      <w:r>
        <w:rPr>
          <w:rFonts w:ascii="Arial" w:cs="Arial" w:eastAsia="Arial" w:hAnsi="Arial"/>
          <w:sz w:val="12"/>
          <w:szCs w:val="12"/>
          <w:b w:val="1"/>
          <w:bCs w:val="1"/>
          <w:color w:val="auto"/>
        </w:rPr>
        <w:t>Payment of Additional Amounts</w:t>
      </w:r>
    </w:p>
    <w:p>
      <w:pPr>
        <w:spacing w:after="0" w:line="92" w:lineRule="exact"/>
        <w:rPr>
          <w:sz w:val="20"/>
          <w:szCs w:val="20"/>
          <w:color w:val="auto"/>
        </w:rPr>
      </w:pPr>
    </w:p>
    <w:p>
      <w:pPr>
        <w:jc w:val="both"/>
        <w:ind w:right="60" w:firstLine="228"/>
        <w:spacing w:after="0" w:line="254" w:lineRule="auto"/>
        <w:rPr>
          <w:sz w:val="20"/>
          <w:szCs w:val="20"/>
          <w:color w:val="auto"/>
        </w:rPr>
      </w:pPr>
      <w:r>
        <w:rPr>
          <w:rFonts w:ascii="Arial" w:cs="Arial" w:eastAsia="Arial" w:hAnsi="Arial"/>
          <w:sz w:val="12"/>
          <w:szCs w:val="12"/>
          <w:color w:val="auto"/>
        </w:rPr>
        <w:t>We will, subject to the exceptions and limitations set forth below, pay as additional interest on the debt securities such additional amounts as are necessary in order that the net payment by us or a paying agent of the principal, premium and interest with respect to the debt securities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debt securities to be then due and payable; provided, however, that the foregoing obligation to pay additional amounts will not apply:</w:t>
      </w:r>
    </w:p>
    <w:p>
      <w:pPr>
        <w:spacing w:after="0" w:line="334" w:lineRule="exact"/>
        <w:rPr>
          <w:sz w:val="20"/>
          <w:szCs w:val="20"/>
          <w:color w:val="auto"/>
        </w:rPr>
      </w:pPr>
    </w:p>
    <w:p>
      <w:pPr>
        <w:ind w:left="1100" w:hanging="203"/>
        <w:spacing w:after="0" w:line="246" w:lineRule="auto"/>
        <w:tabs>
          <w:tab w:leader="none" w:pos="1328"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holder, a fiduciary, settlor, beneficiary, member or shareholder of the holder, or a pers holding a power over an estate or trust administered by a fiduciary holder, being treated as:</w:t>
      </w:r>
    </w:p>
    <w:p>
      <w:pPr>
        <w:spacing w:after="0" w:line="104" w:lineRule="exact"/>
        <w:rPr>
          <w:rFonts w:ascii="Arial" w:cs="Arial" w:eastAsia="Arial" w:hAnsi="Arial"/>
          <w:sz w:val="12"/>
          <w:szCs w:val="12"/>
          <w:color w:val="auto"/>
        </w:rPr>
      </w:pPr>
    </w:p>
    <w:p>
      <w:pPr>
        <w:ind w:left="1300" w:right="80" w:hanging="232"/>
        <w:spacing w:after="0" w:line="246" w:lineRule="auto"/>
        <w:tabs>
          <w:tab w:leader="none" w:pos="130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23" w:lineRule="exact"/>
        <w:rPr>
          <w:rFonts w:ascii="Arial" w:cs="Arial" w:eastAsia="Arial" w:hAnsi="Arial"/>
          <w:sz w:val="12"/>
          <w:szCs w:val="12"/>
          <w:color w:val="auto"/>
        </w:rPr>
      </w:pPr>
    </w:p>
    <w:p>
      <w:pPr>
        <w:jc w:val="both"/>
        <w:ind w:left="1300" w:right="80" w:hanging="232"/>
        <w:spacing w:after="0"/>
        <w:tabs>
          <w:tab w:leader="none" w:pos="130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having a current or former connection with the United States (other than a connection arising solely as a result of the ownership of the debt securities, the receipt of any payment in respect of the debt securities or the enforcement of any rights under the indenture), including being or having been a citizen or resident of the United States or treated as being or having been a resident thereof;</w:t>
      </w:r>
    </w:p>
    <w:p>
      <w:pPr>
        <w:spacing w:after="0" w:line="27" w:lineRule="exact"/>
        <w:rPr>
          <w:rFonts w:ascii="Arial" w:cs="Arial" w:eastAsia="Arial" w:hAnsi="Arial"/>
          <w:sz w:val="12"/>
          <w:szCs w:val="12"/>
          <w:color w:val="auto"/>
        </w:rPr>
      </w:pPr>
    </w:p>
    <w:p>
      <w:pPr>
        <w:ind w:left="1300" w:right="80" w:hanging="225"/>
        <w:spacing w:after="0" w:line="246" w:lineRule="auto"/>
        <w:tabs>
          <w:tab w:leader="none" w:pos="130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23" w:lineRule="exact"/>
        <w:rPr>
          <w:rFonts w:ascii="Arial" w:cs="Arial" w:eastAsia="Arial" w:hAnsi="Arial"/>
          <w:sz w:val="12"/>
          <w:szCs w:val="12"/>
          <w:color w:val="auto"/>
        </w:rPr>
      </w:pPr>
    </w:p>
    <w:p>
      <w:pPr>
        <w:ind w:left="1300" w:right="80" w:hanging="232"/>
        <w:spacing w:after="0" w:line="246" w:lineRule="auto"/>
        <w:tabs>
          <w:tab w:leader="none" w:pos="130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being or having been a “10-percent shareholder,” as defined in section 871(h)(3) of the United States Internal Revenue Code of 1986, as amended (the “Code”), or any successor provision, of us; or</w:t>
      </w:r>
    </w:p>
    <w:p>
      <w:pPr>
        <w:spacing w:after="0" w:line="23" w:lineRule="exact"/>
        <w:rPr>
          <w:rFonts w:ascii="Arial" w:cs="Arial" w:eastAsia="Arial" w:hAnsi="Arial"/>
          <w:sz w:val="12"/>
          <w:szCs w:val="12"/>
          <w:color w:val="auto"/>
        </w:rPr>
      </w:pPr>
    </w:p>
    <w:p>
      <w:pPr>
        <w:ind w:left="1300" w:right="80" w:hanging="232"/>
        <w:spacing w:after="0" w:line="246" w:lineRule="auto"/>
        <w:tabs>
          <w:tab w:leader="none" w:pos="130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95" w:lineRule="exact"/>
        <w:rPr>
          <w:sz w:val="20"/>
          <w:szCs w:val="20"/>
          <w:color w:val="auto"/>
        </w:rPr>
      </w:pPr>
    </w:p>
    <w:p>
      <w:pPr>
        <w:jc w:val="both"/>
        <w:ind w:left="1000" w:right="80" w:hanging="196"/>
        <w:spacing w:after="0"/>
        <w:tabs>
          <w:tab w:leader="none" w:pos="100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to any holder that is not the sole beneficial owner of the debt securities, or a portion of the debt securities,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27" w:lineRule="exact"/>
        <w:rPr>
          <w:sz w:val="20"/>
          <w:szCs w:val="20"/>
          <w:color w:val="auto"/>
        </w:rPr>
      </w:pPr>
    </w:p>
    <w:p>
      <w:pPr>
        <w:jc w:val="both"/>
        <w:ind w:left="1000" w:right="80" w:hanging="196"/>
        <w:spacing w:after="0" w:line="238" w:lineRule="auto"/>
        <w:tabs>
          <w:tab w:leader="none" w:pos="100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debt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9" w:lineRule="exact"/>
        <w:rPr>
          <w:sz w:val="20"/>
          <w:szCs w:val="20"/>
          <w:color w:val="auto"/>
        </w:rPr>
      </w:pPr>
    </w:p>
    <w:p>
      <w:pPr>
        <w:ind w:left="1000" w:hanging="196"/>
        <w:spacing w:after="0"/>
        <w:tabs>
          <w:tab w:leader="none" w:pos="100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is imposed otherwise than by withholding by us or a paying agent from the payment;</w:t>
      </w:r>
    </w:p>
    <w:p>
      <w:pPr>
        <w:spacing w:after="0" w:line="33" w:lineRule="exact"/>
        <w:rPr>
          <w:sz w:val="20"/>
          <w:szCs w:val="20"/>
          <w:color w:val="auto"/>
        </w:rPr>
      </w:pPr>
    </w:p>
    <w:p>
      <w:pPr>
        <w:ind w:left="1000" w:hanging="196"/>
        <w:spacing w:after="0"/>
        <w:tabs>
          <w:tab w:leader="none" w:pos="100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to any estate, inheritance, gift, sales, excise, transfer, wealth, capital gains or personal property tax or similar tax, assessment or other governmental charge;</w:t>
      </w:r>
    </w:p>
    <w:p>
      <w:pPr>
        <w:spacing w:after="0" w:line="33" w:lineRule="exact"/>
        <w:rPr>
          <w:sz w:val="20"/>
          <w:szCs w:val="20"/>
          <w:color w:val="auto"/>
        </w:rPr>
      </w:pPr>
    </w:p>
    <w:p>
      <w:pPr>
        <w:ind w:left="1000" w:right="80" w:hanging="196"/>
        <w:spacing w:after="0" w:line="246" w:lineRule="auto"/>
        <w:tabs>
          <w:tab w:leader="none" w:pos="100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presentation by the holder of any debt securities, where presentation is required, for payment on a date more than 30 days after the date on which payment became due and payable or the date on which payment thereof is duly provided for, whichever occurs later;</w:t>
      </w:r>
    </w:p>
    <w:p>
      <w:pPr>
        <w:sectPr>
          <w:pgSz w:w="11900" w:h="16838" w:orient="portrait"/>
          <w:cols w:equalWidth="0" w:num="1">
            <w:col w:w="11360"/>
          </w:cols>
          <w:pgMar w:left="300" w:top="1061" w:right="239" w:bottom="1440" w:gutter="0" w:footer="0" w:header="0"/>
        </w:sectPr>
      </w:pPr>
    </w:p>
    <w:bookmarkStart w:id="138" w:name="page139"/>
    <w:bookmarkEnd w:id="138"/>
    <w:p>
      <w:pPr>
        <w:jc w:val="both"/>
        <w:ind w:left="1000" w:right="20" w:hanging="196"/>
        <w:spacing w:after="0" w:line="238" w:lineRule="auto"/>
        <w:tabs>
          <w:tab w:leader="none" w:pos="100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29" w:lineRule="exact"/>
        <w:rPr>
          <w:sz w:val="20"/>
          <w:szCs w:val="20"/>
          <w:color w:val="auto"/>
        </w:rPr>
      </w:pPr>
    </w:p>
    <w:p>
      <w:pPr>
        <w:ind w:left="1000" w:right="20" w:hanging="196"/>
        <w:spacing w:after="0" w:line="246" w:lineRule="auto"/>
        <w:tabs>
          <w:tab w:leader="none" w:pos="100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23" w:lineRule="exact"/>
        <w:rPr>
          <w:sz w:val="20"/>
          <w:szCs w:val="20"/>
          <w:color w:val="auto"/>
        </w:rPr>
      </w:pPr>
    </w:p>
    <w:p>
      <w:pPr>
        <w:ind w:left="1000" w:hanging="196"/>
        <w:spacing w:after="0"/>
        <w:tabs>
          <w:tab w:leader="none" w:pos="100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any tax, assessment or other governmental charge imposed by reason of the failure of the beneficial owner to fulfill the statement requirements of Section 871(h) or Section 881(c) of the Code;</w:t>
      </w:r>
    </w:p>
    <w:p>
      <w:pPr>
        <w:spacing w:after="0" w:line="33" w:lineRule="exact"/>
        <w:rPr>
          <w:rFonts w:ascii="Arial" w:cs="Arial" w:eastAsia="Arial" w:hAnsi="Arial"/>
          <w:sz w:val="12"/>
          <w:szCs w:val="12"/>
          <w:color w:val="auto"/>
        </w:rPr>
      </w:pPr>
    </w:p>
    <w:p>
      <w:pPr>
        <w:ind w:left="740" w:right="4080"/>
        <w:spacing w:after="0" w:line="308" w:lineRule="auto"/>
        <w:rPr>
          <w:rFonts w:ascii="Arial" w:cs="Arial" w:eastAsia="Arial" w:hAnsi="Arial"/>
          <w:sz w:val="12"/>
          <w:szCs w:val="12"/>
          <w:color w:val="auto"/>
        </w:rPr>
      </w:pPr>
      <w:r>
        <w:rPr>
          <w:rFonts w:ascii="Arial" w:cs="Arial" w:eastAsia="Arial" w:hAnsi="Arial"/>
          <w:sz w:val="12"/>
          <w:szCs w:val="12"/>
          <w:color w:val="auto"/>
        </w:rPr>
        <w:t>10 any tax imposed pursuant to Section 871(h)(6) or 881(c)(6) of the Code (or any amended or successor provisions); or 11 in the case of any combination of items (1) through (10).</w:t>
      </w:r>
    </w:p>
    <w:p>
      <w:pPr>
        <w:spacing w:after="0" w:line="42" w:lineRule="exact"/>
        <w:rPr>
          <w:sz w:val="20"/>
          <w:szCs w:val="20"/>
          <w:color w:val="auto"/>
        </w:rPr>
      </w:pPr>
    </w:p>
    <w:p>
      <w:pPr>
        <w:jc w:val="both"/>
        <w:ind w:right="20" w:firstLine="228"/>
        <w:spacing w:after="0" w:line="261" w:lineRule="auto"/>
        <w:rPr>
          <w:sz w:val="20"/>
          <w:szCs w:val="20"/>
          <w:color w:val="auto"/>
        </w:rPr>
      </w:pPr>
      <w:r>
        <w:rPr>
          <w:rFonts w:ascii="Arial" w:cs="Arial" w:eastAsia="Arial" w:hAnsi="Arial"/>
          <w:sz w:val="12"/>
          <w:szCs w:val="12"/>
          <w:color w:val="auto"/>
        </w:rPr>
        <w:t>Except as specifically provided under this heading “Payment of Additional Amounts,” we are not required to pay additional amounts in respect of any tax, assessment or other governmental charge. References to any payment on the debt securities include the related payment of additional amounts, as applicable.</w:t>
      </w:r>
    </w:p>
    <w:p>
      <w:pPr>
        <w:spacing w:after="0" w:line="60"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2"/>
          <w:szCs w:val="12"/>
          <w:color w:val="auto"/>
        </w:rPr>
        <w:t>As used under this heading “Payment of Additional Amounts” and under the heading “Redemption for Tax Reasons,” the term “United States” means the United States of America, any state thereof, and the 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 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Redemption for Tax Reasons</w:t>
      </w:r>
    </w:p>
    <w:p>
      <w:pPr>
        <w:spacing w:after="0" w:line="92" w:lineRule="exact"/>
        <w:rPr>
          <w:sz w:val="20"/>
          <w:szCs w:val="20"/>
          <w:color w:val="auto"/>
        </w:rPr>
      </w:pPr>
    </w:p>
    <w:p>
      <w:pPr>
        <w:jc w:val="both"/>
        <w:ind w:firstLine="228"/>
        <w:spacing w:after="0" w:line="252" w:lineRule="auto"/>
        <w:rPr>
          <w:sz w:val="20"/>
          <w:szCs w:val="20"/>
          <w:color w:val="auto"/>
        </w:rPr>
      </w:pPr>
      <w:r>
        <w:rPr>
          <w:rFonts w:ascii="Arial" w:cs="Arial" w:eastAsia="Arial" w:hAnsi="Arial"/>
          <w:sz w:val="12"/>
          <w:szCs w:val="12"/>
          <w:color w:val="auto"/>
        </w:rPr>
        <w:t>If, as a result of any change in, or amendment to, the laws of the United States or the official interpretation thereof that is announced or becomes effective on or after February 17, 2016, with respect to the 2023 notes and the 2028 notes, or on or after March 5, 2020, with respect to the 2024 notes and the 2030 notes, we become or, based upon a written opinion of independent counsel selected by us, will become obligated to pay additional amounts as described herein under the heading “Payment of Additional Amounts” with respect to the debt securities of any series, then we may at any time at our option redeem, in whole, but not in part, the debt securities of such series on not less than 30 nor more than 60 days’ prior notice with respect to the 2023 notes and the 2028 notes, or not less than 10 nor more than 60 days’ prior notice, with respect to the 2024 notes and the 2030 notes, at a redemption price equal to 100% of their principal amount, plus accrued and unpaid interest on the debt securities of such series to be redeemed to the date of redemption.</w:t>
      </w:r>
    </w:p>
    <w:p>
      <w:pPr>
        <w:sectPr>
          <w:pgSz w:w="11900" w:h="16838" w:orient="portrait"/>
          <w:cols w:equalWidth="0" w:num="1">
            <w:col w:w="11300"/>
          </w:cols>
          <w:pgMar w:left="300" w:top="1039" w:right="299" w:bottom="1440" w:gutter="0" w:footer="0" w:header="0"/>
        </w:sectPr>
      </w:pPr>
    </w:p>
    <w:bookmarkStart w:id="139" w:name="page140"/>
    <w:bookmarkEnd w:id="139"/>
    <w:p>
      <w:pPr>
        <w:spacing w:after="0"/>
        <w:rPr>
          <w:sz w:val="20"/>
          <w:szCs w:val="20"/>
          <w:color w:val="auto"/>
        </w:rPr>
      </w:pPr>
      <w:r>
        <w:rPr>
          <w:rFonts w:ascii="Arial" w:cs="Arial" w:eastAsia="Arial" w:hAnsi="Arial"/>
          <w:sz w:val="12"/>
          <w:szCs w:val="12"/>
          <w:b w:val="1"/>
          <w:bCs w:val="1"/>
          <w:color w:val="auto"/>
        </w:rPr>
        <w:t>Further Issues</w:t>
      </w:r>
    </w:p>
    <w:p>
      <w:pPr>
        <w:spacing w:after="0" w:line="92"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2"/>
          <w:szCs w:val="12"/>
          <w:color w:val="auto"/>
        </w:rPr>
        <w:t>We may from time to time, without notice to or the consent of the registered holders of a series of debt securities, create and issue further debt securities of any such series ranking equally with the debt securities of the corresponding series and having the same terms in all respects (other than the payment of interest accruing prior to the issue date of such further debt securities or except for the first payment of interest following the issue date of such further debt securities); provided that such additional debt securities of any series shall not be issued with the same ISIN or Common Code number as the debt securities of its corresponding series unless such additional debt securities are issued for U.S. federal income tax purposes in a “qualified reopening” or are otherwise treated as part of the same issue for U.S. federal income tax purposes. Such further debt securities will be consolidated and form a single series with the debt securities of the corresponding series.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Notices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Notices to holders of the debt securities will be sent by mail or email to the registered holders, or otherwise in accordance with the procedures of the applicable depositary.</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Regarding the Trustee, Paying Agent, Transfer Agent and Registrar</w:t>
      </w:r>
    </w:p>
    <w:p>
      <w:pPr>
        <w:spacing w:after="0" w:line="92" w:lineRule="exact"/>
        <w:rPr>
          <w:sz w:val="20"/>
          <w:szCs w:val="20"/>
          <w:color w:val="auto"/>
        </w:rPr>
      </w:pPr>
    </w:p>
    <w:p>
      <w:pPr>
        <w:jc w:val="both"/>
        <w:ind w:right="20" w:firstLine="228"/>
        <w:spacing w:after="0" w:line="261" w:lineRule="auto"/>
        <w:rPr>
          <w:sz w:val="20"/>
          <w:szCs w:val="20"/>
          <w:color w:val="auto"/>
        </w:rPr>
      </w:pPr>
      <w:r>
        <w:rPr>
          <w:rFonts w:ascii="Arial" w:cs="Arial" w:eastAsia="Arial" w:hAnsi="Arial"/>
          <w:sz w:val="12"/>
          <w:szCs w:val="12"/>
          <w:color w:val="auto"/>
        </w:rPr>
        <w:t>Deutsche Bank Trust Company Americas is the paying agent, trustee, transfer agent and registrar with respect to the debt securities. We and our affiliates maintain various commercial and service relationships with the trustee and its affiliates in the ordinary course of business.</w:t>
      </w:r>
    </w:p>
    <w:p>
      <w:pPr>
        <w:spacing w:after="0" w:line="60"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2"/>
          <w:szCs w:val="12"/>
          <w:color w:val="auto"/>
        </w:rPr>
        <w:t>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 any such claim as security or otherwise, unless and until such default is cured. However, the trustee’s rights as a creditor of ours will not be limited if the creditor relationship arises from, among other things:</w:t>
      </w:r>
    </w:p>
    <w:p>
      <w:pPr>
        <w:spacing w:after="0" w:line="62" w:lineRule="exact"/>
        <w:rPr>
          <w:sz w:val="20"/>
          <w:szCs w:val="20"/>
          <w:color w:val="auto"/>
        </w:rPr>
      </w:pPr>
    </w:p>
    <w:p>
      <w:pPr>
        <w:ind w:left="420" w:hanging="212"/>
        <w:spacing w:after="0"/>
        <w:tabs>
          <w:tab w:leader="none" w:pos="42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the ownership or acquisition of securities issued under any indenture or having a maturity of one year or more at the time of acquisition by the trustee;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certain advances authorized by a receivership or bankruptcy court of competent jurisdiction or by the indenture;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disbursements made in the ordinary course of business in its capacity as indenture trustee, transfer agent, registrar, custodian or paying agent or in any other similar capacity;</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indebtedness created as a result of goods or securities sold in a cash transaction or services rendered or premises rented; or</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the acquisition, ownership, acceptance or negotiation of certain drafts, bills of exchange, acceptances or other obligations.</w:t>
      </w:r>
    </w:p>
    <w:p>
      <w:pPr>
        <w:spacing w:after="0" w:line="78" w:lineRule="exact"/>
        <w:rPr>
          <w:sz w:val="20"/>
          <w:szCs w:val="20"/>
          <w:color w:val="auto"/>
        </w:rPr>
      </w:pPr>
    </w:p>
    <w:p>
      <w:pPr>
        <w:ind w:right="20" w:firstLine="228"/>
        <w:spacing w:after="0" w:line="261" w:lineRule="auto"/>
        <w:rPr>
          <w:sz w:val="20"/>
          <w:szCs w:val="20"/>
          <w:color w:val="auto"/>
        </w:rPr>
      </w:pPr>
      <w:r>
        <w:rPr>
          <w:rFonts w:ascii="Arial" w:cs="Arial" w:eastAsia="Arial" w:hAnsi="Arial"/>
          <w:sz w:val="12"/>
          <w:szCs w:val="12"/>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 affiliate of the trustee is a participant in our $4.0 billion Amended and Restated Five Year Credit Agreement, maturing in April 2024, and our $1.5 billion 364-Day Credit Agreement, maturing in April 2021.</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listed each series of the debt securities on the Nasdaq. We have no obligation to maintain such listing and we may delist any series of the debt securities at any time.</w:t>
      </w:r>
    </w:p>
    <w:p>
      <w:pPr>
        <w:sectPr>
          <w:pgSz w:w="11900" w:h="16838" w:orient="portrait"/>
          <w:cols w:equalWidth="0" w:num="1">
            <w:col w:w="11300"/>
          </w:cols>
          <w:pgMar w:left="300" w:top="1061" w:right="299" w:bottom="1440" w:gutter="0" w:footer="0" w:header="0"/>
        </w:sectPr>
      </w:pPr>
    </w:p>
    <w:bookmarkStart w:id="140" w:name="page141"/>
    <w:bookmarkEnd w:id="140"/>
    <w:p>
      <w:pPr>
        <w:spacing w:after="0"/>
        <w:rPr>
          <w:sz w:val="20"/>
          <w:szCs w:val="20"/>
          <w:color w:val="auto"/>
        </w:rPr>
      </w:pPr>
      <w:r>
        <w:rPr>
          <w:rFonts w:ascii="Arial" w:cs="Arial" w:eastAsia="Arial" w:hAnsi="Arial"/>
          <w:sz w:val="12"/>
          <w:szCs w:val="12"/>
          <w:b w:val="1"/>
          <w:bCs w:val="1"/>
          <w:color w:val="auto"/>
        </w:rPr>
        <w:t>Governing Law</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indenture and the debt securities for all purposes shall be governed by and construed in accordance with the laws of the State of New York.</w:t>
      </w:r>
    </w:p>
    <w:p>
      <w:pPr>
        <w:sectPr>
          <w:pgSz w:w="11900" w:h="16838" w:orient="portrait"/>
          <w:cols w:equalWidth="0" w:num="1">
            <w:col w:w="10159"/>
          </w:cols>
          <w:pgMar w:left="300" w:top="1061" w:right="1440" w:bottom="1440" w:gutter="0" w:footer="0" w:header="0"/>
        </w:sectPr>
      </w:pPr>
    </w:p>
    <w:bookmarkStart w:id="141" w:name="page142"/>
    <w:bookmarkEnd w:id="141"/>
    <w:p>
      <w:pPr>
        <w:ind w:left="10180"/>
        <w:spacing w:after="0"/>
        <w:rPr>
          <w:sz w:val="20"/>
          <w:szCs w:val="20"/>
          <w:color w:val="auto"/>
        </w:rPr>
      </w:pPr>
      <w:r>
        <w:rPr>
          <w:rFonts w:ascii="Arial" w:cs="Arial" w:eastAsia="Arial" w:hAnsi="Arial"/>
          <w:sz w:val="13"/>
          <w:szCs w:val="13"/>
          <w:b w:val="1"/>
          <w:bCs w:val="1"/>
          <w:color w:val="auto"/>
        </w:rPr>
        <w:t>EXHIBIT 10.61</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HONEYWELL INTERNATIONAL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NONCOMPETE AGREEMENT FOR SELECT MANAGEMENT EMPLOYEES</w:t>
      </w:r>
    </w:p>
    <w:p>
      <w:pPr>
        <w:spacing w:after="0" w:line="38" w:lineRule="exact"/>
        <w:rPr>
          <w:sz w:val="20"/>
          <w:szCs w:val="20"/>
          <w:color w:val="auto"/>
        </w:rPr>
      </w:pPr>
    </w:p>
    <w:p>
      <w:pPr>
        <w:jc w:val="both"/>
        <w:ind w:right="100" w:firstLine="2"/>
        <w:spacing w:after="0" w:line="233" w:lineRule="auto"/>
        <w:rPr>
          <w:sz w:val="20"/>
          <w:szCs w:val="20"/>
          <w:color w:val="auto"/>
        </w:rPr>
      </w:pPr>
      <w:r>
        <w:rPr>
          <w:rFonts w:ascii="Arial" w:cs="Arial" w:eastAsia="Arial" w:hAnsi="Arial"/>
          <w:sz w:val="13"/>
          <w:szCs w:val="13"/>
          <w:color w:val="auto"/>
        </w:rPr>
        <w:t>In consideration of my role as a select management employee of Honeywell,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Confidential Information supplied to me, I agree to the following:</w:t>
      </w:r>
    </w:p>
    <w:p>
      <w:pPr>
        <w:spacing w:after="0" w:line="150" w:lineRule="exact"/>
        <w:rPr>
          <w:sz w:val="20"/>
          <w:szCs w:val="20"/>
          <w:color w:val="auto"/>
        </w:rPr>
      </w:pPr>
    </w:p>
    <w:p>
      <w:pPr>
        <w:jc w:val="both"/>
        <w:ind w:firstLine="11"/>
        <w:spacing w:after="0" w:line="246" w:lineRule="auto"/>
        <w:tabs>
          <w:tab w:leader="none" w:pos="407" w:val="left"/>
        </w:tabs>
        <w:numPr>
          <w:ilvl w:val="0"/>
          <w:numId w:val="142"/>
        </w:numPr>
        <w:rPr>
          <w:rFonts w:ascii="Arial" w:cs="Arial" w:eastAsia="Arial" w:hAnsi="Arial"/>
          <w:sz w:val="14"/>
          <w:szCs w:val="14"/>
          <w:color w:val="auto"/>
        </w:rPr>
      </w:pPr>
      <w:r>
        <w:rPr>
          <w:rFonts w:ascii="Arial" w:cs="Arial" w:eastAsia="Arial" w:hAnsi="Arial"/>
          <w:sz w:val="13"/>
          <w:szCs w:val="13"/>
          <w:u w:val="single" w:color="auto"/>
          <w:color w:val="auto"/>
        </w:rPr>
        <w:t>Noncompetition</w:t>
      </w:r>
      <w:r>
        <w:rPr>
          <w:rFonts w:ascii="Arial" w:cs="Arial" w:eastAsia="Arial" w:hAnsi="Arial"/>
          <w:sz w:val="13"/>
          <w:szCs w:val="13"/>
          <w:color w:val="auto"/>
        </w:rPr>
        <w:t>. I acknowledge that in the course of my employment with or provision of services to Honeywell, I have and will become familiar with 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Confidential Information concerning Honeywell. I further acknowledge that Honeywell operates in a very competitive business environment and my services are, and will continue to be, of special, unique and extraordinary value to Honeywell. I further acknowledge that I have been given, and will continue to be given, access to and the ability to develop relationships with, customers of Honeywell at the and expense of Honeywell, and have and will continue to receive training, experience and expertise from Honeywell that make my services of special, unique and extraordinary value to Honeywell. I further acknowledge and agree that I will not, directly or indirectly, at any during or after my employment with Honeywell, except in the course of performing my duties for Honeywell, disclose, disseminate, make available or use Honeywell's Confidential Information.</w:t>
      </w:r>
    </w:p>
    <w:p>
      <w:pPr>
        <w:spacing w:after="0" w:line="139" w:lineRule="exact"/>
        <w:rPr>
          <w:sz w:val="20"/>
          <w:szCs w:val="20"/>
          <w:color w:val="auto"/>
        </w:rPr>
      </w:pPr>
    </w:p>
    <w:p>
      <w:pPr>
        <w:jc w:val="both"/>
        <w:ind w:right="60" w:firstLine="417"/>
        <w:spacing w:after="0" w:line="278" w:lineRule="auto"/>
        <w:rPr>
          <w:sz w:val="20"/>
          <w:szCs w:val="20"/>
          <w:color w:val="auto"/>
        </w:rPr>
      </w:pPr>
      <w:r>
        <w:rPr>
          <w:rFonts w:ascii="Arial" w:cs="Arial" w:eastAsia="Arial" w:hAnsi="Arial"/>
          <w:sz w:val="12"/>
          <w:szCs w:val="12"/>
          <w:color w:val="auto"/>
        </w:rPr>
        <w:t>I agree that, during my employment and for a period of one (1) year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as a Protected Honeywell Business (as defined below). I acknowledge that (i) Honeywell's business is conducted around the world; (ii) notwithstanding Honeywell's state of incorporation or the location of its principal office, Honeywell maintains business activities and valuable business relationships within its industries around the world; and (iii) as part of my responsibilities, I may be conducting business around the world in furtherance of Honeywell's business and its relationships.</w:t>
      </w:r>
    </w:p>
    <w:p>
      <w:pPr>
        <w:spacing w:after="0" w:line="128" w:lineRule="exact"/>
        <w:rPr>
          <w:sz w:val="20"/>
          <w:szCs w:val="20"/>
          <w:color w:val="auto"/>
        </w:rPr>
      </w:pPr>
    </w:p>
    <w:p>
      <w:pPr>
        <w:jc w:val="both"/>
        <w:ind w:left="20" w:right="60" w:firstLine="411"/>
        <w:spacing w:after="0" w:line="252" w:lineRule="auto"/>
        <w:rPr>
          <w:sz w:val="20"/>
          <w:szCs w:val="20"/>
          <w:color w:val="auto"/>
        </w:rPr>
      </w:pPr>
      <w:r>
        <w:rPr>
          <w:rFonts w:ascii="Arial" w:cs="Arial" w:eastAsia="Arial" w:hAnsi="Arial"/>
          <w:sz w:val="13"/>
          <w:szCs w:val="13"/>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Honeywell,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 Honeywell business (the Honeywell businesses described in (i) and (ii) are hereinafter collectively referred to as "Protected Honeywell Business(es)"). Notwithstanding the foregoing, an entity is not a Competing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Page 1 of 6</w:t>
      </w:r>
    </w:p>
    <w:p>
      <w:pPr>
        <w:sectPr>
          <w:pgSz w:w="11900" w:h="16838" w:orient="portrait"/>
          <w:cols w:equalWidth="0" w:num="1">
            <w:col w:w="11200"/>
          </w:cols>
          <w:pgMar w:left="300" w:top="1178" w:right="399" w:bottom="1440" w:gutter="0" w:footer="0" w:header="0"/>
        </w:sectPr>
      </w:pPr>
    </w:p>
    <w:bookmarkStart w:id="142" w:name="page143"/>
    <w:bookmarkEnd w:id="142"/>
    <w:p>
      <w:pPr>
        <w:jc w:val="both"/>
        <w:ind w:left="9" w:right="140"/>
        <w:spacing w:after="0" w:line="258" w:lineRule="auto"/>
        <w:rPr>
          <w:sz w:val="20"/>
          <w:szCs w:val="20"/>
          <w:color w:val="auto"/>
        </w:rPr>
      </w:pPr>
      <w:r>
        <w:rPr>
          <w:rFonts w:ascii="Arial" w:cs="Arial" w:eastAsia="Arial" w:hAnsi="Arial"/>
          <w:sz w:val="13"/>
          <w:szCs w:val="13"/>
          <w:color w:val="auto"/>
        </w:rPr>
        <w:t>Business with respect to me unless I was employed by, performed services for, or had operational knowledge of a Protected Honeywell Business in a covered job (i.e., a job subject to a noncompetition agreement) during the Look Back Period. For purposes of the foregoing, I acknowledge that I will be deemed to have knowledge of a Protected Honeywell Business if I received, was in possession of, or otherwise had access to Confidential Information regarding such Protected Honeywell Business.</w:t>
      </w:r>
    </w:p>
    <w:p>
      <w:pPr>
        <w:spacing w:after="0" w:line="139" w:lineRule="exact"/>
        <w:rPr>
          <w:sz w:val="20"/>
          <w:szCs w:val="20"/>
          <w:color w:val="auto"/>
        </w:rPr>
      </w:pPr>
    </w:p>
    <w:p>
      <w:pPr>
        <w:jc w:val="both"/>
        <w:ind w:left="9" w:firstLine="420"/>
        <w:spacing w:after="0" w:line="254" w:lineRule="auto"/>
        <w:rPr>
          <w:sz w:val="20"/>
          <w:szCs w:val="20"/>
          <w:color w:val="auto"/>
        </w:rPr>
      </w:pPr>
      <w:r>
        <w:rPr>
          <w:rFonts w:ascii="Arial" w:cs="Arial" w:eastAsia="Arial" w:hAnsi="Arial"/>
          <w:sz w:val="13"/>
          <w:szCs w:val="13"/>
          <w:color w:val="auto"/>
        </w:rPr>
        <w:t>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that I have held over the last two (2) years may be used to identify Competing Businesses, I should contact my Human Resource representative.</w:t>
      </w:r>
    </w:p>
    <w:p>
      <w:pPr>
        <w:spacing w:after="0" w:line="141" w:lineRule="exact"/>
        <w:rPr>
          <w:sz w:val="20"/>
          <w:szCs w:val="20"/>
          <w:color w:val="auto"/>
        </w:rPr>
      </w:pPr>
    </w:p>
    <w:p>
      <w:pPr>
        <w:jc w:val="both"/>
        <w:ind w:left="9" w:firstLine="414"/>
        <w:spacing w:after="0" w:line="275" w:lineRule="auto"/>
        <w:rPr>
          <w:sz w:val="20"/>
          <w:szCs w:val="20"/>
          <w:color w:val="auto"/>
        </w:rPr>
      </w:pPr>
      <w:r>
        <w:rPr>
          <w:rFonts w:ascii="Arial" w:cs="Arial" w:eastAsia="Arial" w:hAnsi="Arial"/>
          <w:sz w:val="12"/>
          <w:szCs w:val="12"/>
          <w:color w:val="auto"/>
        </w:rPr>
        <w:t>Honeywell recognizes that some businesses, persons, entities, or group of businesses that constitute Competing Businesses may also have lines of business that do not compete with Honeywell, and the restrictions contained herein are not intended to include such lines of business. I understand and agree that if I intend to become employed by, perform services for, or otherwise become associated with (as an employee, officer, director, principal, agent, manager, partner, co-partner or consultant or any other individual or representative role) a Competing Business, it is presumed that the restrictions contained herein apply. I further understand and agree that if I do not believe the restrictions contained herein should apply, I must notify Honeywell, in writing, prior to accepting employment or otherwise becoming associated with the ostensible Competing Business, and demonstrate to Honeywell that I will only be employed by, perform services for, or otherwise become associated with (as an employee, officer, director, principal, agent, manager, partner, co-partner or consultant or any other individual or representative role) a Competing Business' line of business that does not compete with Honeywell.</w:t>
      </w:r>
    </w:p>
    <w:p>
      <w:pPr>
        <w:spacing w:after="0" w:line="167" w:lineRule="exact"/>
        <w:rPr>
          <w:sz w:val="20"/>
          <w:szCs w:val="20"/>
          <w:color w:val="auto"/>
        </w:rPr>
      </w:pPr>
    </w:p>
    <w:p>
      <w:pPr>
        <w:jc w:val="both"/>
        <w:ind w:left="-11" w:right="80" w:firstLine="11"/>
        <w:spacing w:after="0" w:line="246" w:lineRule="auto"/>
        <w:tabs>
          <w:tab w:leader="none" w:pos="396" w:val="left"/>
        </w:tabs>
        <w:numPr>
          <w:ilvl w:val="0"/>
          <w:numId w:val="143"/>
        </w:numPr>
        <w:rPr>
          <w:rFonts w:ascii="Arial" w:cs="Arial" w:eastAsia="Arial" w:hAnsi="Arial"/>
          <w:sz w:val="14"/>
          <w:szCs w:val="14"/>
          <w:color w:val="auto"/>
        </w:rPr>
      </w:pPr>
      <w:r>
        <w:rPr>
          <w:rFonts w:ascii="Arial" w:cs="Arial" w:eastAsia="Arial" w:hAnsi="Arial"/>
          <w:sz w:val="13"/>
          <w:szCs w:val="13"/>
          <w:u w:val="single" w:color="auto"/>
          <w:color w:val="auto"/>
        </w:rPr>
        <w:t>Reasonableness of Restrictions and Validity</w:t>
      </w:r>
      <w:r>
        <w:rPr>
          <w:rFonts w:ascii="Arial" w:cs="Arial" w:eastAsia="Arial" w:hAnsi="Arial"/>
          <w:sz w:val="13"/>
          <w:szCs w:val="13"/>
          <w:color w:val="auto"/>
        </w:rPr>
        <w:t>. I agree that the terms of this Agreement are reasonable and do not impose a greater restraint than necessary to protect Honeywell's legitimate protectable business interests, including the protection of its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9"/>
        <w:spacing w:after="0"/>
        <w:rPr>
          <w:sz w:val="20"/>
          <w:szCs w:val="20"/>
          <w:color w:val="auto"/>
        </w:rPr>
      </w:pPr>
      <w:r>
        <w:rPr>
          <w:rFonts w:ascii="Arial" w:cs="Arial" w:eastAsia="Arial" w:hAnsi="Arial"/>
          <w:sz w:val="13"/>
          <w:szCs w:val="13"/>
          <w:color w:val="auto"/>
        </w:rPr>
        <w:t>Page 2 of 6</w:t>
      </w:r>
    </w:p>
    <w:p>
      <w:pPr>
        <w:sectPr>
          <w:pgSz w:w="11900" w:h="16838" w:orient="portrait"/>
          <w:cols w:equalWidth="0" w:num="1">
            <w:col w:w="11269"/>
          </w:cols>
          <w:pgMar w:left="311" w:top="1173" w:right="319" w:bottom="1440" w:gutter="0" w:footer="0" w:header="0"/>
        </w:sectPr>
      </w:pPr>
    </w:p>
    <w:bookmarkStart w:id="143" w:name="page144"/>
    <w:bookmarkEnd w:id="143"/>
    <w:p>
      <w:pPr>
        <w:jc w:val="both"/>
        <w:ind w:firstLine="11"/>
        <w:spacing w:after="0" w:line="268" w:lineRule="auto"/>
        <w:tabs>
          <w:tab w:leader="none" w:pos="407" w:val="left"/>
        </w:tabs>
        <w:numPr>
          <w:ilvl w:val="0"/>
          <w:numId w:val="144"/>
        </w:numPr>
        <w:rPr>
          <w:rFonts w:ascii="Arial" w:cs="Arial" w:eastAsia="Arial" w:hAnsi="Arial"/>
          <w:sz w:val="13"/>
          <w:szCs w:val="13"/>
          <w:color w:val="auto"/>
        </w:rPr>
      </w:pPr>
      <w:r>
        <w:rPr>
          <w:rFonts w:ascii="Arial" w:cs="Arial" w:eastAsia="Arial" w:hAnsi="Arial"/>
          <w:sz w:val="12"/>
          <w:szCs w:val="12"/>
          <w:u w:val="single" w:color="auto"/>
          <w:color w:val="auto"/>
        </w:rPr>
        <w:t>Remedies</w:t>
      </w:r>
      <w:r>
        <w:rPr>
          <w:rFonts w:ascii="Arial" w:cs="Arial" w:eastAsia="Arial" w:hAnsi="Arial"/>
          <w:sz w:val="12"/>
          <w:szCs w:val="12"/>
          <w:color w:val="auto"/>
        </w:rPr>
        <w:t>. I acknowledge that a remedy at law for any breach or threatened breach of the provisions of this Agreement would be inadequate and therefore agree that Honeywell shall be entitled to injunctive relief in case of any such breach or threatened breach. I acknowledge and agree that Honeywell may apply to any court of law or equity of competent jurisdiction for specific performance and/or injunctive relief (without posting a bond or other security) in order to enforce or prevent any violation of the provisions of chis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this Agreement or enters an order enforcing or upholding any provision of this Agreement, I agree that the post-employment restrictive covenant period shall be tolled during the time period that I was in violation of the covenant so that Honeywell gets the full benefit of the entire restrictive covenant period set forth in Paragraph 1.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47" w:lineRule="exact"/>
        <w:rPr>
          <w:rFonts w:ascii="Arial" w:cs="Arial" w:eastAsia="Arial" w:hAnsi="Arial"/>
          <w:sz w:val="13"/>
          <w:szCs w:val="13"/>
          <w:color w:val="auto"/>
        </w:rPr>
      </w:pPr>
    </w:p>
    <w:p>
      <w:pPr>
        <w:jc w:val="both"/>
        <w:ind w:firstLine="11"/>
        <w:spacing w:after="0" w:line="246" w:lineRule="auto"/>
        <w:tabs>
          <w:tab w:leader="none" w:pos="407" w:val="left"/>
        </w:tabs>
        <w:numPr>
          <w:ilvl w:val="0"/>
          <w:numId w:val="144"/>
        </w:numPr>
        <w:rPr>
          <w:rFonts w:ascii="Arial" w:cs="Arial" w:eastAsia="Arial" w:hAnsi="Arial"/>
          <w:sz w:val="14"/>
          <w:szCs w:val="14"/>
          <w:color w:val="auto"/>
        </w:rPr>
      </w:pPr>
      <w:r>
        <w:rPr>
          <w:rFonts w:ascii="Arial" w:cs="Arial" w:eastAsia="Arial" w:hAnsi="Arial"/>
          <w:sz w:val="13"/>
          <w:szCs w:val="13"/>
          <w:u w:val="single" w:color="auto"/>
          <w:color w:val="auto"/>
        </w:rPr>
        <w:t>Harm and Injunctive Relief and Permitted Disclosures</w:t>
      </w:r>
      <w:r>
        <w:rPr>
          <w:rFonts w:ascii="Arial" w:cs="Arial" w:eastAsia="Arial" w:hAnsi="Arial"/>
          <w:sz w:val="13"/>
          <w:szCs w:val="13"/>
          <w:color w:val="auto"/>
        </w:rPr>
        <w:t>. I agree and acknowledge that the restrictions contained in this Agreement do not preclude me from earning a livelihood, nor do they 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Confidential Information. I agree and acknowledge that I have been provided adequate and reasonable consideration in exchange for the obligations under this Agreement, including employment or continued employment by Honeywell, goodwill, access or continued access to Honeywell's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49" w:lineRule="exact"/>
        <w:rPr>
          <w:sz w:val="20"/>
          <w:szCs w:val="20"/>
          <w:color w:val="auto"/>
        </w:rPr>
      </w:pPr>
    </w:p>
    <w:p>
      <w:pPr>
        <w:jc w:val="both"/>
        <w:ind w:right="60" w:firstLine="414"/>
        <w:spacing w:after="0" w:line="252" w:lineRule="auto"/>
        <w:rPr>
          <w:sz w:val="20"/>
          <w:szCs w:val="20"/>
          <w:color w:val="auto"/>
        </w:rPr>
      </w:pPr>
      <w:r>
        <w:rPr>
          <w:rFonts w:ascii="Arial" w:cs="Arial" w:eastAsia="Arial" w:hAnsi="Arial"/>
          <w:sz w:val="13"/>
          <w:szCs w:val="13"/>
          <w:color w:val="auto"/>
        </w:rPr>
        <w:t>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Page 3 of 6</w:t>
      </w:r>
    </w:p>
    <w:p>
      <w:pPr>
        <w:sectPr>
          <w:pgSz w:w="11900" w:h="16838" w:orient="portrait"/>
          <w:cols w:equalWidth="0" w:num="1">
            <w:col w:w="11200"/>
          </w:cols>
          <w:pgMar w:left="300" w:top="1182" w:right="399" w:bottom="1440" w:gutter="0" w:footer="0" w:header="0"/>
        </w:sectPr>
      </w:pPr>
    </w:p>
    <w:bookmarkStart w:id="144" w:name="page145"/>
    <w:bookmarkEnd w:id="144"/>
    <w:p>
      <w:pPr>
        <w:ind w:right="140"/>
        <w:spacing w:after="0" w:line="271" w:lineRule="auto"/>
        <w:rPr>
          <w:sz w:val="20"/>
          <w:szCs w:val="20"/>
          <w:color w:val="auto"/>
        </w:rPr>
      </w:pPr>
      <w:r>
        <w:rPr>
          <w:rFonts w:ascii="Arial" w:cs="Arial" w:eastAsia="Arial" w:hAnsi="Arial"/>
          <w:sz w:val="13"/>
          <w:szCs w:val="13"/>
          <w:color w:val="auto"/>
        </w:rPr>
        <w:t>containing the trade secret under seal; and (y) does not disclose the trade secret, except pursuant to court order. I understand that in the event it is determined that disclosure of trade secrets was not done in good faith for the reasons described above, I will be subject to substantial damages, including punitive damages and attorneys' fees.</w:t>
      </w:r>
    </w:p>
    <w:p>
      <w:pPr>
        <w:spacing w:after="0" w:line="130"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3"/>
          <w:szCs w:val="13"/>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95" w:lineRule="exact"/>
        <w:rPr>
          <w:sz w:val="20"/>
          <w:szCs w:val="20"/>
          <w:color w:val="auto"/>
        </w:rPr>
      </w:pPr>
    </w:p>
    <w:p>
      <w:pPr>
        <w:jc w:val="both"/>
        <w:ind w:right="80" w:firstLine="11"/>
        <w:spacing w:after="0" w:line="246" w:lineRule="auto"/>
        <w:tabs>
          <w:tab w:leader="none" w:pos="407" w:val="left"/>
        </w:tabs>
        <w:numPr>
          <w:ilvl w:val="0"/>
          <w:numId w:val="145"/>
        </w:numPr>
        <w:rPr>
          <w:rFonts w:ascii="Arial" w:cs="Arial" w:eastAsia="Arial" w:hAnsi="Arial"/>
          <w:sz w:val="14"/>
          <w:szCs w:val="14"/>
          <w:color w:val="auto"/>
        </w:rPr>
      </w:pPr>
      <w:r>
        <w:rPr>
          <w:rFonts w:ascii="Arial" w:cs="Arial" w:eastAsia="Arial" w:hAnsi="Arial"/>
          <w:sz w:val="13"/>
          <w:szCs w:val="13"/>
          <w:u w:val="single" w:color="auto"/>
          <w:color w:val="auto"/>
        </w:rPr>
        <w:t>Binding Agreement, Amendment, Successors</w:t>
      </w:r>
      <w:r>
        <w:rPr>
          <w:rFonts w:ascii="Arial" w:cs="Arial" w:eastAsia="Arial" w:hAnsi="Arial"/>
          <w:sz w:val="13"/>
          <w:szCs w:val="13"/>
          <w:color w:val="auto"/>
        </w:rPr>
        <w:t>. I acknowledge that the provisions of this Agreement are in addition to, and in no way intended to limit, restrict or narrow any prior or existing 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restrictions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Honeywell's chief human resources officer or his/her designee. This Agreement may not be superseded or amended by any other agreement between myself and Honeywell unless such agreement specifically and expressly states that it is intended to supersede this Agreement and is executed by Honeywell's chief human resources officer or his/her designee. This Agreement binds my heirs, executors, administrators, legal representatives and assigns and inures to the benefit of Honeywell and its successors and assigns.</w:t>
      </w:r>
    </w:p>
    <w:p>
      <w:pPr>
        <w:spacing w:after="0" w:line="211" w:lineRule="exact"/>
        <w:rPr>
          <w:rFonts w:ascii="Arial" w:cs="Arial" w:eastAsia="Arial" w:hAnsi="Arial"/>
          <w:sz w:val="14"/>
          <w:szCs w:val="14"/>
          <w:color w:val="auto"/>
        </w:rPr>
      </w:pPr>
    </w:p>
    <w:p>
      <w:pPr>
        <w:ind w:right="80" w:firstLine="11"/>
        <w:spacing w:after="0" w:line="252" w:lineRule="auto"/>
        <w:tabs>
          <w:tab w:leader="none" w:pos="407" w:val="left"/>
        </w:tabs>
        <w:numPr>
          <w:ilvl w:val="0"/>
          <w:numId w:val="145"/>
        </w:numPr>
        <w:rPr>
          <w:rFonts w:ascii="Arial" w:cs="Arial" w:eastAsia="Arial" w:hAnsi="Arial"/>
          <w:sz w:val="14"/>
          <w:szCs w:val="14"/>
          <w:color w:val="auto"/>
        </w:rPr>
      </w:pPr>
      <w:r>
        <w:rPr>
          <w:rFonts w:ascii="Arial" w:cs="Arial" w:eastAsia="Arial" w:hAnsi="Arial"/>
          <w:sz w:val="13"/>
          <w:szCs w:val="13"/>
          <w:u w:val="single" w:color="auto"/>
          <w:color w:val="auto"/>
        </w:rPr>
        <w:t>Acknowledgement of Receipt</w:t>
      </w:r>
      <w:r>
        <w:rPr>
          <w:rFonts w:ascii="Arial" w:cs="Arial" w:eastAsia="Arial" w:hAnsi="Arial"/>
          <w:sz w:val="13"/>
          <w:szCs w:val="13"/>
          <w:color w:val="auto"/>
        </w:rPr>
        <w:t>. I acknowledge that I received a copy of this Agreement prior to accepting my transfer, promotion, or hire into my new role and that execution of this Agreement was an express condition of such transfer, promotion, or hire.</w:t>
      </w:r>
    </w:p>
    <w:p>
      <w:pPr>
        <w:spacing w:after="0" w:line="150" w:lineRule="exact"/>
        <w:rPr>
          <w:rFonts w:ascii="Arial" w:cs="Arial" w:eastAsia="Arial" w:hAnsi="Arial"/>
          <w:sz w:val="14"/>
          <w:szCs w:val="14"/>
          <w:color w:val="auto"/>
        </w:rPr>
      </w:pPr>
    </w:p>
    <w:p>
      <w:pPr>
        <w:ind w:right="80" w:firstLine="11"/>
        <w:spacing w:after="0" w:line="252" w:lineRule="auto"/>
        <w:tabs>
          <w:tab w:leader="none" w:pos="407" w:val="left"/>
        </w:tabs>
        <w:numPr>
          <w:ilvl w:val="0"/>
          <w:numId w:val="145"/>
        </w:numPr>
        <w:rPr>
          <w:rFonts w:ascii="Arial" w:cs="Arial" w:eastAsia="Arial" w:hAnsi="Arial"/>
          <w:sz w:val="14"/>
          <w:szCs w:val="14"/>
          <w:color w:val="auto"/>
        </w:rPr>
      </w:pPr>
      <w:r>
        <w:rPr>
          <w:rFonts w:ascii="Arial" w:cs="Arial" w:eastAsia="Arial" w:hAnsi="Arial"/>
          <w:sz w:val="13"/>
          <w:szCs w:val="13"/>
          <w:u w:val="single" w:color="auto"/>
          <w:color w:val="auto"/>
        </w:rPr>
        <w:t>Effectiveness of Agreement</w:t>
      </w:r>
      <w:r>
        <w:rPr>
          <w:rFonts w:ascii="Arial" w:cs="Arial" w:eastAsia="Arial" w:hAnsi="Arial"/>
          <w:sz w:val="13"/>
          <w:szCs w:val="13"/>
          <w:color w:val="auto"/>
        </w:rPr>
        <w:t>. This Agreement becomes effective when sign it. The obligations under it continue throughout the entire period of time I am employed by Honeywell, without regard to the business within Honeywell with which I am associated and these obligations will continue after, and survive, the end of my employment with Honeywell.</w:t>
      </w:r>
    </w:p>
    <w:p>
      <w:pPr>
        <w:spacing w:after="0" w:line="150" w:lineRule="exact"/>
        <w:rPr>
          <w:rFonts w:ascii="Arial" w:cs="Arial" w:eastAsia="Arial" w:hAnsi="Arial"/>
          <w:sz w:val="14"/>
          <w:szCs w:val="14"/>
          <w:color w:val="auto"/>
        </w:rPr>
      </w:pPr>
    </w:p>
    <w:p>
      <w:pPr>
        <w:ind w:right="80" w:firstLine="11"/>
        <w:spacing w:after="0" w:line="252" w:lineRule="auto"/>
        <w:tabs>
          <w:tab w:leader="none" w:pos="407" w:val="left"/>
        </w:tabs>
        <w:numPr>
          <w:ilvl w:val="0"/>
          <w:numId w:val="145"/>
        </w:numPr>
        <w:rPr>
          <w:rFonts w:ascii="Arial" w:cs="Arial" w:eastAsia="Arial" w:hAnsi="Arial"/>
          <w:sz w:val="14"/>
          <w:szCs w:val="14"/>
          <w:color w:val="auto"/>
        </w:rPr>
      </w:pPr>
      <w:r>
        <w:rPr>
          <w:rFonts w:ascii="Arial" w:cs="Arial" w:eastAsia="Arial" w:hAnsi="Arial"/>
          <w:sz w:val="13"/>
          <w:szCs w:val="13"/>
          <w:u w:val="single" w:color="auto"/>
          <w:color w:val="auto"/>
        </w:rPr>
        <w:t>Notice to Future Employers</w:t>
      </w:r>
      <w:r>
        <w:rPr>
          <w:rFonts w:ascii="Arial" w:cs="Arial" w:eastAsia="Arial" w:hAnsi="Arial"/>
          <w:sz w:val="13"/>
          <w:szCs w:val="13"/>
          <w:color w:val="auto"/>
        </w:rPr>
        <w:t>. For the period of one (1) year immediately following the end of my employment with Honeywell, I will inform each new prospective employer, prior to accepting employment, of the existence of this Agreement and provide that prospective employer with a copy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Page 4 of 6</w:t>
      </w:r>
    </w:p>
    <w:p>
      <w:pPr>
        <w:sectPr>
          <w:pgSz w:w="11900" w:h="16838" w:orient="portrait"/>
          <w:cols w:equalWidth="0" w:num="1">
            <w:col w:w="11280"/>
          </w:cols>
          <w:pgMar w:left="300" w:top="1173" w:right="319" w:bottom="1440" w:gutter="0" w:footer="0" w:header="0"/>
        </w:sectPr>
      </w:pPr>
    </w:p>
    <w:bookmarkStart w:id="145" w:name="page146"/>
    <w:bookmarkEnd w:id="145"/>
    <w:p>
      <w:pPr>
        <w:ind w:left="8"/>
        <w:spacing w:after="0"/>
        <w:rPr>
          <w:sz w:val="20"/>
          <w:szCs w:val="20"/>
          <w:color w:val="auto"/>
        </w:rPr>
      </w:pPr>
      <w:r>
        <w:rPr>
          <w:rFonts w:ascii="Arial" w:cs="Arial" w:eastAsia="Arial" w:hAnsi="Arial"/>
          <w:sz w:val="13"/>
          <w:szCs w:val="13"/>
          <w:color w:val="auto"/>
        </w:rPr>
        <w:t>it. Honeywell has the right to inform any future employer of the existence of this Agreement and to provide any future employers with a copy of it.</w:t>
      </w:r>
    </w:p>
    <w:p>
      <w:pPr>
        <w:spacing w:after="0" w:line="166" w:lineRule="exact"/>
        <w:rPr>
          <w:sz w:val="20"/>
          <w:szCs w:val="20"/>
          <w:color w:val="auto"/>
        </w:rPr>
      </w:pPr>
    </w:p>
    <w:p>
      <w:pPr>
        <w:ind w:left="8" w:firstLine="11"/>
        <w:spacing w:after="0" w:line="314" w:lineRule="auto"/>
        <w:tabs>
          <w:tab w:leader="none" w:pos="415" w:val="left"/>
        </w:tabs>
        <w:numPr>
          <w:ilvl w:val="0"/>
          <w:numId w:val="146"/>
        </w:numPr>
        <w:rPr>
          <w:rFonts w:ascii="Arial" w:cs="Arial" w:eastAsia="Arial" w:hAnsi="Arial"/>
          <w:sz w:val="12"/>
          <w:szCs w:val="12"/>
          <w:color w:val="auto"/>
        </w:rPr>
      </w:pPr>
      <w:r>
        <w:rPr>
          <w:rFonts w:ascii="Arial" w:cs="Arial" w:eastAsia="Arial" w:hAnsi="Arial"/>
          <w:sz w:val="12"/>
          <w:szCs w:val="12"/>
          <w:u w:val="single" w:color="auto"/>
          <w:color w:val="auto"/>
        </w:rPr>
        <w:t>Governing Law and Venue</w:t>
      </w:r>
      <w:r>
        <w:rPr>
          <w:rFonts w:ascii="Arial" w:cs="Arial" w:eastAsia="Arial" w:hAnsi="Arial"/>
          <w:sz w:val="12"/>
          <w:szCs w:val="12"/>
          <w:color w:val="auto"/>
        </w:rPr>
        <w:t>. This Agreement shall be governed by and construed in accordance with the laws of the State of North Carolina without regard to its principles of conflicts of law. I hereby consent to the exclusive jurisdiction and venue in the federal and state courts of the State of North Carolina, Mecklenburg County, for the resolution of all disputes arising under, or relating to, this Agreement.</w:t>
      </w:r>
    </w:p>
    <w:p>
      <w:pPr>
        <w:spacing w:after="0" w:line="98" w:lineRule="exact"/>
        <w:rPr>
          <w:sz w:val="20"/>
          <w:szCs w:val="20"/>
          <w:color w:val="auto"/>
        </w:rPr>
      </w:pPr>
    </w:p>
    <w:p>
      <w:pPr>
        <w:ind w:left="328" w:hanging="328"/>
        <w:spacing w:after="0"/>
        <w:tabs>
          <w:tab w:leader="none" w:pos="328"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Additional Definitions</w:t>
      </w:r>
      <w:r>
        <w:rPr>
          <w:rFonts w:ascii="Arial" w:cs="Arial" w:eastAsia="Arial" w:hAnsi="Arial"/>
          <w:sz w:val="13"/>
          <w:szCs w:val="13"/>
          <w:color w:val="auto"/>
        </w:rPr>
        <w:t>.</w:t>
      </w:r>
    </w:p>
    <w:p>
      <w:pPr>
        <w:spacing w:after="0" w:line="148" w:lineRule="exact"/>
        <w:rPr>
          <w:sz w:val="20"/>
          <w:szCs w:val="20"/>
          <w:color w:val="auto"/>
        </w:rPr>
      </w:pPr>
    </w:p>
    <w:p>
      <w:pPr>
        <w:jc w:val="both"/>
        <w:ind w:left="8" w:right="80" w:firstLine="415"/>
        <w:spacing w:after="0" w:line="250" w:lineRule="auto"/>
        <w:rPr>
          <w:sz w:val="20"/>
          <w:szCs w:val="20"/>
          <w:color w:val="auto"/>
        </w:rPr>
      </w:pPr>
      <w:r>
        <w:rPr>
          <w:rFonts w:ascii="Arial" w:cs="Arial" w:eastAsia="Arial" w:hAnsi="Arial"/>
          <w:sz w:val="13"/>
          <w:szCs w:val="13"/>
          <w:color w:val="auto"/>
        </w:rPr>
        <w:t>"Confidential Information" means information that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or held by Honeywell in confidence.</w:t>
      </w:r>
    </w:p>
    <w:p>
      <w:pPr>
        <w:spacing w:after="0" w:line="137" w:lineRule="exact"/>
        <w:rPr>
          <w:sz w:val="20"/>
          <w:szCs w:val="20"/>
          <w:color w:val="auto"/>
        </w:rPr>
      </w:pPr>
    </w:p>
    <w:p>
      <w:pPr>
        <w:jc w:val="both"/>
        <w:ind w:left="8" w:right="80" w:firstLine="409"/>
        <w:spacing w:after="0" w:line="314" w:lineRule="auto"/>
        <w:rPr>
          <w:sz w:val="20"/>
          <w:szCs w:val="20"/>
          <w:color w:val="auto"/>
        </w:rPr>
      </w:pPr>
      <w:r>
        <w:rPr>
          <w:rFonts w:ascii="Arial" w:cs="Arial" w:eastAsia="Arial" w:hAnsi="Arial"/>
          <w:sz w:val="12"/>
          <w:szCs w:val="12"/>
          <w:color w:val="auto"/>
        </w:rPr>
        <w:t>"Honeywell" collectively identifies Honeywell International Inc. (a Delaware corporation having its headquarters in Charlotte, Mecklenburg County, North Carolina), its predecessors, designees and successors and its past, present and future operating companies, divisions, subsidiaries, affiliates and other business units, including businesses acquired by purchase of assets, stock, merger or otherwise.</w:t>
      </w:r>
    </w:p>
    <w:p>
      <w:pPr>
        <w:spacing w:after="0" w:line="7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"Look Back Period" means the two (2) year period ending on the date of my Termination of Employment.</w:t>
      </w:r>
    </w:p>
    <w:p>
      <w:pPr>
        <w:spacing w:after="0" w:line="166" w:lineRule="exact"/>
        <w:rPr>
          <w:sz w:val="20"/>
          <w:szCs w:val="20"/>
          <w:color w:val="auto"/>
        </w:rPr>
      </w:pPr>
    </w:p>
    <w:p>
      <w:pPr>
        <w:jc w:val="both"/>
        <w:ind w:left="8" w:right="60" w:firstLine="415"/>
        <w:spacing w:after="0" w:line="271" w:lineRule="auto"/>
        <w:rPr>
          <w:sz w:val="20"/>
          <w:szCs w:val="20"/>
          <w:color w:val="auto"/>
        </w:rPr>
      </w:pPr>
      <w:r>
        <w:rPr>
          <w:rFonts w:ascii="Arial" w:cs="Arial" w:eastAsia="Arial" w:hAnsi="Arial"/>
          <w:sz w:val="13"/>
          <w:szCs w:val="13"/>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30" w:lineRule="exact"/>
        <w:rPr>
          <w:sz w:val="20"/>
          <w:szCs w:val="20"/>
          <w:color w:val="auto"/>
        </w:rPr>
      </w:pPr>
    </w:p>
    <w:p>
      <w:pPr>
        <w:ind w:left="28"/>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Headings</w:t>
      </w:r>
      <w:r>
        <w:rPr>
          <w:rFonts w:ascii="Arial" w:cs="Arial" w:eastAsia="Arial" w:hAnsi="Arial"/>
          <w:sz w:val="13"/>
          <w:szCs w:val="13"/>
          <w:color w:val="auto"/>
        </w:rPr>
        <w:t>. The headings of the paragraphs of this Agreement are inserted for convenience only and shall not in any way affect the meaning or construction of this Agreement.</w:t>
      </w:r>
    </w:p>
    <w:p>
      <w:pPr>
        <w:spacing w:after="0" w:line="166" w:lineRule="exact"/>
        <w:rPr>
          <w:sz w:val="20"/>
          <w:szCs w:val="20"/>
          <w:color w:val="auto"/>
        </w:rPr>
      </w:pPr>
    </w:p>
    <w:p>
      <w:pPr>
        <w:jc w:val="both"/>
        <w:ind w:left="28" w:right="60" w:firstLine="2"/>
        <w:spacing w:after="0" w:line="271" w:lineRule="auto"/>
        <w:rPr>
          <w:sz w:val="20"/>
          <w:szCs w:val="20"/>
          <w:color w:val="auto"/>
        </w:rPr>
      </w:pPr>
      <w:r>
        <w:rPr>
          <w:rFonts w:ascii="Arial" w:cs="Arial" w:eastAsia="Arial" w:hAnsi="Arial"/>
          <w:sz w:val="13"/>
          <w:szCs w:val="13"/>
          <w:color w:val="auto"/>
        </w:rPr>
        <w:t>I have carefully read this Agreement. I understand and accept its terms. I understand and agree that I will continue to be bound by the provisions of this Agreement after my employment with Honeywell has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33528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8">
                      <a:extLst>
                        <a:ext uri="{28A0092B-C50C-407E-A947-70E740481C1C}"/>
                      </a:extLst>
                    </a:blip>
                    <a:srcRect/>
                    <a:stretch>
                      <a:fillRect/>
                    </a:stretch>
                  </pic:blipFill>
                  <pic:spPr bwMode="auto">
                    <a:xfrm>
                      <a:off x="0" y="0"/>
                      <a:ext cx="335280" cy="571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169545</wp:posOffset>
            </wp:positionV>
            <wp:extent cx="33528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9">
                      <a:extLst>
                        <a:ext uri="{28A0092B-C50C-407E-A947-70E740481C1C}"/>
                      </a:extLst>
                    </a:blip>
                    <a:srcRect/>
                    <a:stretch>
                      <a:fillRect/>
                    </a:stretch>
                  </pic:blipFill>
                  <pic:spPr bwMode="auto">
                    <a:xfrm>
                      <a:off x="0" y="0"/>
                      <a:ext cx="335280" cy="5715"/>
                    </a:xfrm>
                    <a:prstGeom prst="rect">
                      <a:avLst/>
                    </a:prstGeom>
                    <a:noFill/>
                  </pic:spPr>
                </pic:pic>
              </a:graphicData>
            </a:graphic>
          </wp:anchor>
        </w:drawing>
      </w:r>
    </w:p>
    <w:p>
      <w:pPr>
        <w:spacing w:after="0" w:line="254" w:lineRule="exact"/>
        <w:rPr>
          <w:sz w:val="20"/>
          <w:szCs w:val="20"/>
          <w:color w:val="auto"/>
        </w:rPr>
      </w:pPr>
    </w:p>
    <w:p>
      <w:pPr>
        <w:ind w:left="8"/>
        <w:spacing w:after="0"/>
        <w:tabs>
          <w:tab w:leader="none" w:pos="1448" w:val="left"/>
        </w:tabs>
        <w:rPr>
          <w:sz w:val="20"/>
          <w:szCs w:val="20"/>
          <w:color w:val="auto"/>
        </w:rPr>
      </w:pPr>
      <w:r>
        <w:rPr>
          <w:rFonts w:ascii="Arial" w:cs="Arial" w:eastAsia="Arial" w:hAnsi="Arial"/>
          <w:sz w:val="13"/>
          <w:szCs w:val="13"/>
          <w:color w:val="auto"/>
        </w:rPr>
        <w:t>EXECUTIVE NAME</w:t>
      </w:r>
      <w:r>
        <w:rPr>
          <w:sz w:val="20"/>
          <w:szCs w:val="20"/>
          <w:color w:val="auto"/>
        </w:rPr>
        <w:tab/>
      </w:r>
      <w:r>
        <w:rPr>
          <w:rFonts w:ascii="Arial" w:cs="Arial" w:eastAsia="Arial" w:hAnsi="Arial"/>
          <w:sz w:val="11"/>
          <w:szCs w:val="1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8"/>
        <w:spacing w:after="0"/>
        <w:rPr>
          <w:sz w:val="20"/>
          <w:szCs w:val="20"/>
          <w:color w:val="auto"/>
        </w:rPr>
      </w:pPr>
      <w:r>
        <w:rPr>
          <w:rFonts w:ascii="Arial" w:cs="Arial" w:eastAsia="Arial" w:hAnsi="Arial"/>
          <w:sz w:val="13"/>
          <w:szCs w:val="13"/>
          <w:color w:val="auto"/>
        </w:rPr>
        <w:t>Page 5 of 6</w:t>
      </w:r>
    </w:p>
    <w:p>
      <w:pPr>
        <w:sectPr>
          <w:pgSz w:w="11900" w:h="16838" w:orient="portrait"/>
          <w:cols w:equalWidth="0" w:num="1">
            <w:col w:w="11208"/>
          </w:cols>
          <w:pgMar w:left="292" w:top="1173" w:right="399" w:bottom="1440" w:gutter="0" w:footer="0" w:header="0"/>
        </w:sectPr>
      </w:pPr>
    </w:p>
    <w:bookmarkStart w:id="146" w:name="page147"/>
    <w:bookmarkEnd w:id="146"/>
    <w:p>
      <w:pPr>
        <w:ind w:left="160"/>
        <w:spacing w:after="0"/>
        <w:rPr>
          <w:sz w:val="20"/>
          <w:szCs w:val="20"/>
          <w:color w:val="auto"/>
        </w:rPr>
      </w:pPr>
      <w:r>
        <w:rPr>
          <w:rFonts w:ascii="Arial" w:cs="Arial" w:eastAsia="Arial" w:hAnsi="Arial"/>
          <w:sz w:val="13"/>
          <w:szCs w:val="13"/>
          <w:color w:val="auto"/>
        </w:rPr>
        <w:t>ADDENDUM TO HONEYWELL INTERNATIONAL INC.</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NONCOMPETE AGREEMENT FOR SELECT MANAGEMENT EMPLOYEES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[EXECUTIVE NAME] EMPLOYED AS [EXECUTIVE TITLE]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Pursuant to Paragraph 1 of your Honeywell International Noncompete Agreement for Select Management Employees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Based on your current role and responsibilities with Honeywell International Inc. as its [EXECUTIVE TITLE], the following companies are considered key competitors and therefore fall within the definition of a</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Competing Business, as that term is used in your Noncompete Agreement: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[COMPETITOR NAMES]</w:t>
      </w:r>
    </w:p>
    <w:p>
      <w:pPr>
        <w:spacing w:after="0" w:line="166" w:lineRule="exact"/>
        <w:rPr>
          <w:sz w:val="20"/>
          <w:szCs w:val="20"/>
          <w:color w:val="auto"/>
        </w:rPr>
      </w:pPr>
    </w:p>
    <w:p>
      <w:pPr>
        <w:jc w:val="both"/>
        <w:ind w:firstLine="2"/>
        <w:spacing w:after="0" w:line="250" w:lineRule="auto"/>
        <w:rPr>
          <w:sz w:val="20"/>
          <w:szCs w:val="20"/>
          <w:color w:val="auto"/>
        </w:rPr>
      </w:pPr>
      <w:r>
        <w:rPr>
          <w:rFonts w:ascii="Arial" w:cs="Arial" w:eastAsia="Arial" w:hAnsi="Arial"/>
          <w:sz w:val="13"/>
          <w:szCs w:val="13"/>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a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Page 6 of 6</w:t>
      </w:r>
    </w:p>
    <w:p>
      <w:pPr>
        <w:sectPr>
          <w:pgSz w:w="11900" w:h="16838" w:orient="portrait"/>
          <w:cols w:equalWidth="0" w:num="1">
            <w:col w:w="11280"/>
          </w:cols>
          <w:pgMar w:left="300" w:top="1182"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977265" cy="3086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0">
                      <a:extLst>
                        <a:ext uri="{28A0092B-C50C-407E-A947-70E740481C1C}"/>
                      </a:extLst>
                    </a:blip>
                    <a:srcRect/>
                    <a:stretch>
                      <a:fillRect/>
                    </a:stretch>
                  </pic:blipFill>
                  <pic:spPr bwMode="auto">
                    <a:xfrm>
                      <a:off x="0" y="0"/>
                      <a:ext cx="9772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Arial" w:cs="Arial" w:eastAsia="Arial" w:hAnsi="Arial"/>
          <w:sz w:val="14"/>
          <w:szCs w:val="14"/>
          <w:color w:val="auto"/>
        </w:rPr>
        <w:t>September 13, 2019</w:t>
      </w:r>
    </w:p>
    <w:p>
      <w:pPr>
        <w:spacing w:after="0" w:line="311" w:lineRule="exact"/>
        <w:rPr>
          <w:sz w:val="20"/>
          <w:szCs w:val="20"/>
          <w:color w:val="auto"/>
        </w:rPr>
      </w:pPr>
    </w:p>
    <w:p>
      <w:pPr>
        <w:ind w:left="8"/>
        <w:spacing w:after="0"/>
        <w:rPr>
          <w:sz w:val="20"/>
          <w:szCs w:val="20"/>
          <w:color w:val="auto"/>
        </w:rPr>
      </w:pPr>
      <w:r>
        <w:rPr>
          <w:rFonts w:ascii="Arial" w:cs="Arial" w:eastAsia="Arial" w:hAnsi="Arial"/>
          <w:sz w:val="14"/>
          <w:szCs w:val="14"/>
          <w:color w:val="auto"/>
        </w:rPr>
        <w:t>Michael Madsen</w:t>
      </w:r>
    </w:p>
    <w:p>
      <w:pPr>
        <w:ind w:left="8"/>
        <w:spacing w:after="0" w:line="214" w:lineRule="auto"/>
        <w:rPr>
          <w:sz w:val="20"/>
          <w:szCs w:val="20"/>
          <w:color w:val="auto"/>
        </w:rPr>
      </w:pPr>
      <w:r>
        <w:rPr>
          <w:rFonts w:ascii="Arial" w:cs="Arial" w:eastAsia="Arial" w:hAnsi="Arial"/>
          <w:sz w:val="14"/>
          <w:szCs w:val="14"/>
          <w:color w:val="auto"/>
        </w:rPr>
        <w:t>1944 E Sky Harbor Circle</w:t>
      </w:r>
    </w:p>
    <w:p>
      <w:pPr>
        <w:ind w:left="8"/>
        <w:spacing w:after="0"/>
        <w:rPr>
          <w:sz w:val="20"/>
          <w:szCs w:val="20"/>
          <w:color w:val="auto"/>
        </w:rPr>
      </w:pPr>
      <w:r>
        <w:rPr>
          <w:rFonts w:ascii="Arial" w:cs="Arial" w:eastAsia="Arial" w:hAnsi="Arial"/>
          <w:sz w:val="14"/>
          <w:szCs w:val="14"/>
          <w:color w:val="auto"/>
        </w:rPr>
        <w:t>Phoenix, Arizona 85034</w:t>
      </w:r>
    </w:p>
    <w:p>
      <w:pPr>
        <w:spacing w:after="0" w:line="133" w:lineRule="exact"/>
        <w:rPr>
          <w:sz w:val="20"/>
          <w:szCs w:val="20"/>
          <w:color w:val="auto"/>
        </w:rPr>
      </w:pPr>
    </w:p>
    <w:p>
      <w:pPr>
        <w:ind w:left="8"/>
        <w:spacing w:after="0"/>
        <w:tabs>
          <w:tab w:leader="none" w:pos="328" w:val="left"/>
        </w:tabs>
        <w:rPr>
          <w:sz w:val="20"/>
          <w:szCs w:val="20"/>
          <w:color w:val="auto"/>
        </w:rPr>
      </w:pPr>
      <w:r>
        <w:rPr>
          <w:rFonts w:ascii="Arial" w:cs="Arial" w:eastAsia="Arial" w:hAnsi="Arial"/>
          <w:sz w:val="14"/>
          <w:szCs w:val="14"/>
          <w:i w:val="1"/>
          <w:iCs w:val="1"/>
          <w:color w:val="auto"/>
        </w:rPr>
        <w:t>Re:</w:t>
        <w:tab/>
        <w:t>Offer Letter</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Dear Mike:</w:t>
      </w:r>
    </w:p>
    <w:p>
      <w:pPr>
        <w:spacing w:after="0" w:line="145" w:lineRule="exact"/>
        <w:rPr>
          <w:sz w:val="20"/>
          <w:szCs w:val="20"/>
          <w:color w:val="auto"/>
        </w:rPr>
      </w:pPr>
    </w:p>
    <w:p>
      <w:pPr>
        <w:jc w:val="both"/>
        <w:ind w:left="8"/>
        <w:spacing w:after="0" w:line="239" w:lineRule="auto"/>
        <w:rPr>
          <w:sz w:val="20"/>
          <w:szCs w:val="20"/>
          <w:color w:val="auto"/>
        </w:rPr>
      </w:pPr>
      <w:r>
        <w:rPr>
          <w:rFonts w:ascii="Arial" w:cs="Arial" w:eastAsia="Arial" w:hAnsi="Arial"/>
          <w:sz w:val="14"/>
          <w:szCs w:val="14"/>
          <w:color w:val="auto"/>
        </w:rPr>
        <w:t>I am pleased to confirm our offer to you to become President and Chief Executive Officer, Honeywell Aerospace (Executive Band), based in Phoenix, Arizona, reporting directly to Darius Adamczyk. The effective date of your promotion will be mutually agreed upon (“Effective Date”), subject to the terms and conditions of this offer letter. In this position, you will become an Executive Officer of Honeywell.</w:t>
      </w:r>
      <w:r>
        <w:rPr>
          <w:rFonts w:ascii="Arial" w:cs="Arial" w:eastAsia="Arial" w:hAnsi="Arial"/>
          <w:sz w:val="18"/>
          <w:szCs w:val="18"/>
          <w:color w:val="auto"/>
          <w:vertAlign w:val="superscript"/>
        </w:rPr>
        <w:t>1</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connection with your new role, you will be entitled to the following compensation</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and benefits package:</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COMPENSATION</w:t>
      </w:r>
    </w:p>
    <w:p>
      <w:pPr>
        <w:spacing w:after="0" w:line="145" w:lineRule="exact"/>
        <w:rPr>
          <w:sz w:val="20"/>
          <w:szCs w:val="20"/>
          <w:color w:val="auto"/>
        </w:rPr>
      </w:pPr>
    </w:p>
    <w:p>
      <w:pPr>
        <w:jc w:val="both"/>
        <w:ind w:left="8"/>
        <w:spacing w:after="0" w:line="252" w:lineRule="auto"/>
        <w:rPr>
          <w:sz w:val="20"/>
          <w:szCs w:val="20"/>
          <w:color w:val="auto"/>
        </w:rPr>
      </w:pPr>
      <w:r>
        <w:rPr>
          <w:rFonts w:ascii="Arial" w:cs="Arial" w:eastAsia="Arial" w:hAnsi="Arial"/>
          <w:sz w:val="14"/>
          <w:szCs w:val="14"/>
          <w:b w:val="1"/>
          <w:bCs w:val="1"/>
          <w:color w:val="auto"/>
        </w:rPr>
        <w:t>Base Salary</w:t>
      </w:r>
      <w:r>
        <w:rPr>
          <w:rFonts w:ascii="Arial" w:cs="Arial" w:eastAsia="Arial" w:hAnsi="Arial"/>
          <w:sz w:val="14"/>
          <w:szCs w:val="14"/>
          <w:color w:val="auto"/>
        </w:rPr>
        <w:t>: As of the Effective Date, your annual base salary will be increased to $700,000. Base salary reviews occur annually and any adjustments are generally at the end of the first quarter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calendar year. Adjustments are based on your performance and other relevant factors. You will next be eligible for a base salary review in March of 2020.</w:t>
      </w:r>
    </w:p>
    <w:p>
      <w:pPr>
        <w:spacing w:after="0" w:line="112" w:lineRule="exact"/>
        <w:rPr>
          <w:sz w:val="20"/>
          <w:szCs w:val="20"/>
          <w:color w:val="auto"/>
        </w:rPr>
      </w:pPr>
    </w:p>
    <w:p>
      <w:pPr>
        <w:jc w:val="both"/>
        <w:ind w:left="8"/>
        <w:spacing w:after="0" w:line="235" w:lineRule="auto"/>
        <w:rPr>
          <w:sz w:val="20"/>
          <w:szCs w:val="20"/>
          <w:color w:val="auto"/>
        </w:rPr>
      </w:pPr>
      <w:r>
        <w:rPr>
          <w:rFonts w:ascii="Arial" w:cs="Arial" w:eastAsia="Arial" w:hAnsi="Arial"/>
          <w:sz w:val="14"/>
          <w:szCs w:val="14"/>
          <w:b w:val="1"/>
          <w:bCs w:val="1"/>
          <w:color w:val="auto"/>
        </w:rPr>
        <w:t>Annual Incentive Compensation</w:t>
      </w:r>
      <w:r>
        <w:rPr>
          <w:rFonts w:ascii="Arial" w:cs="Arial" w:eastAsia="Arial" w:hAnsi="Arial"/>
          <w:sz w:val="14"/>
          <w:szCs w:val="14"/>
          <w:color w:val="auto"/>
        </w:rPr>
        <w:t>: As of the Effective Date, your target incentive compensation opportunity will be 100% of your annual cash base salary earnings during the year. For 2019, your</w:t>
      </w:r>
      <w:r>
        <w:rPr>
          <w:rFonts w:ascii="Arial" w:cs="Arial" w:eastAsia="Arial" w:hAnsi="Arial"/>
          <w:sz w:val="14"/>
          <w:szCs w:val="14"/>
          <w:b w:val="1"/>
          <w:bCs w:val="1"/>
          <w:color w:val="auto"/>
        </w:rPr>
        <w:t xml:space="preserve"> </w:t>
      </w:r>
      <w:r>
        <w:rPr>
          <w:rFonts w:ascii="Arial" w:cs="Arial" w:eastAsia="Arial" w:hAnsi="Arial"/>
          <w:sz w:val="14"/>
          <w:szCs w:val="14"/>
          <w:color w:val="auto"/>
        </w:rPr>
        <w:t>incentive compensation award will be prorated based on the number of days your target incentive was 55%, and the number of days your target incentive will be 100%. Incentive compensation awards are paid in the first quarter of the following year (i.e., 2020 for 2019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14300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99" w:lineRule="exact"/>
        <w:rPr>
          <w:sz w:val="20"/>
          <w:szCs w:val="20"/>
          <w:color w:val="auto"/>
        </w:rPr>
      </w:pPr>
    </w:p>
    <w:p>
      <w:pPr>
        <w:ind w:left="88" w:hanging="88"/>
        <w:spacing w:after="0" w:line="201" w:lineRule="auto"/>
        <w:tabs>
          <w:tab w:leader="none" w:pos="72" w:val="left"/>
        </w:tabs>
        <w:numPr>
          <w:ilvl w:val="0"/>
          <w:numId w:val="148"/>
        </w:numPr>
        <w:rPr>
          <w:rFonts w:ascii="Arial" w:cs="Arial" w:eastAsia="Arial" w:hAnsi="Arial"/>
          <w:sz w:val="16"/>
          <w:szCs w:val="16"/>
          <w:color w:val="auto"/>
          <w:vertAlign w:val="superscript"/>
        </w:rPr>
      </w:pPr>
      <w:r>
        <w:rPr>
          <w:rFonts w:ascii="Arial" w:cs="Arial" w:eastAsia="Arial" w:hAnsi="Arial"/>
          <w:sz w:val="12"/>
          <w:szCs w:val="12"/>
          <w:color w:val="auto"/>
        </w:rPr>
        <w:t>Note, this offer is contingent upon your election as a Honeywell corporate officer by the Company’s Board of Directors. It is expected that you will be so elected at the next regularly scheduled Board Meeting, which is expected to be on or about September 27, 2019. You will not become a corporate officer until the later of such election or your Effective Date.</w:t>
      </w:r>
    </w:p>
    <w:p>
      <w:pPr>
        <w:spacing w:after="0" w:line="36" w:lineRule="exact"/>
        <w:rPr>
          <w:sz w:val="20"/>
          <w:szCs w:val="20"/>
          <w:color w:val="auto"/>
        </w:rPr>
      </w:pPr>
    </w:p>
    <w:p>
      <w:pPr>
        <w:jc w:val="both"/>
        <w:ind w:left="88" w:hanging="88"/>
        <w:spacing w:after="0" w:line="201" w:lineRule="auto"/>
        <w:tabs>
          <w:tab w:leader="none" w:pos="86" w:val="left"/>
        </w:tabs>
        <w:numPr>
          <w:ilvl w:val="0"/>
          <w:numId w:val="149"/>
        </w:numPr>
        <w:rPr>
          <w:rFonts w:ascii="Arial" w:cs="Arial" w:eastAsia="Arial" w:hAnsi="Arial"/>
          <w:sz w:val="16"/>
          <w:szCs w:val="16"/>
          <w:color w:val="auto"/>
          <w:vertAlign w:val="superscript"/>
        </w:rPr>
      </w:pPr>
      <w:r>
        <w:rPr>
          <w:rFonts w:ascii="Arial" w:cs="Arial" w:eastAsia="Arial" w:hAnsi="Arial"/>
          <w:sz w:val="12"/>
          <w:szCs w:val="12"/>
          <w:color w:val="auto"/>
        </w:rPr>
        <w:t>As a corporate officer of Honeywell, your compensation must be officially approved by the Management Development and Compensation Committee of the Company’s Board of Directors (“MDCC”). It is expected that your compensation package will be so approved at the next regularly scheduled meeting of the MDCC, which is expected to be on or about September 26, 2019. Such approval, however, is expressly conditioned on your subsequent election as a Honeywell corporate officer by the Company’s Board of Directors.</w:t>
      </w:r>
    </w:p>
    <w:p>
      <w:pPr>
        <w:sectPr>
          <w:pgSz w:w="11900" w:h="16838" w:orient="portrait"/>
          <w:cols w:equalWidth="0" w:num="1">
            <w:col w:w="11308"/>
          </w:cols>
          <w:pgMar w:left="292" w:top="994" w:right="299" w:bottom="1440" w:gutter="0" w:footer="0" w:header="0"/>
        </w:sectPr>
      </w:pPr>
    </w:p>
    <w:bookmarkStart w:id="148" w:name="page149"/>
    <w:bookmarkEnd w:id="148"/>
    <w:p>
      <w:pPr>
        <w:jc w:val="both"/>
        <w:spacing w:after="0" w:line="250" w:lineRule="auto"/>
        <w:rPr>
          <w:sz w:val="20"/>
          <w:szCs w:val="20"/>
          <w:color w:val="auto"/>
        </w:rPr>
      </w:pPr>
      <w:r>
        <w:rPr>
          <w:rFonts w:ascii="Arial" w:cs="Arial" w:eastAsia="Arial" w:hAnsi="Arial"/>
          <w:sz w:val="13"/>
          <w:szCs w:val="13"/>
          <w:b w:val="1"/>
          <w:bCs w:val="1"/>
          <w:color w:val="auto"/>
        </w:rPr>
        <w:t xml:space="preserve">Annual Long-Term Incentive Awards: </w:t>
      </w:r>
      <w:r>
        <w:rPr>
          <w:rFonts w:ascii="Arial" w:cs="Arial" w:eastAsia="Arial" w:hAnsi="Arial"/>
          <w:sz w:val="13"/>
          <w:szCs w:val="13"/>
          <w:color w:val="auto"/>
        </w:rPr>
        <w:t>Beginning in 2020, you will be eligible for annual long-term incentive (“LTI”) awards with a target value equal to 375% of your base salary. Your LTI</w:t>
      </w:r>
      <w:r>
        <w:rPr>
          <w:rFonts w:ascii="Arial" w:cs="Arial" w:eastAsia="Arial" w:hAnsi="Arial"/>
          <w:sz w:val="13"/>
          <w:szCs w:val="13"/>
          <w:b w:val="1"/>
          <w:bCs w:val="1"/>
          <w:color w:val="auto"/>
        </w:rPr>
        <w:t xml:space="preserve"> </w:t>
      </w:r>
      <w:r>
        <w:rPr>
          <w:rFonts w:ascii="Arial" w:cs="Arial" w:eastAsia="Arial" w:hAnsi="Arial"/>
          <w:sz w:val="13"/>
          <w:szCs w:val="13"/>
          <w:color w:val="auto"/>
        </w:rPr>
        <w:t>awards shall consist of stock options, restricted stock units, performance stock units or cash-based awards, or some combination thereof, as determined by the Company in its discretion. The actual size and mix of your annual LTI awards will be determined by the MDCC based on your performance and future career potential with Honeywell. The terms of all LTI awards are governed by the terms of the applicable stock plan and the relevant award agreements. Moreover, Honeywell and the MDCC reserve the right to modify the design or mix of the LTI award program in the future.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EXECUTIVE BENEFITS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You will also be entitled to the following Executive Benefits:</w:t>
      </w:r>
    </w:p>
    <w:p>
      <w:pPr>
        <w:spacing w:after="0" w:line="154" w:lineRule="exact"/>
        <w:rPr>
          <w:sz w:val="20"/>
          <w:szCs w:val="20"/>
          <w:color w:val="auto"/>
        </w:rPr>
      </w:pPr>
    </w:p>
    <w:p>
      <w:pPr>
        <w:ind w:left="420" w:hanging="212"/>
        <w:spacing w:after="0" w:line="246" w:lineRule="auto"/>
        <w:tabs>
          <w:tab w:leader="none" w:pos="417" w:val="left"/>
        </w:tabs>
        <w:numPr>
          <w:ilvl w:val="0"/>
          <w:numId w:val="150"/>
        </w:numPr>
        <w:rPr>
          <w:rFonts w:ascii="Arial" w:cs="Arial" w:eastAsia="Arial" w:hAnsi="Arial"/>
          <w:sz w:val="12"/>
          <w:szCs w:val="12"/>
          <w:color w:val="auto"/>
        </w:rPr>
      </w:pPr>
      <w:r>
        <w:rPr>
          <w:rFonts w:ascii="Arial" w:cs="Arial" w:eastAsia="Arial" w:hAnsi="Arial"/>
          <w:sz w:val="14"/>
          <w:szCs w:val="14"/>
          <w:i w:val="1"/>
          <w:iCs w:val="1"/>
          <w:color w:val="auto"/>
        </w:rPr>
        <w:t xml:space="preserve">Excess Liability Insurance: </w:t>
      </w:r>
      <w:r>
        <w:rPr>
          <w:rFonts w:ascii="Arial" w:cs="Arial" w:eastAsia="Arial" w:hAnsi="Arial"/>
          <w:sz w:val="14"/>
          <w:szCs w:val="14"/>
          <w:color w:val="auto"/>
        </w:rPr>
        <w:t>Honeywell will pay the annual premium for an Excess Liability Insurance policy that provides $10,000,000 of personal liability umbrella coverage per</w:t>
      </w:r>
      <w:r>
        <w:rPr>
          <w:rFonts w:ascii="Arial" w:cs="Arial" w:eastAsia="Arial" w:hAnsi="Arial"/>
          <w:sz w:val="14"/>
          <w:szCs w:val="14"/>
          <w:i w:val="1"/>
          <w:iCs w:val="1"/>
          <w:color w:val="auto"/>
        </w:rPr>
        <w:t xml:space="preserve"> </w:t>
      </w:r>
      <w:r>
        <w:rPr>
          <w:rFonts w:ascii="Arial" w:cs="Arial" w:eastAsia="Arial" w:hAnsi="Arial"/>
          <w:sz w:val="14"/>
          <w:szCs w:val="14"/>
          <w:color w:val="auto"/>
        </w:rPr>
        <w:t>occurrence.</w:t>
      </w:r>
    </w:p>
    <w:p>
      <w:pPr>
        <w:spacing w:after="0" w:line="119" w:lineRule="exact"/>
        <w:rPr>
          <w:rFonts w:ascii="Arial" w:cs="Arial" w:eastAsia="Arial" w:hAnsi="Arial"/>
          <w:sz w:val="12"/>
          <w:szCs w:val="12"/>
          <w:color w:val="auto"/>
        </w:rPr>
      </w:pPr>
    </w:p>
    <w:p>
      <w:pPr>
        <w:jc w:val="both"/>
        <w:ind w:left="420" w:hanging="212"/>
        <w:spacing w:after="0" w:line="228" w:lineRule="auto"/>
        <w:tabs>
          <w:tab w:leader="none" w:pos="417" w:val="left"/>
        </w:tabs>
        <w:numPr>
          <w:ilvl w:val="0"/>
          <w:numId w:val="150"/>
        </w:numPr>
        <w:rPr>
          <w:rFonts w:ascii="Arial" w:cs="Arial" w:eastAsia="Arial" w:hAnsi="Arial"/>
          <w:sz w:val="12"/>
          <w:szCs w:val="12"/>
          <w:color w:val="auto"/>
        </w:rPr>
      </w:pPr>
      <w:r>
        <w:rPr>
          <w:rFonts w:ascii="Arial" w:cs="Arial" w:eastAsia="Arial" w:hAnsi="Arial"/>
          <w:sz w:val="14"/>
          <w:szCs w:val="14"/>
          <w:i w:val="1"/>
          <w:iCs w:val="1"/>
          <w:color w:val="auto"/>
        </w:rPr>
        <w:t>Executive Severance</w:t>
      </w:r>
      <w:r>
        <w:rPr>
          <w:rFonts w:ascii="Arial" w:cs="Arial" w:eastAsia="Arial" w:hAnsi="Arial"/>
          <w:sz w:val="14"/>
          <w:szCs w:val="14"/>
          <w:color w:val="auto"/>
        </w:rPr>
        <w:t>: The Honeywell International Inc. Severance Plan for Designated Officers currently provides for 18 months of base salary continuation and target bonus if your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OWNERSHIP GUIDELINES FOR HONEYWELL OFFICERS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INTELLECTUAL PROPERTY AND NON-COMPETITION AGREEMENTS</w:t>
      </w:r>
    </w:p>
    <w:p>
      <w:pPr>
        <w:spacing w:after="0" w:line="158"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As a condition of this employment offer, you are required to execute, in the form attached hereto, (i) Honeywell’s “Employee Agreement Relating to Trade Secrets, Proprietary and Confidential Information” (“IP Agreement”), and (ii) the “Honeywell International Inc. Noncompete Agreement for Select Executives” (“Noncompete Agreement”), both of which are attached hereto.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ACCEPTANCE OF OFFER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Please indicate your acceptance of this offer by electronically signing this offer letter, as well as the IP Agreement and Noncompete Agreement via DocuSign.</w:t>
      </w:r>
    </w:p>
    <w:p>
      <w:pPr>
        <w:sectPr>
          <w:pgSz w:w="11900" w:h="16838" w:orient="portrait"/>
          <w:cols w:equalWidth="0" w:num="1">
            <w:col w:w="11300"/>
          </w:cols>
          <w:pgMar w:left="300" w:top="976" w:right="299" w:bottom="1440" w:gutter="0" w:footer="0" w:header="0"/>
        </w:sectPr>
      </w:pPr>
    </w:p>
    <w:bookmarkStart w:id="149" w:name="page150"/>
    <w:bookmarkEnd w:id="149"/>
    <w:p>
      <w:pPr>
        <w:jc w:val="both"/>
        <w:spacing w:after="0" w:line="233" w:lineRule="auto"/>
        <w:rPr>
          <w:sz w:val="20"/>
          <w:szCs w:val="20"/>
          <w:color w:val="auto"/>
        </w:rPr>
      </w:pPr>
      <w:r>
        <w:rPr>
          <w:rFonts w:ascii="Arial" w:cs="Arial" w:eastAsia="Arial" w:hAnsi="Arial"/>
          <w:sz w:val="14"/>
          <w:szCs w:val="14"/>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Mike, we are excited to be extending this offer to you and look forward to working with you in your expanded role. Your experience and background are an asset to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If you have any questions or need any further information about our offer, please contact me directly.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Congratulations,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 Mark R. James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Mark R. James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Human Resources, Security and Communications</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Read and Accepted: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Michael Madsen</w:t>
      </w:r>
    </w:p>
    <w:p>
      <w:pPr>
        <w:spacing w:after="0" w:line="4" w:lineRule="exact"/>
        <w:rPr>
          <w:sz w:val="20"/>
          <w:szCs w:val="20"/>
          <w:color w:val="auto"/>
        </w:rPr>
      </w:pPr>
    </w:p>
    <w:p>
      <w:pPr>
        <w:spacing w:after="0"/>
        <w:tabs>
          <w:tab w:leader="none" w:pos="2720" w:val="left"/>
        </w:tabs>
        <w:rPr>
          <w:sz w:val="20"/>
          <w:szCs w:val="20"/>
          <w:color w:val="auto"/>
        </w:rPr>
      </w:pPr>
      <w:r>
        <w:rPr>
          <w:rFonts w:ascii="Arial" w:cs="Arial" w:eastAsia="Arial" w:hAnsi="Arial"/>
          <w:sz w:val="14"/>
          <w:szCs w:val="14"/>
          <w:b w:val="1"/>
          <w:bCs w:val="1"/>
          <w:color w:val="auto"/>
        </w:rPr>
        <w:t>MICHAEL MADSEN (E035212)</w:t>
      </w:r>
      <w:r>
        <w:rPr>
          <w:sz w:val="20"/>
          <w:szCs w:val="20"/>
          <w:color w:val="auto"/>
        </w:rPr>
        <w:tab/>
      </w:r>
      <w:r>
        <w:rPr>
          <w:rFonts w:ascii="Arial" w:cs="Arial" w:eastAsia="Arial" w:hAnsi="Arial"/>
          <w:sz w:val="12"/>
          <w:szCs w:val="12"/>
          <w:color w:val="auto"/>
        </w:rPr>
        <w:t>Date Sept. 13, 2019</w:t>
      </w:r>
    </w:p>
    <w:p>
      <w:pPr>
        <w:spacing w:after="0" w:line="318" w:lineRule="exact"/>
        <w:rPr>
          <w:sz w:val="20"/>
          <w:szCs w:val="20"/>
          <w:color w:val="auto"/>
        </w:rPr>
      </w:pPr>
    </w:p>
    <w:p>
      <w:pPr>
        <w:jc w:val="both"/>
        <w:spacing w:after="0" w:line="306" w:lineRule="auto"/>
        <w:rPr>
          <w:sz w:val="20"/>
          <w:szCs w:val="20"/>
          <w:color w:val="auto"/>
        </w:rPr>
      </w:pPr>
      <w:r>
        <w:rPr>
          <w:rFonts w:ascii="Arial" w:cs="Arial" w:eastAsia="Arial" w:hAnsi="Arial"/>
          <w:sz w:val="11"/>
          <w:szCs w:val="11"/>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09" w:lineRule="exact"/>
        <w:rPr>
          <w:sz w:val="20"/>
          <w:szCs w:val="20"/>
          <w:color w:val="auto"/>
        </w:rPr>
      </w:pPr>
    </w:p>
    <w:p>
      <w:pPr>
        <w:jc w:val="both"/>
        <w:spacing w:after="0" w:line="232" w:lineRule="auto"/>
        <w:rPr>
          <w:sz w:val="20"/>
          <w:szCs w:val="20"/>
          <w:color w:val="auto"/>
        </w:rPr>
      </w:pPr>
      <w:r>
        <w:rPr>
          <w:rFonts w:ascii="Arial" w:cs="Arial" w:eastAsia="Arial" w:hAnsi="Arial"/>
          <w:sz w:val="12"/>
          <w:szCs w:val="12"/>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rPr>
          <w:sz w:val="20"/>
          <w:szCs w:val="20"/>
          <w:color w:val="auto"/>
        </w:rPr>
      </w:pPr>
      <w:r>
        <w:rPr>
          <w:rFonts w:ascii="Arial" w:cs="Arial" w:eastAsia="Arial" w:hAnsi="Arial"/>
          <w:sz w:val="14"/>
          <w:szCs w:val="14"/>
          <w:b w:val="1"/>
          <w:bCs w:val="1"/>
          <w:color w:val="auto"/>
        </w:rPr>
        <w:t>EID: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Offer Letter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*For Employee File Management Purpose Only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jc w:val="center"/>
        <w:spacing w:after="0"/>
        <w:rPr>
          <w:sz w:val="20"/>
          <w:szCs w:val="20"/>
          <w:color w:val="auto"/>
        </w:rPr>
      </w:pPr>
      <w:r>
        <w:rPr>
          <w:rFonts w:ascii="Arial" w:cs="Arial" w:eastAsia="Arial" w:hAnsi="Arial"/>
          <w:sz w:val="22"/>
          <w:szCs w:val="22"/>
          <w:b w:val="1"/>
          <w:bCs w:val="1"/>
          <w:color w:val="auto"/>
        </w:rPr>
        <w:t>NONCOMPETE AGREEMENT</w:t>
      </w:r>
    </w:p>
    <w:p>
      <w:pPr>
        <w:sectPr>
          <w:pgSz w:w="11900" w:h="16838" w:orient="portrait"/>
          <w:cols w:equalWidth="0" w:num="1">
            <w:col w:w="11300"/>
          </w:cols>
          <w:pgMar w:left="300" w:top="980" w:right="299" w:bottom="1440" w:gutter="0" w:footer="0" w:header="0"/>
        </w:sectPr>
      </w:pPr>
    </w:p>
    <w:bookmarkStart w:id="150" w:name="page151"/>
    <w:bookmarkEnd w:id="150"/>
    <w:p>
      <w:pPr>
        <w:jc w:val="center"/>
        <w:ind w:right="-7"/>
        <w:spacing w:after="0"/>
        <w:rPr>
          <w:sz w:val="20"/>
          <w:szCs w:val="20"/>
          <w:color w:val="auto"/>
        </w:rPr>
      </w:pPr>
      <w:r>
        <w:rPr>
          <w:rFonts w:ascii="Arial" w:cs="Arial" w:eastAsia="Arial" w:hAnsi="Arial"/>
          <w:sz w:val="22"/>
          <w:szCs w:val="22"/>
          <w:b w:val="1"/>
          <w:bCs w:val="1"/>
          <w:color w:val="auto"/>
        </w:rPr>
        <w:t>FOR SELECT EXECUTIVES</w:t>
      </w:r>
    </w:p>
    <w:p>
      <w:pPr>
        <w:spacing w:after="0" w:line="134" w:lineRule="exact"/>
        <w:rPr>
          <w:sz w:val="20"/>
          <w:szCs w:val="20"/>
          <w:color w:val="auto"/>
        </w:rPr>
      </w:pPr>
    </w:p>
    <w:p>
      <w:pPr>
        <w:ind w:left="8"/>
        <w:spacing w:after="0" w:line="252" w:lineRule="auto"/>
        <w:rPr>
          <w:sz w:val="20"/>
          <w:szCs w:val="20"/>
          <w:color w:val="auto"/>
        </w:rPr>
      </w:pPr>
      <w:r>
        <w:rPr>
          <w:rFonts w:ascii="Arial" w:cs="Arial" w:eastAsia="Arial" w:hAnsi="Arial"/>
          <w:sz w:val="14"/>
          <w:szCs w:val="14"/>
          <w:b w:val="1"/>
          <w:bCs w:val="1"/>
          <w:color w:val="auto"/>
        </w:rPr>
        <w:t>In consideration of my transfer, promotion, or hire into my role as an executive of Honeywell, my employment, continued employment, compensation and the equipment, materials, facilities and the Confidential Information supplied to me, I agree to the following:</w:t>
      </w:r>
    </w:p>
    <w:p>
      <w:pPr>
        <w:spacing w:after="0" w:line="112" w:lineRule="exact"/>
        <w:rPr>
          <w:sz w:val="20"/>
          <w:szCs w:val="20"/>
          <w:color w:val="auto"/>
        </w:rPr>
      </w:pPr>
    </w:p>
    <w:p>
      <w:pPr>
        <w:jc w:val="both"/>
        <w:ind w:left="8" w:hanging="8"/>
        <w:spacing w:after="0" w:line="239" w:lineRule="auto"/>
        <w:tabs>
          <w:tab w:leader="none" w:pos="274" w:val="left"/>
        </w:tabs>
        <w:numPr>
          <w:ilvl w:val="0"/>
          <w:numId w:val="15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Noncompetition. </w:t>
      </w:r>
      <w:r>
        <w:rPr>
          <w:rFonts w:ascii="Arial" w:cs="Arial" w:eastAsia="Arial" w:hAnsi="Arial"/>
          <w:sz w:val="13"/>
          <w:szCs w:val="13"/>
          <w:color w:val="auto"/>
        </w:rPr>
        <w:t>I acknowledge that in the course of my employment with or provision of services to Honeywell, I have and will become familiar with Confidential Information concerning</w:t>
      </w:r>
      <w:r>
        <w:rPr>
          <w:rFonts w:ascii="Arial" w:cs="Arial" w:eastAsia="Arial" w:hAnsi="Arial"/>
          <w:sz w:val="13"/>
          <w:szCs w:val="13"/>
          <w:b w:val="1"/>
          <w:bCs w:val="1"/>
          <w:color w:val="auto"/>
        </w:rPr>
        <w:t xml:space="preserve"> </w:t>
      </w:r>
      <w:r>
        <w:rPr>
          <w:rFonts w:ascii="Arial" w:cs="Arial" w:eastAsia="Arial" w:hAnsi="Arial"/>
          <w:sz w:val="13"/>
          <w:szCs w:val="13"/>
          <w:color w:val="auto"/>
        </w:rPr>
        <w:t>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Confidential Information concerning Honeywell. I further acknowledge that Honeywell operates in a very competitive business environment and my services are, and will continue to be, of special, unique and extraordinary value to Honeywell. I further acknowledge that I have been given, and will continue to be given, access to and the ability to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for Honeywell, disclose, disseminate, make available or use Honeywell’s Confidential Information.</w:t>
      </w:r>
    </w:p>
    <w:p>
      <w:pPr>
        <w:spacing w:after="0" w:line="127" w:lineRule="exact"/>
        <w:rPr>
          <w:sz w:val="20"/>
          <w:szCs w:val="20"/>
          <w:color w:val="auto"/>
        </w:rPr>
      </w:pPr>
    </w:p>
    <w:p>
      <w:pPr>
        <w:jc w:val="both"/>
        <w:ind w:left="8" w:firstLine="200"/>
        <w:spacing w:after="0" w:line="224" w:lineRule="auto"/>
        <w:rPr>
          <w:sz w:val="20"/>
          <w:szCs w:val="20"/>
          <w:color w:val="auto"/>
        </w:rPr>
      </w:pPr>
      <w:r>
        <w:rPr>
          <w:rFonts w:ascii="Arial" w:cs="Arial" w:eastAsia="Arial" w:hAnsi="Arial"/>
          <w:sz w:val="14"/>
          <w:szCs w:val="14"/>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as a Protected Honeywell Business (as defined below). I acknowledge that (i) Honeywell’s business is conducted around the world; (ii) notwithstanding Honeywell’s state of incorporation or the location of its principal office, Honeywell maintains business activities and valuable business relationships within its industries around the world; and (iii) as part of my responsibilities, I may be conducting business around the world in furtherance of Honeywell’s business and its relationships.</w:t>
      </w:r>
    </w:p>
    <w:p>
      <w:pPr>
        <w:spacing w:after="0" w:line="124" w:lineRule="exact"/>
        <w:rPr>
          <w:sz w:val="20"/>
          <w:szCs w:val="20"/>
          <w:color w:val="auto"/>
        </w:rPr>
      </w:pPr>
    </w:p>
    <w:p>
      <w:pPr>
        <w:jc w:val="both"/>
        <w:ind w:left="8" w:firstLine="161"/>
        <w:spacing w:after="0" w:line="221" w:lineRule="auto"/>
        <w:rPr>
          <w:sz w:val="20"/>
          <w:szCs w:val="20"/>
          <w:color w:val="auto"/>
        </w:rPr>
      </w:pPr>
      <w:r>
        <w:rPr>
          <w:rFonts w:ascii="Arial" w:cs="Arial" w:eastAsia="Arial" w:hAnsi="Arial"/>
          <w:sz w:val="14"/>
          <w:szCs w:val="14"/>
          <w:color w:val="auto"/>
        </w:rPr>
        <w:t xml:space="preserve">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Honeywell,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 Honeywell business (the Honeywell businesses described in (i) and (ii) are hereinafter collectively referred to as “Protected Honeywell Business(es)”). </w:t>
      </w:r>
      <w:r>
        <w:rPr>
          <w:rFonts w:ascii="Arial" w:cs="Arial" w:eastAsia="Arial" w:hAnsi="Arial"/>
          <w:sz w:val="14"/>
          <w:szCs w:val="14"/>
          <w:i w:val="1"/>
          <w:iCs w:val="1"/>
          <w:color w:val="auto"/>
        </w:rPr>
        <w:t>Notwithstanding the foregoing, an entity is not a Competing Business</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with respect to me</w:t>
      </w:r>
      <w:r>
        <w:rPr>
          <w:rFonts w:ascii="Arial" w:cs="Arial" w:eastAsia="Arial" w:hAnsi="Arial"/>
          <w:sz w:val="14"/>
          <w:szCs w:val="14"/>
          <w:color w:val="auto"/>
        </w:rPr>
        <w:t xml:space="preserve"> </w:t>
      </w:r>
      <w:r>
        <w:rPr>
          <w:rFonts w:ascii="Arial" w:cs="Arial" w:eastAsia="Arial" w:hAnsi="Arial"/>
          <w:sz w:val="14"/>
          <w:szCs w:val="14"/>
          <w:i w:val="1"/>
          <w:iCs w:val="1"/>
          <w:color w:val="auto"/>
        </w:rPr>
        <w:t>unless I was employed by, performed services for, or had</w:t>
      </w:r>
      <w:r>
        <w:rPr>
          <w:rFonts w:ascii="Arial" w:cs="Arial" w:eastAsia="Arial" w:hAnsi="Arial"/>
          <w:sz w:val="14"/>
          <w:szCs w:val="14"/>
          <w:color w:val="auto"/>
        </w:rPr>
        <w:t xml:space="preserve"> </w:t>
      </w:r>
      <w:r>
        <w:rPr>
          <w:rFonts w:ascii="Arial" w:cs="Arial" w:eastAsia="Arial" w:hAnsi="Arial"/>
          <w:sz w:val="14"/>
          <w:szCs w:val="14"/>
          <w:i w:val="1"/>
          <w:iCs w:val="1"/>
          <w:color w:val="auto"/>
        </w:rPr>
        <w:t>operational knowledge of, a Protected Honeywell Business in a covered job (i.e., a job subject to a noncompetition agreement) during the Look Back Period</w:t>
      </w:r>
      <w:r>
        <w:rPr>
          <w:rFonts w:ascii="Arial" w:cs="Arial" w:eastAsia="Arial" w:hAnsi="Arial"/>
          <w:sz w:val="14"/>
          <w:szCs w:val="14"/>
          <w:color w:val="auto"/>
        </w:rPr>
        <w:t>. For purposes of the foregoing, I</w:t>
      </w:r>
      <w:r>
        <w:rPr>
          <w:rFonts w:ascii="Arial" w:cs="Arial" w:eastAsia="Arial" w:hAnsi="Arial"/>
          <w:sz w:val="14"/>
          <w:szCs w:val="14"/>
          <w:i w:val="1"/>
          <w:iCs w:val="1"/>
          <w:color w:val="auto"/>
        </w:rPr>
        <w:t xml:space="preserve"> </w:t>
      </w:r>
      <w:r>
        <w:rPr>
          <w:rFonts w:ascii="Arial" w:cs="Arial" w:eastAsia="Arial" w:hAnsi="Arial"/>
          <w:sz w:val="14"/>
          <w:szCs w:val="14"/>
          <w:color w:val="auto"/>
        </w:rPr>
        <w:t>acknowledge that I will be deemed to have knowledge of a Protected Honeywell Business if I received, was in possession of, or otherwise had access to Confidential Information regarding such Protected Honeywell Business.</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For purposes of illustration only, I acknowledge and understand that each of the corporations or entities (and any related entities, subsidiaries, affiliates or successors) set forth on the</w:t>
      </w:r>
    </w:p>
    <w:p>
      <w:pPr>
        <w:sectPr>
          <w:pgSz w:w="11900" w:h="16838" w:orient="portrait"/>
          <w:cols w:equalWidth="0" w:num="1">
            <w:col w:w="11308"/>
          </w:cols>
          <w:pgMar w:left="292" w:top="967" w:right="299" w:bottom="1440" w:gutter="0" w:footer="0" w:header="0"/>
        </w:sectPr>
      </w:pPr>
    </w:p>
    <w:bookmarkStart w:id="151" w:name="page152"/>
    <w:bookmarkEnd w:id="151"/>
    <w:p>
      <w:pPr>
        <w:jc w:val="both"/>
        <w:ind w:left="8"/>
        <w:spacing w:after="0" w:line="257" w:lineRule="auto"/>
        <w:rPr>
          <w:sz w:val="20"/>
          <w:szCs w:val="20"/>
          <w:color w:val="auto"/>
        </w:rPr>
      </w:pPr>
      <w:r>
        <w:rPr>
          <w:rFonts w:ascii="Arial" w:cs="Arial" w:eastAsia="Arial" w:hAnsi="Arial"/>
          <w:sz w:val="13"/>
          <w:szCs w:val="13"/>
          <w:color w:val="auto"/>
        </w:rPr>
        <w:t>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that I have held over the last two (2) years may be used to identify Competing Businesses, I should contact my Human Resource representative.</w:t>
      </w:r>
    </w:p>
    <w:p>
      <w:pPr>
        <w:spacing w:after="0" w:line="114" w:lineRule="exact"/>
        <w:rPr>
          <w:sz w:val="20"/>
          <w:szCs w:val="20"/>
          <w:color w:val="auto"/>
        </w:rPr>
      </w:pPr>
    </w:p>
    <w:p>
      <w:pPr>
        <w:jc w:val="both"/>
        <w:ind w:left="8" w:firstLine="432"/>
        <w:spacing w:after="0" w:line="222" w:lineRule="auto"/>
        <w:rPr>
          <w:sz w:val="20"/>
          <w:szCs w:val="20"/>
          <w:color w:val="auto"/>
        </w:rPr>
      </w:pPr>
      <w:r>
        <w:rPr>
          <w:rFonts w:ascii="Arial" w:cs="Arial" w:eastAsia="Arial" w:hAnsi="Arial"/>
          <w:sz w:val="14"/>
          <w:szCs w:val="14"/>
          <w:color w:val="auto"/>
        </w:rPr>
        <w:t xml:space="preserve">Honeywell recognizes that some businesses, persons, entities, or group of businesses that constitute Competing Businesses may also have lines of business that do not compete with Honeywell, and the restrictions contained herein are not intended to include such lines of business. I understand and agree that if I intend to become employed by, perform services for, or otherwise become associated with (as an employee, officer, director, principal, agent, manager, partner, co-partner or consultant or any other individual or representative role) a Competing Business, it is presumed that the restrictions contained herein apply. I further understand and agree that if I do not believe the restrictions contained herein </w:t>
      </w:r>
      <w:r>
        <w:rPr>
          <w:rFonts w:ascii="Arial" w:cs="Arial" w:eastAsia="Arial" w:hAnsi="Arial"/>
          <w:sz w:val="14"/>
          <w:szCs w:val="14"/>
          <w:i w:val="1"/>
          <w:iCs w:val="1"/>
          <w:color w:val="auto"/>
        </w:rPr>
        <w:t>should</w:t>
      </w:r>
      <w:r>
        <w:rPr>
          <w:rFonts w:ascii="Arial" w:cs="Arial" w:eastAsia="Arial" w:hAnsi="Arial"/>
          <w:sz w:val="14"/>
          <w:szCs w:val="14"/>
          <w:color w:val="auto"/>
        </w:rPr>
        <w:t xml:space="preserve"> apply, I must notify Honeywell, in writing, prior to accepting employment or otherwise becoming associated with the ostensible Competing Business, and demonstrate to Honeywell that I will only be employed by, perform services for, or otherwise become associated with (as an employee, officer, director, principal, agent, manager, partner, co-partner or consultant or any other individual or representative role) a Competing Business’ line of business that does not compete with Honeywell.</w:t>
      </w:r>
    </w:p>
    <w:p>
      <w:pPr>
        <w:spacing w:after="0" w:line="124" w:lineRule="exact"/>
        <w:rPr>
          <w:sz w:val="20"/>
          <w:szCs w:val="20"/>
          <w:color w:val="auto"/>
        </w:rPr>
      </w:pPr>
    </w:p>
    <w:p>
      <w:pPr>
        <w:jc w:val="both"/>
        <w:ind w:left="8" w:hanging="8"/>
        <w:spacing w:after="0" w:line="239" w:lineRule="auto"/>
        <w:tabs>
          <w:tab w:leader="none" w:pos="278" w:val="left"/>
        </w:tabs>
        <w:numPr>
          <w:ilvl w:val="0"/>
          <w:numId w:val="15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Reasonableness of Restrictions and Validity. </w:t>
      </w:r>
      <w:r>
        <w:rPr>
          <w:rFonts w:ascii="Arial" w:cs="Arial" w:eastAsia="Arial" w:hAnsi="Arial"/>
          <w:sz w:val="13"/>
          <w:szCs w:val="13"/>
          <w:color w:val="auto"/>
        </w:rPr>
        <w:t>I agree that the terms of this Agreement are reasonable and do not impose a greater restraint than necessary to protect Honeywell’s legitimate</w:t>
      </w:r>
      <w:r>
        <w:rPr>
          <w:rFonts w:ascii="Arial" w:cs="Arial" w:eastAsia="Arial" w:hAnsi="Arial"/>
          <w:sz w:val="13"/>
          <w:szCs w:val="13"/>
          <w:b w:val="1"/>
          <w:bCs w:val="1"/>
          <w:color w:val="auto"/>
        </w:rPr>
        <w:t xml:space="preserve"> </w:t>
      </w:r>
      <w:r>
        <w:rPr>
          <w:rFonts w:ascii="Arial" w:cs="Arial" w:eastAsia="Arial" w:hAnsi="Arial"/>
          <w:sz w:val="13"/>
          <w:szCs w:val="13"/>
          <w:color w:val="auto"/>
        </w:rPr>
        <w:t>protectable business interests, including the protection of its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105" w:lineRule="exact"/>
        <w:rPr>
          <w:rFonts w:ascii="Arial" w:cs="Arial" w:eastAsia="Arial" w:hAnsi="Arial"/>
          <w:sz w:val="13"/>
          <w:szCs w:val="13"/>
          <w:b w:val="1"/>
          <w:bCs w:val="1"/>
          <w:color w:val="auto"/>
        </w:rPr>
      </w:pPr>
    </w:p>
    <w:p>
      <w:pPr>
        <w:jc w:val="both"/>
        <w:ind w:left="8" w:hanging="8"/>
        <w:spacing w:after="0" w:line="239" w:lineRule="auto"/>
        <w:tabs>
          <w:tab w:leader="none" w:pos="305" w:val="left"/>
        </w:tabs>
        <w:numPr>
          <w:ilvl w:val="0"/>
          <w:numId w:val="15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Remedies. </w:t>
      </w:r>
      <w:r>
        <w:rPr>
          <w:rFonts w:ascii="Arial" w:cs="Arial" w:eastAsia="Arial" w:hAnsi="Arial"/>
          <w:sz w:val="13"/>
          <w:szCs w:val="13"/>
          <w:color w:val="auto"/>
        </w:rPr>
        <w:t>I acknowledge that a remedy at law for any breach or threatened breach of the provisions of this Agreement would be inadequate and therefore agree that Honeywell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w:t>
      </w:r>
    </w:p>
    <w:p>
      <w:pPr>
        <w:sectPr>
          <w:pgSz w:w="11900" w:h="16838" w:orient="portrait"/>
          <w:cols w:equalWidth="0" w:num="1">
            <w:col w:w="11308"/>
          </w:cols>
          <w:pgMar w:left="292" w:top="980" w:right="299" w:bottom="1440" w:gutter="0" w:footer="0" w:header="0"/>
        </w:sectPr>
      </w:pPr>
    </w:p>
    <w:bookmarkStart w:id="152" w:name="page153"/>
    <w:bookmarkEnd w:id="152"/>
    <w:p>
      <w:pPr>
        <w:ind w:left="8"/>
        <w:spacing w:after="0"/>
        <w:rPr>
          <w:sz w:val="20"/>
          <w:szCs w:val="20"/>
          <w:color w:val="auto"/>
        </w:rPr>
      </w:pPr>
      <w:r>
        <w:rPr>
          <w:rFonts w:ascii="Arial" w:cs="Arial" w:eastAsia="Arial" w:hAnsi="Arial"/>
          <w:sz w:val="14"/>
          <w:szCs w:val="14"/>
          <w:color w:val="auto"/>
        </w:rPr>
        <w:t>against me or my new employer, which may also include, but not be limited to, contract damages, lost profits and punitive damages.</w:t>
      </w:r>
    </w:p>
    <w:p>
      <w:pPr>
        <w:spacing w:after="0" w:line="141" w:lineRule="exact"/>
        <w:rPr>
          <w:sz w:val="20"/>
          <w:szCs w:val="20"/>
          <w:color w:val="auto"/>
        </w:rPr>
      </w:pPr>
    </w:p>
    <w:p>
      <w:pPr>
        <w:jc w:val="both"/>
        <w:ind w:left="8" w:hanging="8"/>
        <w:spacing w:after="0" w:line="241" w:lineRule="auto"/>
        <w:tabs>
          <w:tab w:leader="none" w:pos="260" w:val="left"/>
        </w:tabs>
        <w:numPr>
          <w:ilvl w:val="0"/>
          <w:numId w:val="15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Harm and Injunctive Relief and Permitted Disclosures. </w:t>
      </w:r>
      <w:r>
        <w:rPr>
          <w:rFonts w:ascii="Arial" w:cs="Arial" w:eastAsia="Arial" w:hAnsi="Arial"/>
          <w:sz w:val="13"/>
          <w:szCs w:val="13"/>
          <w:color w:val="auto"/>
        </w:rPr>
        <w:t>I agree and acknowledge that the restrictions contained in this Agreement do not preclude me from earning a livelihood, nor do they</w:t>
      </w:r>
      <w:r>
        <w:rPr>
          <w:rFonts w:ascii="Arial" w:cs="Arial" w:eastAsia="Arial" w:hAnsi="Arial"/>
          <w:sz w:val="13"/>
          <w:szCs w:val="13"/>
          <w:b w:val="1"/>
          <w:bCs w:val="1"/>
          <w:color w:val="auto"/>
        </w:rPr>
        <w:t xml:space="preserve"> </w:t>
      </w:r>
      <w:r>
        <w:rPr>
          <w:rFonts w:ascii="Arial" w:cs="Arial" w:eastAsia="Arial" w:hAnsi="Arial"/>
          <w:sz w:val="13"/>
          <w:szCs w:val="13"/>
          <w:color w:val="auto"/>
        </w:rPr>
        <w:t>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Confidential Information. I agree and acknowledge that I have been provided adequate and reasonable consideration in exchange for the obligations under this Agreement, including employment or continued employment by Honeywell, goodwill, access or continued access to Honeywell’s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23" w:lineRule="exact"/>
        <w:rPr>
          <w:sz w:val="20"/>
          <w:szCs w:val="20"/>
          <w:color w:val="auto"/>
        </w:rPr>
      </w:pPr>
    </w:p>
    <w:p>
      <w:pPr>
        <w:jc w:val="both"/>
        <w:ind w:left="8" w:firstLine="432"/>
        <w:spacing w:after="0" w:line="222" w:lineRule="auto"/>
        <w:rPr>
          <w:sz w:val="20"/>
          <w:szCs w:val="20"/>
          <w:color w:val="auto"/>
        </w:rPr>
      </w:pPr>
      <w:r>
        <w:rPr>
          <w:rFonts w:ascii="Arial" w:cs="Arial" w:eastAsia="Arial" w:hAnsi="Arial"/>
          <w:sz w:val="14"/>
          <w:szCs w:val="14"/>
          <w:color w:val="auto"/>
        </w:rPr>
        <w:t xml:space="preserve">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Arial" w:cs="Arial" w:eastAsia="Arial" w:hAnsi="Arial"/>
          <w:sz w:val="14"/>
          <w:szCs w:val="14"/>
          <w:b w:val="1"/>
          <w:bCs w:val="1"/>
          <w:color w:val="auto"/>
        </w:rPr>
        <w:t>I understand that in the event it is determined that disclosure of trade secrets was not done in good faith for the reasons described above, I will be subject</w:t>
      </w:r>
      <w:r>
        <w:rPr>
          <w:rFonts w:ascii="Arial" w:cs="Arial" w:eastAsia="Arial" w:hAnsi="Arial"/>
          <w:sz w:val="14"/>
          <w:szCs w:val="14"/>
          <w:color w:val="auto"/>
        </w:rPr>
        <w:t xml:space="preserve"> </w:t>
      </w:r>
      <w:r>
        <w:rPr>
          <w:rFonts w:ascii="Arial" w:cs="Arial" w:eastAsia="Arial" w:hAnsi="Arial"/>
          <w:sz w:val="14"/>
          <w:szCs w:val="14"/>
          <w:b w:val="1"/>
          <w:bCs w:val="1"/>
          <w:color w:val="auto"/>
        </w:rPr>
        <w:t>to substantial damages, including punitive damages and attorneys’ fees.</w:t>
      </w:r>
    </w:p>
    <w:p>
      <w:pPr>
        <w:spacing w:after="0" w:line="128" w:lineRule="exact"/>
        <w:rPr>
          <w:sz w:val="20"/>
          <w:szCs w:val="20"/>
          <w:color w:val="auto"/>
        </w:rPr>
      </w:pPr>
    </w:p>
    <w:p>
      <w:pPr>
        <w:jc w:val="both"/>
        <w:ind w:left="8" w:firstLine="432"/>
        <w:spacing w:after="0" w:line="248" w:lineRule="auto"/>
        <w:rPr>
          <w:sz w:val="20"/>
          <w:szCs w:val="20"/>
          <w:color w:val="auto"/>
        </w:rPr>
      </w:pPr>
      <w:r>
        <w:rPr>
          <w:rFonts w:ascii="Arial" w:cs="Arial" w:eastAsia="Arial" w:hAnsi="Arial"/>
          <w:sz w:val="13"/>
          <w:szCs w:val="13"/>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16" w:lineRule="exact"/>
        <w:rPr>
          <w:sz w:val="20"/>
          <w:szCs w:val="20"/>
          <w:color w:val="auto"/>
        </w:rPr>
      </w:pPr>
    </w:p>
    <w:p>
      <w:pPr>
        <w:jc w:val="both"/>
        <w:ind w:left="8" w:hanging="8"/>
        <w:spacing w:after="0" w:line="241" w:lineRule="auto"/>
        <w:tabs>
          <w:tab w:leader="none" w:pos="260" w:val="left"/>
        </w:tabs>
        <w:numPr>
          <w:ilvl w:val="0"/>
          <w:numId w:val="15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Binding Agreement, Amendment, Successors. </w:t>
      </w:r>
      <w:r>
        <w:rPr>
          <w:rFonts w:ascii="Arial" w:cs="Arial" w:eastAsia="Arial" w:hAnsi="Arial"/>
          <w:sz w:val="13"/>
          <w:szCs w:val="13"/>
          <w:color w:val="auto"/>
        </w:rPr>
        <w:t>I acknowledge that the provisions of this Agreement are in addition to, and in no way intended to limit, restrict or narrow any prior or existing</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restrictions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Honeywell’s chief human resources officer or his/her designee. This Agreement may not be superseded or amended</w:t>
      </w:r>
    </w:p>
    <w:p>
      <w:pPr>
        <w:sectPr>
          <w:pgSz w:w="11900" w:h="16838" w:orient="portrait"/>
          <w:cols w:equalWidth="0" w:num="1">
            <w:col w:w="11308"/>
          </w:cols>
          <w:pgMar w:left="292" w:top="980" w:right="299" w:bottom="1440" w:gutter="0" w:footer="0" w:header="0"/>
        </w:sectPr>
      </w:pPr>
    </w:p>
    <w:bookmarkStart w:id="153" w:name="page154"/>
    <w:bookmarkEnd w:id="153"/>
    <w:p>
      <w:pPr>
        <w:jc w:val="both"/>
        <w:ind w:left="8"/>
        <w:spacing w:after="0" w:line="233" w:lineRule="auto"/>
        <w:rPr>
          <w:sz w:val="20"/>
          <w:szCs w:val="20"/>
          <w:color w:val="auto"/>
        </w:rPr>
      </w:pPr>
      <w:r>
        <w:rPr>
          <w:rFonts w:ascii="Arial" w:cs="Arial" w:eastAsia="Arial" w:hAnsi="Arial"/>
          <w:sz w:val="14"/>
          <w:szCs w:val="14"/>
          <w:color w:val="auto"/>
        </w:rPr>
        <w:t>by any other agreement between myself and Honeywell unless such agreement specifically and expressly states that it is intended to supersede this Agreement and is executed by Honeywell’s chief human resources officer or his/her designee. This Agreement binds my heirs, executors, administrators, legal representatives and assigns and inures to the benefit of Honeywell and its successors and assigns.</w:t>
      </w:r>
    </w:p>
    <w:p>
      <w:pPr>
        <w:spacing w:after="0" w:line="121" w:lineRule="exact"/>
        <w:rPr>
          <w:sz w:val="20"/>
          <w:szCs w:val="20"/>
          <w:color w:val="auto"/>
        </w:rPr>
      </w:pPr>
    </w:p>
    <w:p>
      <w:pPr>
        <w:ind w:left="8" w:right="20" w:hanging="8"/>
        <w:spacing w:after="0" w:line="252" w:lineRule="auto"/>
        <w:tabs>
          <w:tab w:leader="none" w:pos="324"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Acknowledgement of Receipt. </w:t>
      </w:r>
      <w:r>
        <w:rPr>
          <w:rFonts w:ascii="Arial" w:cs="Arial" w:eastAsia="Arial" w:hAnsi="Arial"/>
          <w:sz w:val="14"/>
          <w:szCs w:val="14"/>
          <w:color w:val="auto"/>
        </w:rPr>
        <w:t>I acknowledge that I received a copy of this Agreement prior to accepting my transfer, promotion, or hire into my new role and that execution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was an express condition of such transfer, promotion, or hire.</w:t>
      </w:r>
    </w:p>
    <w:p>
      <w:pPr>
        <w:spacing w:after="0" w:line="111" w:lineRule="exact"/>
        <w:rPr>
          <w:rFonts w:ascii="Arial" w:cs="Arial" w:eastAsia="Arial" w:hAnsi="Arial"/>
          <w:sz w:val="14"/>
          <w:szCs w:val="14"/>
          <w:b w:val="1"/>
          <w:bCs w:val="1"/>
          <w:color w:val="auto"/>
        </w:rPr>
      </w:pPr>
    </w:p>
    <w:p>
      <w:pPr>
        <w:ind w:left="8" w:hanging="8"/>
        <w:spacing w:after="0" w:line="290" w:lineRule="auto"/>
        <w:tabs>
          <w:tab w:leader="none" w:pos="278" w:val="left"/>
        </w:tabs>
        <w:numPr>
          <w:ilvl w:val="0"/>
          <w:numId w:val="15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Effectiveness of Agreement. </w:t>
      </w:r>
      <w:r>
        <w:rPr>
          <w:rFonts w:ascii="Arial" w:cs="Arial" w:eastAsia="Arial" w:hAnsi="Arial"/>
          <w:sz w:val="13"/>
          <w:szCs w:val="13"/>
          <w:color w:val="auto"/>
        </w:rPr>
        <w:t>This Agreement becomes effective when I sign it. The obligations under it continue throughout the entire period of time I am employed by Honeywell,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regard to the business within Honeywell with which I am associated and these obligations will continue after, and survive, the end of my employment with Honeywell.</w:t>
      </w:r>
    </w:p>
    <w:p>
      <w:pPr>
        <w:spacing w:after="0" w:line="88" w:lineRule="exact"/>
        <w:rPr>
          <w:rFonts w:ascii="Arial" w:cs="Arial" w:eastAsia="Arial" w:hAnsi="Arial"/>
          <w:sz w:val="13"/>
          <w:szCs w:val="13"/>
          <w:b w:val="1"/>
          <w:bCs w:val="1"/>
          <w:color w:val="auto"/>
        </w:rPr>
      </w:pPr>
    </w:p>
    <w:p>
      <w:pPr>
        <w:jc w:val="both"/>
        <w:ind w:left="8" w:hanging="8"/>
        <w:spacing w:after="0" w:line="235" w:lineRule="auto"/>
        <w:tabs>
          <w:tab w:leader="none" w:pos="311"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 to Future Employers. </w:t>
      </w:r>
      <w:r>
        <w:rPr>
          <w:rFonts w:ascii="Arial" w:cs="Arial" w:eastAsia="Arial" w:hAnsi="Arial"/>
          <w:sz w:val="14"/>
          <w:szCs w:val="14"/>
          <w:color w:val="auto"/>
        </w:rPr>
        <w:t>For the period of two (2) years immediately following the end of my employment with Honeywell, I will inform each new prospective employer, prior to</w:t>
      </w:r>
      <w:r>
        <w:rPr>
          <w:rFonts w:ascii="Arial" w:cs="Arial" w:eastAsia="Arial" w:hAnsi="Arial"/>
          <w:sz w:val="14"/>
          <w:szCs w:val="14"/>
          <w:b w:val="1"/>
          <w:bCs w:val="1"/>
          <w:color w:val="auto"/>
        </w:rPr>
        <w:t xml:space="preserve"> </w:t>
      </w:r>
      <w:r>
        <w:rPr>
          <w:rFonts w:ascii="Arial" w:cs="Arial" w:eastAsia="Arial" w:hAnsi="Arial"/>
          <w:sz w:val="14"/>
          <w:szCs w:val="14"/>
          <w:color w:val="auto"/>
        </w:rPr>
        <w:t>accepting employment, of the existence of this Agreement and provide that prospective employer with a copy of it. Honeywell has the right to inform any future employer of the existence of this Agreement and to provide any future employers with a copy of it.</w:t>
      </w:r>
    </w:p>
    <w:p>
      <w:pPr>
        <w:spacing w:after="0" w:line="121" w:lineRule="exact"/>
        <w:rPr>
          <w:rFonts w:ascii="Arial" w:cs="Arial" w:eastAsia="Arial" w:hAnsi="Arial"/>
          <w:sz w:val="14"/>
          <w:szCs w:val="14"/>
          <w:b w:val="1"/>
          <w:bCs w:val="1"/>
          <w:color w:val="auto"/>
        </w:rPr>
      </w:pPr>
    </w:p>
    <w:p>
      <w:pPr>
        <w:jc w:val="both"/>
        <w:ind w:left="8" w:hanging="8"/>
        <w:spacing w:after="0" w:line="235" w:lineRule="auto"/>
        <w:tabs>
          <w:tab w:leader="none" w:pos="260"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Governing Law and Venue. </w:t>
      </w:r>
      <w:r>
        <w:rPr>
          <w:rFonts w:ascii="Arial" w:cs="Arial" w:eastAsia="Arial" w:hAnsi="Arial"/>
          <w:sz w:val="14"/>
          <w:szCs w:val="14"/>
          <w:color w:val="auto"/>
        </w:rPr>
        <w:t>This Agreement shall be governed by and construed in accordance with the laws of the State of North Carolina without regard to its principles of conflicts of law.</w:t>
      </w:r>
      <w:r>
        <w:rPr>
          <w:rFonts w:ascii="Arial" w:cs="Arial" w:eastAsia="Arial" w:hAnsi="Arial"/>
          <w:sz w:val="14"/>
          <w:szCs w:val="14"/>
          <w:b w:val="1"/>
          <w:bCs w:val="1"/>
          <w:color w:val="auto"/>
        </w:rPr>
        <w:t xml:space="preserve"> </w:t>
      </w:r>
      <w:r>
        <w:rPr>
          <w:rFonts w:ascii="Arial" w:cs="Arial" w:eastAsia="Arial" w:hAnsi="Arial"/>
          <w:sz w:val="14"/>
          <w:szCs w:val="14"/>
          <w:color w:val="auto"/>
        </w:rPr>
        <w:t>I hereby consent to the exclusive jurisdiction and venue in the federal and state courts of the State of North Carolina, Mecklenburg County, for the resolution of all disputes arising under, or relating to, this Agreement.</w:t>
      </w:r>
    </w:p>
    <w:p>
      <w:pPr>
        <w:spacing w:after="0" w:line="121" w:lineRule="exact"/>
        <w:rPr>
          <w:rFonts w:ascii="Arial" w:cs="Arial" w:eastAsia="Arial" w:hAnsi="Arial"/>
          <w:sz w:val="14"/>
          <w:szCs w:val="14"/>
          <w:b w:val="1"/>
          <w:bCs w:val="1"/>
          <w:color w:val="auto"/>
        </w:rPr>
      </w:pPr>
    </w:p>
    <w:p>
      <w:pPr>
        <w:ind w:left="308" w:hanging="308"/>
        <w:spacing w:after="0"/>
        <w:tabs>
          <w:tab w:leader="none" w:pos="308"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Definitions.</w:t>
      </w:r>
    </w:p>
    <w:p>
      <w:pPr>
        <w:spacing w:after="0" w:line="149" w:lineRule="exact"/>
        <w:rPr>
          <w:sz w:val="20"/>
          <w:szCs w:val="20"/>
          <w:color w:val="auto"/>
        </w:rPr>
      </w:pPr>
    </w:p>
    <w:p>
      <w:pPr>
        <w:jc w:val="both"/>
        <w:ind w:left="8" w:firstLine="432"/>
        <w:spacing w:after="0" w:line="241" w:lineRule="auto"/>
        <w:rPr>
          <w:sz w:val="20"/>
          <w:szCs w:val="20"/>
          <w:color w:val="auto"/>
        </w:rPr>
      </w:pPr>
      <w:r>
        <w:rPr>
          <w:rFonts w:ascii="Arial" w:cs="Arial" w:eastAsia="Arial" w:hAnsi="Arial"/>
          <w:sz w:val="13"/>
          <w:szCs w:val="13"/>
          <w:color w:val="auto"/>
        </w:rPr>
        <w:t>“Confidential Information” means information that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or held by Honeywell in confidence.</w:t>
      </w:r>
    </w:p>
    <w:p>
      <w:pPr>
        <w:spacing w:after="0" w:line="125" w:lineRule="exact"/>
        <w:rPr>
          <w:sz w:val="20"/>
          <w:szCs w:val="20"/>
          <w:color w:val="auto"/>
        </w:rPr>
      </w:pPr>
    </w:p>
    <w:p>
      <w:pPr>
        <w:jc w:val="both"/>
        <w:ind w:left="8" w:firstLine="240"/>
        <w:spacing w:after="0" w:line="233" w:lineRule="auto"/>
        <w:rPr>
          <w:sz w:val="20"/>
          <w:szCs w:val="20"/>
          <w:color w:val="auto"/>
        </w:rPr>
      </w:pPr>
      <w:r>
        <w:rPr>
          <w:rFonts w:ascii="Arial" w:cs="Arial" w:eastAsia="Arial" w:hAnsi="Arial"/>
          <w:sz w:val="14"/>
          <w:szCs w:val="14"/>
          <w:color w:val="auto"/>
        </w:rPr>
        <w:t>“Honeywell” collectively identifies Honeywell International Inc. (a Delaware corporation having a place of business Charlotte, Mecklenburg County, North Carolina), its predecessors, designees and successors and its past, present and future operating companies, divisions, subsidiaries, affiliates and other business units, including businesses acquired by purchase of assets, stock, merger or otherwise.</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4"/>
          <w:szCs w:val="14"/>
          <w:color w:val="auto"/>
        </w:rPr>
        <w:t>“Look Back Period” means the two (2) year period ending on the date of my Termination of Employment.</w:t>
      </w:r>
    </w:p>
    <w:p>
      <w:pPr>
        <w:spacing w:after="0" w:line="145" w:lineRule="exact"/>
        <w:rPr>
          <w:sz w:val="20"/>
          <w:szCs w:val="20"/>
          <w:color w:val="auto"/>
        </w:rPr>
      </w:pPr>
    </w:p>
    <w:p>
      <w:pPr>
        <w:ind w:left="148"/>
        <w:spacing w:after="0"/>
        <w:rPr>
          <w:sz w:val="20"/>
          <w:szCs w:val="20"/>
          <w:color w:val="auto"/>
        </w:rPr>
      </w:pPr>
      <w:r>
        <w:rPr>
          <w:rFonts w:ascii="Arial" w:cs="Arial" w:eastAsia="Arial" w:hAnsi="Arial"/>
          <w:sz w:val="13"/>
          <w:szCs w:val="13"/>
          <w:color w:val="auto"/>
        </w:rPr>
        <w:t>“Termination of Employment” means any separation from employment with Honeywell regardless of the reason, including any and all voluntary and involuntary reasons for termination.</w:t>
      </w:r>
    </w:p>
    <w:p>
      <w:pPr>
        <w:sectPr>
          <w:pgSz w:w="11900" w:h="16838" w:orient="portrait"/>
          <w:cols w:equalWidth="0" w:num="1">
            <w:col w:w="11308"/>
          </w:cols>
          <w:pgMar w:left="292" w:top="980" w:right="299" w:bottom="1440" w:gutter="0" w:footer="0" w:header="0"/>
        </w:sectPr>
      </w:pPr>
    </w:p>
    <w:bookmarkStart w:id="154" w:name="page155"/>
    <w:bookmarkEnd w:id="154"/>
    <w:p>
      <w:pPr>
        <w:ind w:left="8"/>
        <w:spacing w:after="0"/>
        <w:rPr>
          <w:sz w:val="20"/>
          <w:szCs w:val="20"/>
          <w:color w:val="auto"/>
        </w:rPr>
      </w:pPr>
      <w:r>
        <w:rPr>
          <w:rFonts w:ascii="Arial" w:cs="Arial" w:eastAsia="Arial" w:hAnsi="Arial"/>
          <w:sz w:val="14"/>
          <w:szCs w:val="14"/>
          <w:color w:val="auto"/>
        </w:rPr>
        <w:t>The termination date for purposes of this Agreement shall be the last day I actively perform services for Honeywell.</w:t>
      </w:r>
    </w:p>
    <w:p>
      <w:pPr>
        <w:spacing w:after="0" w:line="141" w:lineRule="exact"/>
        <w:rPr>
          <w:sz w:val="20"/>
          <w:szCs w:val="20"/>
          <w:color w:val="auto"/>
        </w:rPr>
      </w:pPr>
    </w:p>
    <w:p>
      <w:pPr>
        <w:ind w:left="308" w:hanging="308"/>
        <w:spacing w:after="0"/>
        <w:tabs>
          <w:tab w:leader="none" w:pos="308" w:val="left"/>
        </w:tabs>
        <w:numPr>
          <w:ilvl w:val="0"/>
          <w:numId w:val="15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Headings. </w:t>
      </w:r>
      <w:r>
        <w:rPr>
          <w:rFonts w:ascii="Arial" w:cs="Arial" w:eastAsia="Arial" w:hAnsi="Arial"/>
          <w:sz w:val="14"/>
          <w:szCs w:val="14"/>
          <w:color w:val="auto"/>
        </w:rPr>
        <w:t>The headings of the paragraphs of this Agreement are inserted for convenience only and shall not in any way affect the meaning or construction of this Agreement.</w:t>
      </w:r>
    </w:p>
    <w:p>
      <w:pPr>
        <w:spacing w:after="0" w:line="149" w:lineRule="exact"/>
        <w:rPr>
          <w:sz w:val="20"/>
          <w:szCs w:val="20"/>
          <w:color w:val="auto"/>
        </w:rPr>
      </w:pPr>
    </w:p>
    <w:p>
      <w:pPr>
        <w:ind w:left="8"/>
        <w:spacing w:after="0" w:line="246" w:lineRule="auto"/>
        <w:rPr>
          <w:sz w:val="20"/>
          <w:szCs w:val="20"/>
          <w:color w:val="auto"/>
        </w:rPr>
      </w:pPr>
      <w:r>
        <w:rPr>
          <w:rFonts w:ascii="Arial" w:cs="Arial" w:eastAsia="Arial" w:hAnsi="Arial"/>
          <w:sz w:val="14"/>
          <w:szCs w:val="14"/>
          <w:color w:val="auto"/>
        </w:rPr>
        <w:t>I have carefully read this Agreement. I understand and accept its terms. I understand and agree that I will continue to be bound by the provisions of this Agreement after my employment with Honeywell has ended.</w:t>
      </w:r>
    </w:p>
    <w:p>
      <w:pPr>
        <w:sectPr>
          <w:pgSz w:w="11900" w:h="16838" w:orient="portrait"/>
          <w:cols w:equalWidth="0" w:num="1">
            <w:col w:w="11288"/>
          </w:cols>
          <w:pgMar w:left="292" w:top="980" w:right="319" w:bottom="1440" w:gutter="0" w:footer="0" w:header="0"/>
        </w:sectPr>
      </w:pPr>
    </w:p>
    <w:p>
      <w:pPr>
        <w:spacing w:after="0" w:line="116"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/s/ Michael Madsen</w:t>
      </w:r>
    </w:p>
    <w:p>
      <w:pPr>
        <w:spacing w:after="0" w:line="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MICHAEL MADSEN (E035212)</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Date Sept. 13, 2019</w:t>
      </w:r>
    </w:p>
    <w:p>
      <w:pPr>
        <w:sectPr>
          <w:pgSz w:w="11900" w:h="16838" w:orient="portrait"/>
          <w:cols w:equalWidth="0" w:num="2">
            <w:col w:w="2028" w:space="720"/>
            <w:col w:w="8540"/>
          </w:cols>
          <w:pgMar w:left="292" w:top="980" w:right="31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7"/>
          <w:szCs w:val="17"/>
          <w:b w:val="1"/>
          <w:bCs w:val="1"/>
          <w:color w:val="auto"/>
        </w:rPr>
        <w:t>ADDENDUM TO</w:t>
      </w:r>
    </w:p>
    <w:p>
      <w:pPr>
        <w:jc w:val="center"/>
        <w:spacing w:after="0" w:line="198" w:lineRule="auto"/>
        <w:rPr>
          <w:sz w:val="20"/>
          <w:szCs w:val="20"/>
          <w:color w:val="auto"/>
        </w:rPr>
      </w:pPr>
      <w:r>
        <w:rPr>
          <w:rFonts w:ascii="Arial" w:cs="Arial" w:eastAsia="Arial" w:hAnsi="Arial"/>
          <w:sz w:val="17"/>
          <w:szCs w:val="17"/>
          <w:b w:val="1"/>
          <w:bCs w:val="1"/>
          <w:color w:val="auto"/>
        </w:rPr>
        <w:t>HONEYWELL INTERNATIONAL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NONCOMPETE AGREEMENT FOR SELECT EXECUTIVES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MICHAEL MADSEN</w:t>
      </w:r>
    </w:p>
    <w:p>
      <w:pPr>
        <w:jc w:val="center"/>
        <w:spacing w:after="0" w:line="198" w:lineRule="auto"/>
        <w:rPr>
          <w:sz w:val="20"/>
          <w:szCs w:val="20"/>
          <w:color w:val="auto"/>
        </w:rPr>
      </w:pPr>
      <w:r>
        <w:rPr>
          <w:rFonts w:ascii="Arial" w:cs="Arial" w:eastAsia="Arial" w:hAnsi="Arial"/>
          <w:sz w:val="17"/>
          <w:szCs w:val="17"/>
          <w:b w:val="1"/>
          <w:bCs w:val="1"/>
          <w:color w:val="auto"/>
        </w:rPr>
        <w:t>EMPLOYED AS</w:t>
      </w:r>
    </w:p>
    <w:p>
      <w:pPr>
        <w:jc w:val="center"/>
        <w:spacing w:after="0" w:line="199" w:lineRule="auto"/>
        <w:rPr>
          <w:sz w:val="20"/>
          <w:szCs w:val="20"/>
          <w:color w:val="auto"/>
        </w:rPr>
      </w:pPr>
      <w:r>
        <w:rPr>
          <w:rFonts w:ascii="Arial" w:cs="Arial" w:eastAsia="Arial" w:hAnsi="Arial"/>
          <w:sz w:val="17"/>
          <w:szCs w:val="17"/>
          <w:b w:val="1"/>
          <w:bCs w:val="1"/>
          <w:color w:val="auto"/>
        </w:rPr>
        <w:t>PRESIDENT &amp; CHIEF EXECUTIVE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HONEYWELL AEROSPACE</w:t>
      </w:r>
    </w:p>
    <w:p>
      <w:pPr>
        <w:spacing w:after="0" w:line="28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Pursuant to Paragraph 1 of your Honeywell International Noncompete Agreement for Select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Based on your current role and responsibilities with Honeywell Aerospace as its President &amp; Chief Executive Officer, the following companies are considered key competitors and therefore fall within the definition of a Competing Business, as that term is used in your Noncompete Agreement:</w:t>
      </w:r>
    </w:p>
    <w:p>
      <w:pPr>
        <w:spacing w:after="0" w:line="116" w:lineRule="exact"/>
        <w:rPr>
          <w:sz w:val="20"/>
          <w:szCs w:val="20"/>
          <w:color w:val="auto"/>
        </w:rPr>
      </w:pPr>
    </w:p>
    <w:p>
      <w:pPr>
        <w:ind w:left="160" w:right="180"/>
        <w:spacing w:after="0" w:line="252" w:lineRule="auto"/>
        <w:rPr>
          <w:sz w:val="20"/>
          <w:szCs w:val="20"/>
          <w:color w:val="auto"/>
        </w:rPr>
      </w:pPr>
      <w:r>
        <w:rPr>
          <w:rFonts w:ascii="Arial" w:cs="Arial" w:eastAsia="Arial" w:hAnsi="Arial"/>
          <w:sz w:val="14"/>
          <w:szCs w:val="14"/>
          <w:b w:val="1"/>
          <w:bCs w:val="1"/>
          <w:color w:val="auto"/>
        </w:rPr>
        <w:t>General Electric, United Technologies, Garmin, Rolls Royce, Lockheed Martin, Northrop Grumman, Parker Hannifin, L3 Communications, Raytheon, Boeing, Airbus, Gulfstream, Harris, and Safran</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ectPr>
          <w:pgSz w:w="11900" w:h="16838" w:orient="portrait"/>
          <w:cols w:equalWidth="0" w:num="1">
            <w:col w:w="11300"/>
          </w:cols>
          <w:pgMar w:left="300" w:top="956" w:right="29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Intellectual Property (IP)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*For Employee File Management Purpose Only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HONEYWELL INTERNATIONAL INC.</w:t>
      </w:r>
    </w:p>
    <w:p>
      <w:pPr>
        <w:jc w:val="center"/>
        <w:ind w:right="-1120"/>
        <w:spacing w:after="0" w:line="232" w:lineRule="auto"/>
        <w:rPr>
          <w:sz w:val="20"/>
          <w:szCs w:val="20"/>
          <w:color w:val="auto"/>
        </w:rPr>
      </w:pPr>
      <w:r>
        <w:rPr>
          <w:rFonts w:ascii="Arial" w:cs="Arial" w:eastAsia="Arial" w:hAnsi="Arial"/>
          <w:sz w:val="17"/>
          <w:szCs w:val="17"/>
          <w:color w:val="auto"/>
        </w:rPr>
        <w:t>Employee Agreement Relating to Trade Secrets,</w:t>
      </w:r>
    </w:p>
    <w:p>
      <w:pPr>
        <w:jc w:val="center"/>
        <w:ind w:right="-1120"/>
        <w:spacing w:after="0"/>
        <w:rPr>
          <w:sz w:val="20"/>
          <w:szCs w:val="20"/>
          <w:color w:val="auto"/>
        </w:rPr>
      </w:pPr>
      <w:r>
        <w:rPr>
          <w:rFonts w:ascii="Arial" w:cs="Arial" w:eastAsia="Arial" w:hAnsi="Arial"/>
          <w:sz w:val="19"/>
          <w:szCs w:val="19"/>
          <w:color w:val="auto"/>
        </w:rPr>
        <w:t>Proprietary and Confidential Information</w:t>
      </w:r>
    </w:p>
    <w:p>
      <w:pPr>
        <w:sectPr>
          <w:pgSz w:w="11900" w:h="16838" w:orient="portrait"/>
          <w:cols w:equalWidth="0" w:num="1">
            <w:col w:w="10159"/>
          </w:cols>
          <w:pgMar w:left="300" w:top="1440" w:right="1440" w:bottom="1440" w:gutter="0" w:footer="0" w:header="0"/>
        </w:sectPr>
      </w:pPr>
    </w:p>
    <w:bookmarkStart w:id="157" w:name="page158"/>
    <w:bookmarkEnd w:id="157"/>
    <w:p>
      <w:pPr>
        <w:ind w:left="8" w:right="20"/>
        <w:spacing w:after="0" w:line="320" w:lineRule="auto"/>
        <w:rPr>
          <w:sz w:val="20"/>
          <w:szCs w:val="20"/>
          <w:color w:val="auto"/>
        </w:rPr>
      </w:pPr>
      <w:r>
        <w:rPr>
          <w:rFonts w:ascii="Arial" w:cs="Arial" w:eastAsia="Arial" w:hAnsi="Arial"/>
          <w:sz w:val="11"/>
          <w:szCs w:val="11"/>
          <w:b w:val="1"/>
          <w:bCs w:val="1"/>
          <w:color w:val="auto"/>
        </w:rPr>
        <w:t>In consideration of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Honeywell Confidential Information supplied to me, I understand and agree that:</w:t>
      </w:r>
    </w:p>
    <w:p>
      <w:pPr>
        <w:spacing w:after="0" w:line="77" w:lineRule="exact"/>
        <w:rPr>
          <w:sz w:val="20"/>
          <w:szCs w:val="20"/>
          <w:color w:val="auto"/>
        </w:rPr>
      </w:pPr>
    </w:p>
    <w:p>
      <w:pPr>
        <w:jc w:val="both"/>
        <w:ind w:left="348" w:hanging="348"/>
        <w:spacing w:after="0" w:line="225" w:lineRule="auto"/>
        <w:tabs>
          <w:tab w:leader="none" w:pos="353"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Records of Inventions. </w:t>
      </w:r>
      <w:r>
        <w:rPr>
          <w:rFonts w:ascii="Arial" w:cs="Arial" w:eastAsia="Arial" w:hAnsi="Arial"/>
          <w:sz w:val="13"/>
          <w:szCs w:val="13"/>
          <w:color w:val="auto"/>
        </w:rPr>
        <w:t>I will keep complete and current written records of all Inventions I Make during the period of time I am employed by Honeywell and promptly disclose all such Inventions in writing</w:t>
      </w:r>
      <w:r>
        <w:rPr>
          <w:rFonts w:ascii="Arial" w:cs="Arial" w:eastAsia="Arial" w:hAnsi="Arial"/>
          <w:sz w:val="13"/>
          <w:szCs w:val="13"/>
          <w:b w:val="1"/>
          <w:bCs w:val="1"/>
          <w:color w:val="auto"/>
        </w:rPr>
        <w:t xml:space="preserve"> </w:t>
      </w:r>
      <w:r>
        <w:rPr>
          <w:rFonts w:ascii="Arial" w:cs="Arial" w:eastAsia="Arial" w:hAnsi="Arial"/>
          <w:sz w:val="13"/>
          <w:szCs w:val="13"/>
          <w:color w:val="auto"/>
        </w:rPr>
        <w:t>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19" w:lineRule="exact"/>
        <w:rPr>
          <w:rFonts w:ascii="Arial" w:cs="Arial" w:eastAsia="Arial" w:hAnsi="Arial"/>
          <w:sz w:val="13"/>
          <w:szCs w:val="13"/>
          <w:b w:val="1"/>
          <w:bCs w:val="1"/>
          <w:color w:val="auto"/>
        </w:rPr>
      </w:pPr>
    </w:p>
    <w:p>
      <w:pPr>
        <w:jc w:val="both"/>
        <w:ind w:left="348" w:hanging="348"/>
        <w:spacing w:after="0" w:line="213" w:lineRule="auto"/>
        <w:tabs>
          <w:tab w:leader="none" w:pos="344"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Disclosure of Inventions after Termination. </w:t>
      </w:r>
      <w:r>
        <w:rPr>
          <w:rFonts w:ascii="Arial" w:cs="Arial" w:eastAsia="Arial" w:hAnsi="Arial"/>
          <w:sz w:val="13"/>
          <w:szCs w:val="13"/>
          <w:color w:val="auto"/>
        </w:rPr>
        <w:t>Without further compensation, I will promptly and completely disclose in a confidential writing to Honeywell’s Law Department all Inventions that I Make</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one year immediately following the end of my employment by Honeywell that are based upon Honeywell’s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and without using or incorporating Honeywell’s Confidential Information, the Invention is presumed to have been Made during the period of time I was employed by Honeywell. I acknowledge that the conditions of this paragraph are no greater than is necessary for protecting Honeywell’s interests in Confidential Information and in Inventions to which it is rightfully entitled.</w:t>
      </w:r>
    </w:p>
    <w:p>
      <w:pPr>
        <w:spacing w:after="0" w:line="121" w:lineRule="exact"/>
        <w:rPr>
          <w:rFonts w:ascii="Arial" w:cs="Arial" w:eastAsia="Arial" w:hAnsi="Arial"/>
          <w:sz w:val="13"/>
          <w:szCs w:val="13"/>
          <w:b w:val="1"/>
          <w:bCs w:val="1"/>
          <w:color w:val="auto"/>
        </w:rPr>
      </w:pPr>
    </w:p>
    <w:p>
      <w:pPr>
        <w:jc w:val="both"/>
        <w:ind w:left="348" w:hanging="348"/>
        <w:spacing w:after="0" w:line="211" w:lineRule="auto"/>
        <w:tabs>
          <w:tab w:leader="none" w:pos="344" w:val="left"/>
        </w:tabs>
        <w:numPr>
          <w:ilvl w:val="0"/>
          <w:numId w:val="1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Ownership of Inventions. </w:t>
      </w:r>
      <w:r>
        <w:rPr>
          <w:rFonts w:ascii="Arial" w:cs="Arial" w:eastAsia="Arial" w:hAnsi="Arial"/>
          <w:sz w:val="13"/>
          <w:szCs w:val="13"/>
          <w:color w:val="auto"/>
        </w:rPr>
        <w:t>I agree that each and every Invention I Make during the period of time I am employed by Honeywell (a) that relates directly to the business of Honeywell or to Honeywell’s actual</w:t>
      </w:r>
      <w:r>
        <w:rPr>
          <w:rFonts w:ascii="Arial" w:cs="Arial" w:eastAsia="Arial" w:hAnsi="Arial"/>
          <w:sz w:val="13"/>
          <w:szCs w:val="13"/>
          <w:b w:val="1"/>
          <w:bCs w:val="1"/>
          <w:color w:val="auto"/>
        </w:rPr>
        <w:t xml:space="preserve"> </w:t>
      </w:r>
      <w:r>
        <w:rPr>
          <w:rFonts w:ascii="Arial" w:cs="Arial" w:eastAsia="Arial" w:hAnsi="Arial"/>
          <w:sz w:val="13"/>
          <w:szCs w:val="13"/>
          <w:color w:val="auto"/>
        </w:rPr>
        <w:t>or demonstrably anticipated research or development, or (b) that results from any work I perform for Honeywell is the sole and exclusive property of Honeywell, and will continue to be the sole and exclusive property of Honeywell pursuant to this Agreement without any further action required by either party. I hereby irrevocably assign my entire right, title and interest in each such Invention to Honeywell. If, at any time, a court or other tribunal rules that my assignment under this paragraph is ineffective or unenforceable for any reason, I agree to perform all actions necessary to assign these Inventions and/or pre-employment Inventions to Honeywell. Each Invention I Make during the period of time I am employed by Honeywell for which no equipment, supplies, facilities or Honeywell Confidential Information was used and that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18" w:lineRule="exact"/>
        <w:rPr>
          <w:rFonts w:ascii="Arial" w:cs="Arial" w:eastAsia="Arial" w:hAnsi="Arial"/>
          <w:sz w:val="13"/>
          <w:szCs w:val="13"/>
          <w:b w:val="1"/>
          <w:bCs w:val="1"/>
          <w:color w:val="auto"/>
        </w:rPr>
      </w:pPr>
    </w:p>
    <w:p>
      <w:pPr>
        <w:jc w:val="both"/>
        <w:ind w:left="348" w:hanging="348"/>
        <w:spacing w:after="0" w:line="227" w:lineRule="auto"/>
        <w:tabs>
          <w:tab w:leader="none" w:pos="344"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Cooperation with Honeywell and Assignment of Rights. </w:t>
      </w:r>
      <w:r>
        <w:rPr>
          <w:rFonts w:ascii="Arial" w:cs="Arial" w:eastAsia="Arial" w:hAnsi="Arial"/>
          <w:sz w:val="12"/>
          <w:szCs w:val="12"/>
          <w:color w:val="auto"/>
        </w:rPr>
        <w:t>In addition to the foregoing assignment of Inventions to Honeywell, I hereby irrevocably transfer and assign to Honeywell (and agree to sign any</w:t>
      </w:r>
      <w:r>
        <w:rPr>
          <w:rFonts w:ascii="Arial" w:cs="Arial" w:eastAsia="Arial" w:hAnsi="Arial"/>
          <w:sz w:val="12"/>
          <w:szCs w:val="12"/>
          <w:b w:val="1"/>
          <w:bCs w:val="1"/>
          <w:color w:val="auto"/>
        </w:rPr>
        <w:t xml:space="preserve"> </w:t>
      </w:r>
      <w:r>
        <w:rPr>
          <w:rFonts w:ascii="Arial" w:cs="Arial" w:eastAsia="Arial" w:hAnsi="Arial"/>
          <w:sz w:val="12"/>
          <w:szCs w:val="12"/>
          <w:color w:val="auto"/>
        </w:rPr>
        <w:t>further documents to irrevocably transfer and assign to Honeywell): (i) all worldwide patents, patent applications, copyrights, mask works, trade secrets and other intellectual property rights, including but not limited to rights in databases, in any Inventions owned by Honeywell pursuant to paragraph 3 of this Agreement, along with any registrations of or applications to register such rights; (ii) any and all Moral Rights that I may have in or with respect to any such Inventions; and (iii) all worldwide trademark applications or registrations, domain names or social or business networking/media account or identification names related to the scope of my employment. I also hereby forever waive and agree never to assert any and all Moral Rights I may have in or with respect to any assigned Inventions, even after termination of my work on behalf of Honeywell. I agree to assist and fully cooperate with Honeywell in obtaining, and enforcing Honeywell’s patents, copyrights, mask work rights, trade secret rights and other legal protections for such Inventions.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asserting or enforcing legal protection for any said Invention or in defending against claims of the violation of the intellectual property rights of others (including, but not limited to,</w:t>
      </w:r>
    </w:p>
    <w:p>
      <w:pPr>
        <w:sectPr>
          <w:pgSz w:w="11900" w:h="16838" w:orient="portrait"/>
          <w:cols w:equalWidth="0" w:num="1">
            <w:col w:w="11308"/>
          </w:cols>
          <w:pgMar w:left="292" w:top="1142" w:right="299" w:bottom="1440" w:gutter="0" w:footer="0" w:header="0"/>
        </w:sectPr>
      </w:pPr>
    </w:p>
    <w:bookmarkStart w:id="158" w:name="page159"/>
    <w:bookmarkEnd w:id="158"/>
    <w:p>
      <w:pPr>
        <w:jc w:val="both"/>
        <w:ind w:left="348"/>
        <w:spacing w:after="0" w:line="214" w:lineRule="auto"/>
        <w:rPr>
          <w:sz w:val="20"/>
          <w:szCs w:val="20"/>
          <w:color w:val="auto"/>
        </w:rPr>
      </w:pPr>
      <w:r>
        <w:rPr>
          <w:rFonts w:ascii="Arial" w:cs="Arial" w:eastAsia="Arial" w:hAnsi="Arial"/>
          <w:sz w:val="13"/>
          <w:szCs w:val="13"/>
          <w:color w:val="auto"/>
        </w:rPr>
        <w:t>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or right mentioned above, for any other reason whatsoever, I hereby irrevocably 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 for this purpose.</w:t>
      </w:r>
    </w:p>
    <w:p>
      <w:pPr>
        <w:spacing w:after="0" w:line="122" w:lineRule="exact"/>
        <w:rPr>
          <w:sz w:val="20"/>
          <w:szCs w:val="20"/>
          <w:color w:val="auto"/>
        </w:rPr>
      </w:pPr>
    </w:p>
    <w:p>
      <w:pPr>
        <w:jc w:val="both"/>
        <w:ind w:left="348" w:hanging="348"/>
        <w:spacing w:after="0" w:line="212" w:lineRule="auto"/>
        <w:tabs>
          <w:tab w:leader="none" w:pos="344" w:val="left"/>
        </w:tabs>
        <w:numPr>
          <w:ilvl w:val="0"/>
          <w:numId w:val="15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Pre-employment Inventions. </w:t>
      </w:r>
      <w:r>
        <w:rPr>
          <w:rFonts w:ascii="Arial" w:cs="Arial" w:eastAsia="Arial" w:hAnsi="Arial"/>
          <w:sz w:val="13"/>
          <w:szCs w:val="13"/>
          <w:color w:val="auto"/>
        </w:rPr>
        <w:t>On Schedule A, which is an integral part of this Agreement, I have completely identified (without disclosing any trade secret or other confidential information) every Invention</w:t>
      </w:r>
      <w:r>
        <w:rPr>
          <w:rFonts w:ascii="Arial" w:cs="Arial" w:eastAsia="Arial" w:hAnsi="Arial"/>
          <w:sz w:val="13"/>
          <w:szCs w:val="13"/>
          <w:b w:val="1"/>
          <w:bCs w:val="1"/>
          <w:color w:val="auto"/>
        </w:rPr>
        <w:t xml:space="preserve"> </w:t>
      </w:r>
      <w:r>
        <w:rPr>
          <w:rFonts w:ascii="Arial" w:cs="Arial" w:eastAsia="Arial" w:hAnsi="Arial"/>
          <w:sz w:val="13"/>
          <w:szCs w:val="13"/>
          <w:color w:val="auto"/>
        </w:rPr>
        <w:t>I Made before my employment by Honeywell in which I have an ownership interest and that is not the subject matter of an issued patent or a printed publication at the time I sign this Agreement. If I become aware of any projected or actual use of any such Invention by Honeywell, I will promptly notify Honeywell in writing of said use. I acknowledge and agree that if I use any of my pre-employment Inventions in the scope of my employment, or include them in any product or service of Honeywell, I hereby grant to Honeywell a perpetual, irrevocable, nonexclusive, world-wide, royalty-free license without any further action required by either party to use, disclose, make, sell, copy, distribute, modify and create works based on, perform or display such pre-employment Inventions and to sublicense third parties with the same rights. Except as to the Inventions listed on Schedule A or those that are the subject matter of an issued patent or a printed publication at the time I sign this Agreement, I will not assert any rights against Honeywell with respect to any Invention Made before my employment by Honeywell.</w:t>
      </w:r>
    </w:p>
    <w:p>
      <w:pPr>
        <w:spacing w:after="0" w:line="119" w:lineRule="exact"/>
        <w:rPr>
          <w:rFonts w:ascii="Arial" w:cs="Arial" w:eastAsia="Arial" w:hAnsi="Arial"/>
          <w:sz w:val="13"/>
          <w:szCs w:val="13"/>
          <w:b w:val="1"/>
          <w:bCs w:val="1"/>
          <w:color w:val="auto"/>
        </w:rPr>
      </w:pPr>
    </w:p>
    <w:p>
      <w:pPr>
        <w:jc w:val="both"/>
        <w:ind w:left="348" w:hanging="348"/>
        <w:spacing w:after="0" w:line="225" w:lineRule="auto"/>
        <w:tabs>
          <w:tab w:leader="none" w:pos="344"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Honeywell’s Confidential Information. </w:t>
      </w:r>
      <w:r>
        <w:rPr>
          <w:rFonts w:ascii="Arial" w:cs="Arial" w:eastAsia="Arial" w:hAnsi="Arial"/>
          <w:sz w:val="12"/>
          <w:szCs w:val="12"/>
          <w:color w:val="auto"/>
        </w:rPr>
        <w:t>I will never, directly or indirectly, during or after my employment with Honeywell misappropriate, use or disclose Honeywell’s Confidential Information except in</w:t>
      </w:r>
      <w:r>
        <w:rPr>
          <w:rFonts w:ascii="Arial" w:cs="Arial" w:eastAsia="Arial" w:hAnsi="Arial"/>
          <w:sz w:val="12"/>
          <w:szCs w:val="12"/>
          <w:b w:val="1"/>
          <w:bCs w:val="1"/>
          <w:color w:val="auto"/>
        </w:rPr>
        <w:t xml:space="preserve"> </w:t>
      </w:r>
      <w:r>
        <w:rPr>
          <w:rFonts w:ascii="Arial" w:cs="Arial" w:eastAsia="Arial" w:hAnsi="Arial"/>
          <w:sz w:val="12"/>
          <w:szCs w:val="12"/>
          <w:color w:val="auto"/>
        </w:rPr>
        <w:t>furthering Honeywell’s business nor will I disclose or disseminate at any time Honeywell’s Confidential Information to anyone who is not an officer, director, employee, attorney or authorized agent of Honeywell without the prior written consent of Honeywell’s Law Department, unless the specific item of Honeywell’s Confidential Information: (a) is now, or hereafter (through no breach of this Agreement) becomes, general public knowledge, or (b) prior to my disclosure, dissemination or use, was lawfully acquired by me without any obligation to retain the information in confidence. In this connection, I will not publish any of Honeywell’s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(2) years following my Termination of Employment for any reason, in any activity or employment in the faithful performance of which it could be reasonably anticipated that I would use or disclose Honeywell’s Confidential Information. All documents and tangible things embodying or containing Honeywell’s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Confidential Information in my possession, custody or control to Honeywell before leaving the employment of Honeywell.</w:t>
      </w:r>
    </w:p>
    <w:p>
      <w:pPr>
        <w:spacing w:after="0" w:line="127" w:lineRule="exact"/>
        <w:rPr>
          <w:sz w:val="20"/>
          <w:szCs w:val="20"/>
          <w:color w:val="auto"/>
        </w:rPr>
      </w:pPr>
    </w:p>
    <w:p>
      <w:pPr>
        <w:ind w:left="208" w:right="240"/>
        <w:spacing w:after="0" w:line="234" w:lineRule="auto"/>
        <w:rPr>
          <w:sz w:val="20"/>
          <w:szCs w:val="20"/>
          <w:color w:val="auto"/>
        </w:rPr>
      </w:pPr>
      <w:r>
        <w:rPr>
          <w:rFonts w:ascii="Arial" w:cs="Arial" w:eastAsia="Arial" w:hAnsi="Arial"/>
          <w:sz w:val="12"/>
          <w:szCs w:val="12"/>
          <w:color w:val="auto"/>
        </w:rPr>
        <w:t>I understand that I have the right to use or practice any skill or expertise generally associated with my employment but not special or unique to Honeywell, but that I do not have the right to use, practice or disclose Honeywell’s Confidential Information for my own benefit or for the benefit of any third party.</w:t>
      </w:r>
    </w:p>
    <w:p>
      <w:pPr>
        <w:spacing w:after="0" w:line="271" w:lineRule="exact"/>
        <w:rPr>
          <w:sz w:val="20"/>
          <w:szCs w:val="20"/>
          <w:color w:val="auto"/>
        </w:rPr>
      </w:pPr>
    </w:p>
    <w:p>
      <w:pPr>
        <w:ind w:left="208" w:right="40"/>
        <w:spacing w:after="0" w:line="323" w:lineRule="auto"/>
        <w:rPr>
          <w:sz w:val="20"/>
          <w:szCs w:val="20"/>
          <w:color w:val="auto"/>
        </w:rPr>
      </w:pPr>
      <w:r>
        <w:rPr>
          <w:rFonts w:ascii="Arial" w:cs="Arial" w:eastAsia="Arial" w:hAnsi="Arial"/>
          <w:sz w:val="10"/>
          <w:szCs w:val="10"/>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w:t>
      </w:r>
    </w:p>
    <w:p>
      <w:pPr>
        <w:sectPr>
          <w:pgSz w:w="11900" w:h="16838" w:orient="portrait"/>
          <w:cols w:equalWidth="0" w:num="1">
            <w:col w:w="11308"/>
          </w:cols>
          <w:pgMar w:left="292" w:top="984" w:right="299" w:bottom="1440" w:gutter="0" w:footer="0" w:header="0"/>
        </w:sectPr>
      </w:pPr>
    </w:p>
    <w:bookmarkStart w:id="159" w:name="page160"/>
    <w:bookmarkEnd w:id="159"/>
    <w:p>
      <w:pPr>
        <w:ind w:left="208"/>
        <w:spacing w:after="0"/>
        <w:rPr>
          <w:sz w:val="20"/>
          <w:szCs w:val="20"/>
          <w:color w:val="auto"/>
        </w:rPr>
      </w:pPr>
      <w:r>
        <w:rPr>
          <w:rFonts w:ascii="Arial" w:cs="Arial" w:eastAsia="Arial" w:hAnsi="Arial"/>
          <w:sz w:val="12"/>
          <w:szCs w:val="12"/>
          <w:color w:val="auto"/>
        </w:rPr>
        <w:t>in a lawsuit or other proceeding, if such filing is made under seal and I do not disclose the trade secret except pursuant to a court order.</w:t>
      </w:r>
    </w:p>
    <w:p>
      <w:pPr>
        <w:spacing w:after="0" w:line="285" w:lineRule="exact"/>
        <w:rPr>
          <w:sz w:val="20"/>
          <w:szCs w:val="20"/>
          <w:color w:val="auto"/>
        </w:rPr>
      </w:pPr>
    </w:p>
    <w:p>
      <w:pPr>
        <w:ind w:left="208" w:right="60"/>
        <w:spacing w:after="0" w:line="213" w:lineRule="auto"/>
        <w:rPr>
          <w:sz w:val="20"/>
          <w:szCs w:val="20"/>
          <w:color w:val="auto"/>
        </w:rPr>
      </w:pPr>
      <w:r>
        <w:rPr>
          <w:rFonts w:ascii="Arial" w:cs="Arial" w:eastAsia="Arial" w:hAnsi="Arial"/>
          <w:sz w:val="12"/>
          <w:szCs w:val="12"/>
          <w:color w:val="auto"/>
        </w:rPr>
        <w:t xml:space="preserve">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Arial" w:cs="Arial" w:eastAsia="Arial" w:hAnsi="Arial"/>
          <w:sz w:val="12"/>
          <w:szCs w:val="12"/>
          <w:b w:val="1"/>
          <w:bCs w:val="1"/>
          <w:color w:val="auto"/>
        </w:rPr>
        <w:t>I understand that in the event it is determined that disclosure of trade secrets was not done in good faith for the reasons described above,</w:t>
      </w:r>
      <w:r>
        <w:rPr>
          <w:rFonts w:ascii="Arial" w:cs="Arial" w:eastAsia="Arial" w:hAnsi="Arial"/>
          <w:sz w:val="12"/>
          <w:szCs w:val="12"/>
          <w:color w:val="auto"/>
        </w:rPr>
        <w:t xml:space="preserve"> </w:t>
      </w:r>
      <w:r>
        <w:rPr>
          <w:rFonts w:ascii="Arial" w:cs="Arial" w:eastAsia="Arial" w:hAnsi="Arial"/>
          <w:sz w:val="12"/>
          <w:szCs w:val="12"/>
          <w:b w:val="1"/>
          <w:bCs w:val="1"/>
          <w:color w:val="auto"/>
        </w:rPr>
        <w:t>I will be subject to substantial damages, including punitive damages and attorneys’ fees.</w:t>
      </w:r>
    </w:p>
    <w:p>
      <w:pPr>
        <w:spacing w:after="0" w:line="273" w:lineRule="exact"/>
        <w:rPr>
          <w:sz w:val="20"/>
          <w:szCs w:val="20"/>
          <w:color w:val="auto"/>
        </w:rPr>
      </w:pPr>
    </w:p>
    <w:p>
      <w:pPr>
        <w:ind w:left="208" w:right="180"/>
        <w:spacing w:after="0" w:line="219" w:lineRule="auto"/>
        <w:rPr>
          <w:sz w:val="20"/>
          <w:szCs w:val="20"/>
          <w:color w:val="auto"/>
        </w:rPr>
      </w:pPr>
      <w:r>
        <w:rPr>
          <w:rFonts w:ascii="Arial" w:cs="Arial" w:eastAsia="Arial" w:hAnsi="Arial"/>
          <w:sz w:val="12"/>
          <w:szCs w:val="12"/>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93" w:lineRule="exact"/>
        <w:rPr>
          <w:sz w:val="20"/>
          <w:szCs w:val="20"/>
          <w:color w:val="auto"/>
        </w:rPr>
      </w:pPr>
    </w:p>
    <w:p>
      <w:pPr>
        <w:jc w:val="both"/>
        <w:ind w:left="348" w:hanging="348"/>
        <w:spacing w:after="0" w:line="231" w:lineRule="auto"/>
        <w:tabs>
          <w:tab w:leader="none" w:pos="344"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Confidential Information from Previous Employment. </w:t>
      </w:r>
      <w:r>
        <w:rPr>
          <w:rFonts w:ascii="Arial" w:cs="Arial" w:eastAsia="Arial" w:hAnsi="Arial"/>
          <w:sz w:val="12"/>
          <w:szCs w:val="12"/>
          <w:color w:val="auto"/>
        </w:rPr>
        <w:t>I certify that I have not, and will not, disclose or use during my employment by Honeywell, any confidential information or trade secrets that I</w:t>
      </w:r>
      <w:r>
        <w:rPr>
          <w:rFonts w:ascii="Arial" w:cs="Arial" w:eastAsia="Arial" w:hAnsi="Arial"/>
          <w:sz w:val="12"/>
          <w:szCs w:val="12"/>
          <w:b w:val="1"/>
          <w:bCs w:val="1"/>
          <w:color w:val="auto"/>
        </w:rPr>
        <w:t xml:space="preserve"> </w:t>
      </w:r>
      <w:r>
        <w:rPr>
          <w:rFonts w:ascii="Arial" w:cs="Arial" w:eastAsia="Arial" w:hAnsi="Arial"/>
          <w:sz w:val="12"/>
          <w:szCs w:val="12"/>
          <w:color w:val="auto"/>
        </w:rPr>
        <w:t>acquired as a result of any previous employment or under a contractual obligation of confidentiality before my employment by Honeywell. I understand that Honeywell has no interest in, and will not accept disclosure by me of, any trade secrets or confidential information that belongs to a third party. If I am ever placed in a position where I will be required or am given an assignment that will require me to use, directly or indirectly, any trade secrets or confidential 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may have used or disclosed such information. If I fail to do so, Honeywell may elect not to indemnify me in the event of litigation and may take such other actions, as it deems appropriate, up to and including termination of my employment.</w:t>
      </w:r>
    </w:p>
    <w:p>
      <w:pPr>
        <w:spacing w:after="0" w:line="121" w:lineRule="exact"/>
        <w:rPr>
          <w:rFonts w:ascii="Arial" w:cs="Arial" w:eastAsia="Arial" w:hAnsi="Arial"/>
          <w:sz w:val="12"/>
          <w:szCs w:val="12"/>
          <w:b w:val="1"/>
          <w:bCs w:val="1"/>
          <w:color w:val="auto"/>
        </w:rPr>
      </w:pPr>
    </w:p>
    <w:p>
      <w:pPr>
        <w:ind w:left="348" w:hanging="348"/>
        <w:spacing w:after="0" w:line="237" w:lineRule="auto"/>
        <w:tabs>
          <w:tab w:leader="none" w:pos="344"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Prior Restrictive Obligation. </w:t>
      </w:r>
      <w:r>
        <w:rPr>
          <w:rFonts w:ascii="Arial" w:cs="Arial" w:eastAsia="Arial" w:hAnsi="Arial"/>
          <w:sz w:val="13"/>
          <w:szCs w:val="13"/>
          <w:color w:val="auto"/>
        </w:rPr>
        <w:t>On Schedule B, which is an integral part of this Agreement, I have completely identified all prior obligations (written and oral) that restrict my ability to perform the duties of</w:t>
      </w:r>
      <w:r>
        <w:rPr>
          <w:rFonts w:ascii="Arial" w:cs="Arial" w:eastAsia="Arial" w:hAnsi="Arial"/>
          <w:sz w:val="13"/>
          <w:szCs w:val="13"/>
          <w:b w:val="1"/>
          <w:bCs w:val="1"/>
          <w:color w:val="auto"/>
        </w:rPr>
        <w:t xml:space="preserve"> </w:t>
      </w:r>
      <w:r>
        <w:rPr>
          <w:rFonts w:ascii="Arial" w:cs="Arial" w:eastAsia="Arial" w:hAnsi="Arial"/>
          <w:sz w:val="13"/>
          <w:szCs w:val="13"/>
          <w:color w:val="auto"/>
        </w:rPr>
        <w:t>my employment by Honeywell, including all confidentiality agreements and covenants restricting future employment.</w:t>
      </w:r>
    </w:p>
    <w:p>
      <w:pPr>
        <w:spacing w:after="0" w:line="118" w:lineRule="exact"/>
        <w:rPr>
          <w:rFonts w:ascii="Arial" w:cs="Arial" w:eastAsia="Arial" w:hAnsi="Arial"/>
          <w:sz w:val="13"/>
          <w:szCs w:val="13"/>
          <w:b w:val="1"/>
          <w:bCs w:val="1"/>
          <w:color w:val="auto"/>
        </w:rPr>
      </w:pPr>
    </w:p>
    <w:p>
      <w:pPr>
        <w:jc w:val="both"/>
        <w:ind w:left="348" w:hanging="348"/>
        <w:spacing w:after="0" w:line="231" w:lineRule="auto"/>
        <w:tabs>
          <w:tab w:leader="none" w:pos="344"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Nonsolicitation of Honeywell Employees. </w:t>
      </w:r>
      <w:r>
        <w:rPr>
          <w:rFonts w:ascii="Arial" w:cs="Arial" w:eastAsia="Arial" w:hAnsi="Arial"/>
          <w:sz w:val="12"/>
          <w:szCs w:val="12"/>
          <w:color w:val="auto"/>
        </w:rPr>
        <w:t>I acknowledge that Honeywell has invested, and will continue to invest, significant time and money to recruit and retain its employees. Therefore, recognizing that</w:t>
      </w:r>
      <w:r>
        <w:rPr>
          <w:rFonts w:ascii="Arial" w:cs="Arial" w:eastAsia="Arial" w:hAnsi="Arial"/>
          <w:sz w:val="12"/>
          <w:szCs w:val="12"/>
          <w:b w:val="1"/>
          <w:bCs w:val="1"/>
          <w:color w:val="auto"/>
        </w:rPr>
        <w:t xml:space="preserve"> </w:t>
      </w:r>
      <w:r>
        <w:rPr>
          <w:rFonts w:ascii="Arial" w:cs="Arial" w:eastAsia="Arial" w:hAnsi="Arial"/>
          <w:sz w:val="12"/>
          <w:szCs w:val="12"/>
          <w:color w:val="auto"/>
        </w:rPr>
        <w:t>I owe Honeywell an undivided duty of loyalty and that in the course of my employment I have obtained valuable information about Honeywell employees, their respective talents and areas of expertise, I agree that, during my employment and for a period of two (2)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(2)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21" w:lineRule="exact"/>
        <w:rPr>
          <w:rFonts w:ascii="Arial" w:cs="Arial" w:eastAsia="Arial" w:hAnsi="Arial"/>
          <w:sz w:val="12"/>
          <w:szCs w:val="12"/>
          <w:b w:val="1"/>
          <w:bCs w:val="1"/>
          <w:color w:val="auto"/>
        </w:rPr>
      </w:pPr>
    </w:p>
    <w:p>
      <w:pPr>
        <w:ind w:left="348" w:hanging="348"/>
        <w:spacing w:after="0" w:line="237" w:lineRule="auto"/>
        <w:tabs>
          <w:tab w:leader="none" w:pos="356"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Nonsolicitation of Honeywell Customers, Suppliers, Business Partners and Vendors. </w:t>
      </w:r>
      <w:r>
        <w:rPr>
          <w:rFonts w:ascii="Arial" w:cs="Arial" w:eastAsia="Arial" w:hAnsi="Arial"/>
          <w:sz w:val="13"/>
          <w:szCs w:val="13"/>
          <w:color w:val="auto"/>
        </w:rPr>
        <w:t>I acknowledge that Honeywell has invested and will continue to invest significant time and money to develop</w:t>
      </w:r>
      <w:r>
        <w:rPr>
          <w:rFonts w:ascii="Arial" w:cs="Arial" w:eastAsia="Arial" w:hAnsi="Arial"/>
          <w:sz w:val="13"/>
          <w:szCs w:val="13"/>
          <w:b w:val="1"/>
          <w:bCs w:val="1"/>
          <w:color w:val="auto"/>
        </w:rPr>
        <w:t xml:space="preserve"> </w:t>
      </w:r>
      <w:r>
        <w:rPr>
          <w:rFonts w:ascii="Arial" w:cs="Arial" w:eastAsia="Arial" w:hAnsi="Arial"/>
          <w:sz w:val="13"/>
          <w:szCs w:val="13"/>
          <w:color w:val="auto"/>
        </w:rPr>
        <w:t>valuable, continuing relationships with existing and prospective clients and customers of</w:t>
      </w:r>
    </w:p>
    <w:p>
      <w:pPr>
        <w:sectPr>
          <w:pgSz w:w="11900" w:h="16838" w:orient="portrait"/>
          <w:cols w:equalWidth="0" w:num="1">
            <w:col w:w="11308"/>
          </w:cols>
          <w:pgMar w:left="292" w:top="986" w:right="299" w:bottom="1440" w:gutter="0" w:footer="0" w:header="0"/>
        </w:sectPr>
      </w:pPr>
    </w:p>
    <w:bookmarkStart w:id="160" w:name="page161"/>
    <w:bookmarkEnd w:id="160"/>
    <w:p>
      <w:pPr>
        <w:jc w:val="both"/>
        <w:ind w:left="348"/>
        <w:spacing w:after="0" w:line="228" w:lineRule="auto"/>
        <w:rPr>
          <w:sz w:val="20"/>
          <w:szCs w:val="20"/>
          <w:color w:val="auto"/>
        </w:rPr>
      </w:pPr>
      <w:r>
        <w:rPr>
          <w:rFonts w:ascii="Arial" w:cs="Arial" w:eastAsia="Arial" w:hAnsi="Arial"/>
          <w:sz w:val="12"/>
          <w:szCs w:val="12"/>
          <w:color w:val="auto"/>
        </w:rPr>
        <w:t>Honeywell. Therefore, recognizing that in the course of my employment I have obtained valuable information about Honeywell customers, suppliers, business partners, and/or vendors, and their requirements, I agree that during my employment and for a period of two (2)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 (2) year period prior to my Termination of Employment, or (ii) any prospective clients, customers, suppliers, business partners, and/or vendors of Honeywell with whom I had contact and with whom Honeywell took significant steps to do business during the two (2) year period prior to my Termination of Employment, for the purpose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22" w:lineRule="exact"/>
        <w:rPr>
          <w:sz w:val="20"/>
          <w:szCs w:val="20"/>
          <w:color w:val="auto"/>
        </w:rPr>
      </w:pPr>
    </w:p>
    <w:p>
      <w:pPr>
        <w:jc w:val="both"/>
        <w:ind w:left="348" w:hanging="348"/>
        <w:spacing w:after="0" w:line="225" w:lineRule="auto"/>
        <w:tabs>
          <w:tab w:leader="none" w:pos="358"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Notice to Future Employers. </w:t>
      </w:r>
      <w:r>
        <w:rPr>
          <w:rFonts w:ascii="Arial" w:cs="Arial" w:eastAsia="Arial" w:hAnsi="Arial"/>
          <w:sz w:val="13"/>
          <w:szCs w:val="13"/>
          <w:color w:val="auto"/>
        </w:rPr>
        <w:t>For the period of two (2) years immediately following the end of my employment by Honeywell, I will inform each new employer, prior to accepting employment,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existence of this Agreement and provide that employer with a copy of it. Honeywell has the right to inform any future employer of the existence of this Agreement and to provide any future employers with a copy of it.</w:t>
      </w:r>
    </w:p>
    <w:p>
      <w:pPr>
        <w:spacing w:after="0" w:line="119" w:lineRule="exact"/>
        <w:rPr>
          <w:rFonts w:ascii="Arial" w:cs="Arial" w:eastAsia="Arial" w:hAnsi="Arial"/>
          <w:sz w:val="13"/>
          <w:szCs w:val="13"/>
          <w:b w:val="1"/>
          <w:bCs w:val="1"/>
          <w:color w:val="auto"/>
        </w:rPr>
      </w:pPr>
    </w:p>
    <w:p>
      <w:pPr>
        <w:ind w:left="348" w:hanging="348"/>
        <w:spacing w:after="0" w:line="237" w:lineRule="auto"/>
        <w:tabs>
          <w:tab w:leader="none" w:pos="356" w:val="left"/>
        </w:tabs>
        <w:numPr>
          <w:ilvl w:val="0"/>
          <w:numId w:val="16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Copyright. </w:t>
      </w:r>
      <w:r>
        <w:rPr>
          <w:rFonts w:ascii="Arial" w:cs="Arial" w:eastAsia="Arial" w:hAnsi="Arial"/>
          <w:sz w:val="13"/>
          <w:szCs w:val="13"/>
          <w:color w:val="auto"/>
        </w:rPr>
        <w:t>As to all works prepared by me that are: (i) within the scope of my employment, or (ii) based upon information I acquired from Honeywell that is not normally made available to the public, or</w:t>
      </w:r>
      <w:r>
        <w:rPr>
          <w:rFonts w:ascii="Arial" w:cs="Arial" w:eastAsia="Arial" w:hAnsi="Arial"/>
          <w:sz w:val="13"/>
          <w:szCs w:val="13"/>
          <w:b w:val="1"/>
          <w:bCs w:val="1"/>
          <w:color w:val="auto"/>
        </w:rPr>
        <w:t xml:space="preserve"> </w:t>
      </w:r>
      <w:r>
        <w:rPr>
          <w:rFonts w:ascii="Arial" w:cs="Arial" w:eastAsia="Arial" w:hAnsi="Arial"/>
          <w:sz w:val="13"/>
          <w:szCs w:val="13"/>
          <w:color w:val="auto"/>
        </w:rPr>
        <w:t>(iii) commissioned by Honeywell, but not within my scope of employment, I hereby agree to:</w:t>
      </w:r>
    </w:p>
    <w:p>
      <w:pPr>
        <w:spacing w:after="0" w:line="123" w:lineRule="exact"/>
        <w:rPr>
          <w:sz w:val="20"/>
          <w:szCs w:val="20"/>
          <w:color w:val="auto"/>
        </w:rPr>
      </w:pPr>
    </w:p>
    <w:p>
      <w:pPr>
        <w:ind w:left="788" w:hanging="442"/>
        <w:spacing w:after="0"/>
        <w:tabs>
          <w:tab w:leader="none" w:pos="788" w:val="left"/>
        </w:tabs>
        <w:numPr>
          <w:ilvl w:val="0"/>
          <w:numId w:val="161"/>
        </w:numPr>
        <w:rPr>
          <w:rFonts w:ascii="Arial" w:cs="Arial" w:eastAsia="Arial" w:hAnsi="Arial"/>
          <w:sz w:val="13"/>
          <w:szCs w:val="13"/>
          <w:color w:val="auto"/>
        </w:rPr>
      </w:pPr>
      <w:r>
        <w:rPr>
          <w:rFonts w:ascii="Arial" w:cs="Arial" w:eastAsia="Arial" w:hAnsi="Arial"/>
          <w:sz w:val="13"/>
          <w:szCs w:val="13"/>
          <w:color w:val="auto"/>
        </w:rPr>
        <w:t>Submit to Honeywell’s Law Department and to my supervisor for approval for publication or oral dissemination;</w:t>
      </w:r>
    </w:p>
    <w:p>
      <w:pPr>
        <w:spacing w:after="0" w:line="138" w:lineRule="exact"/>
        <w:rPr>
          <w:rFonts w:ascii="Arial" w:cs="Arial" w:eastAsia="Arial" w:hAnsi="Arial"/>
          <w:sz w:val="13"/>
          <w:szCs w:val="13"/>
          <w:color w:val="auto"/>
        </w:rPr>
      </w:pPr>
    </w:p>
    <w:p>
      <w:pPr>
        <w:ind w:left="788" w:hanging="442"/>
        <w:spacing w:after="0"/>
        <w:tabs>
          <w:tab w:leader="none" w:pos="788" w:val="left"/>
        </w:tabs>
        <w:numPr>
          <w:ilvl w:val="0"/>
          <w:numId w:val="161"/>
        </w:numPr>
        <w:rPr>
          <w:rFonts w:ascii="Arial" w:cs="Arial" w:eastAsia="Arial" w:hAnsi="Arial"/>
          <w:sz w:val="13"/>
          <w:szCs w:val="13"/>
          <w:color w:val="auto"/>
        </w:rPr>
      </w:pPr>
      <w:r>
        <w:rPr>
          <w:rFonts w:ascii="Arial" w:cs="Arial" w:eastAsia="Arial" w:hAnsi="Arial"/>
          <w:sz w:val="13"/>
          <w:szCs w:val="13"/>
          <w:color w:val="auto"/>
        </w:rPr>
        <w:t>Assign all right, title and interest in and to the copyright in all such works to Honeywell; and</w:t>
      </w:r>
    </w:p>
    <w:p>
      <w:pPr>
        <w:spacing w:after="0" w:line="138" w:lineRule="exact"/>
        <w:rPr>
          <w:rFonts w:ascii="Arial" w:cs="Arial" w:eastAsia="Arial" w:hAnsi="Arial"/>
          <w:sz w:val="13"/>
          <w:szCs w:val="13"/>
          <w:color w:val="auto"/>
        </w:rPr>
      </w:pPr>
    </w:p>
    <w:p>
      <w:pPr>
        <w:ind w:left="788" w:hanging="442"/>
        <w:spacing w:after="0"/>
        <w:tabs>
          <w:tab w:leader="none" w:pos="788" w:val="left"/>
        </w:tabs>
        <w:numPr>
          <w:ilvl w:val="0"/>
          <w:numId w:val="161"/>
        </w:numPr>
        <w:rPr>
          <w:rFonts w:ascii="Arial" w:cs="Arial" w:eastAsia="Arial" w:hAnsi="Arial"/>
          <w:sz w:val="13"/>
          <w:szCs w:val="13"/>
          <w:color w:val="auto"/>
        </w:rPr>
      </w:pPr>
      <w:r>
        <w:rPr>
          <w:rFonts w:ascii="Arial" w:cs="Arial" w:eastAsia="Arial" w:hAnsi="Arial"/>
          <w:sz w:val="13"/>
          <w:szCs w:val="13"/>
          <w:color w:val="auto"/>
        </w:rPr>
        <w:t>Waive any claim of Moral Rights, author’s rights, droit moral, or any equivalent rights to the extent necessary or permitted by law.</w:t>
      </w:r>
    </w:p>
    <w:p>
      <w:pPr>
        <w:spacing w:after="0" w:line="140" w:lineRule="exact"/>
        <w:rPr>
          <w:sz w:val="20"/>
          <w:szCs w:val="20"/>
          <w:color w:val="auto"/>
        </w:rPr>
      </w:pPr>
    </w:p>
    <w:p>
      <w:pPr>
        <w:ind w:left="208" w:right="280"/>
        <w:spacing w:after="0" w:line="234" w:lineRule="auto"/>
        <w:rPr>
          <w:sz w:val="20"/>
          <w:szCs w:val="20"/>
          <w:color w:val="auto"/>
        </w:rPr>
      </w:pPr>
      <w:r>
        <w:rPr>
          <w:rFonts w:ascii="Arial" w:cs="Arial" w:eastAsia="Arial" w:hAnsi="Arial"/>
          <w:sz w:val="12"/>
          <w:szCs w:val="12"/>
          <w:color w:val="auto"/>
        </w:rPr>
        <w:t>I hereby release and allow Honeywell to use, for any lawful purpose, any voice reproduction, photograph, or other digital or video likeness of me made in the course of my employment, including my name, likeness and/or any other indicia of my persona in connection with the foregoing materials.</w:t>
      </w:r>
    </w:p>
    <w:p>
      <w:pPr>
        <w:spacing w:after="0" w:line="204" w:lineRule="exact"/>
        <w:rPr>
          <w:sz w:val="20"/>
          <w:szCs w:val="20"/>
          <w:color w:val="auto"/>
        </w:rPr>
      </w:pPr>
    </w:p>
    <w:p>
      <w:pPr>
        <w:ind w:left="348" w:hanging="348"/>
        <w:spacing w:after="0" w:line="228" w:lineRule="auto"/>
        <w:tabs>
          <w:tab w:leader="none" w:pos="356" w:val="left"/>
        </w:tabs>
        <w:numPr>
          <w:ilvl w:val="0"/>
          <w:numId w:val="162"/>
        </w:numPr>
        <w:rPr>
          <w:rFonts w:ascii="Arial" w:cs="Arial" w:eastAsia="Arial" w:hAnsi="Arial"/>
          <w:sz w:val="13"/>
          <w:szCs w:val="13"/>
          <w:b w:val="1"/>
          <w:bCs w:val="1"/>
          <w:color w:val="auto"/>
        </w:rPr>
      </w:pPr>
      <w:r>
        <w:rPr>
          <w:rFonts w:ascii="Arial" w:cs="Arial" w:eastAsia="Arial" w:hAnsi="Arial"/>
          <w:sz w:val="12"/>
          <w:szCs w:val="12"/>
          <w:b w:val="1"/>
          <w:bCs w:val="1"/>
          <w:color w:val="auto"/>
        </w:rPr>
        <w:t xml:space="preserve">Acknowledgement of Receipt. </w:t>
      </w:r>
      <w:r>
        <w:rPr>
          <w:rFonts w:ascii="Arial" w:cs="Arial" w:eastAsia="Arial" w:hAnsi="Arial"/>
          <w:sz w:val="12"/>
          <w:szCs w:val="12"/>
          <w:color w:val="auto"/>
        </w:rPr>
        <w:t>I acknowledge that I have received a copy of this Agreement prior to accepting employment, continued employment or other consideration as recited herein and that execution of this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was an express condition of my employment, continued employment or receipt of other consideration recited herein.</w:t>
      </w:r>
    </w:p>
    <w:p>
      <w:pPr>
        <w:spacing w:after="0" w:line="121" w:lineRule="exact"/>
        <w:rPr>
          <w:rFonts w:ascii="Arial" w:cs="Arial" w:eastAsia="Arial" w:hAnsi="Arial"/>
          <w:sz w:val="13"/>
          <w:szCs w:val="13"/>
          <w:b w:val="1"/>
          <w:bCs w:val="1"/>
          <w:color w:val="auto"/>
        </w:rPr>
      </w:pPr>
    </w:p>
    <w:p>
      <w:pPr>
        <w:jc w:val="both"/>
        <w:ind w:left="348" w:hanging="348"/>
        <w:spacing w:after="0" w:line="229" w:lineRule="auto"/>
        <w:tabs>
          <w:tab w:leader="none" w:pos="356"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Effectiveness of Agreement. </w:t>
      </w:r>
      <w:r>
        <w:rPr>
          <w:rFonts w:ascii="Arial" w:cs="Arial" w:eastAsia="Arial" w:hAnsi="Arial"/>
          <w:sz w:val="12"/>
          <w:szCs w:val="12"/>
          <w:color w:val="auto"/>
        </w:rPr>
        <w:t>I acknowledge that the provisions of this Agreement are in addition to, and in no way intended to limit, restrict or narrow any prior or existing agreement with Honeywell.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ectPr>
          <w:pgSz w:w="11900" w:h="16838" w:orient="portrait"/>
          <w:cols w:equalWidth="0" w:num="1">
            <w:col w:w="11308"/>
          </w:cols>
          <w:pgMar w:left="292" w:top="984" w:right="299" w:bottom="1440" w:gutter="0" w:footer="0" w:header="0"/>
        </w:sectPr>
      </w:pPr>
    </w:p>
    <w:bookmarkStart w:id="161" w:name="page162"/>
    <w:bookmarkEnd w:id="161"/>
    <w:p>
      <w:pPr>
        <w:ind w:left="348" w:hanging="348"/>
        <w:spacing w:after="0"/>
        <w:tabs>
          <w:tab w:leader="none" w:pos="348"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Identity of Future Employer. </w:t>
      </w:r>
      <w:r>
        <w:rPr>
          <w:rFonts w:ascii="Arial" w:cs="Arial" w:eastAsia="Arial" w:hAnsi="Arial"/>
          <w:sz w:val="12"/>
          <w:szCs w:val="12"/>
          <w:color w:val="auto"/>
        </w:rPr>
        <w:t>Upon termination of my employment for any reason, if reasonably requested by Honeywell, I will advise Honeywell of the name and address of my intended future employer.</w:t>
      </w:r>
    </w:p>
    <w:p>
      <w:pPr>
        <w:spacing w:after="0" w:line="150" w:lineRule="exact"/>
        <w:rPr>
          <w:rFonts w:ascii="Arial" w:cs="Arial" w:eastAsia="Arial" w:hAnsi="Arial"/>
          <w:sz w:val="12"/>
          <w:szCs w:val="12"/>
          <w:b w:val="1"/>
          <w:bCs w:val="1"/>
          <w:color w:val="auto"/>
        </w:rPr>
      </w:pPr>
    </w:p>
    <w:p>
      <w:pPr>
        <w:jc w:val="both"/>
        <w:ind w:left="348" w:hanging="348"/>
        <w:spacing w:after="0" w:line="238" w:lineRule="auto"/>
        <w:tabs>
          <w:tab w:leader="none" w:pos="356"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Remedies. </w:t>
      </w:r>
      <w:r>
        <w:rPr>
          <w:rFonts w:ascii="Arial" w:cs="Arial" w:eastAsia="Arial" w:hAnsi="Arial"/>
          <w:sz w:val="12"/>
          <w:szCs w:val="12"/>
          <w:color w:val="auto"/>
        </w:rPr>
        <w:t>I acknowledge that a remedy at law for any breach or threatened breach of the provisions of this Agreement would be inadequate and therefore agree that Honeywell shall be entitled to injunctive</w:t>
      </w:r>
      <w:r>
        <w:rPr>
          <w:rFonts w:ascii="Arial" w:cs="Arial" w:eastAsia="Arial" w:hAnsi="Arial"/>
          <w:sz w:val="12"/>
          <w:szCs w:val="12"/>
          <w:b w:val="1"/>
          <w:bCs w:val="1"/>
          <w:color w:val="auto"/>
        </w:rPr>
        <w:t xml:space="preserve"> </w:t>
      </w:r>
      <w:r>
        <w:rPr>
          <w:rFonts w:ascii="Arial" w:cs="Arial" w:eastAsia="Arial" w:hAnsi="Arial"/>
          <w:sz w:val="12"/>
          <w:szCs w:val="12"/>
          <w:color w:val="auto"/>
        </w:rPr>
        <w:t>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that may also include but not be limited to contract damages, lost profits and punitive damages.</w:t>
      </w:r>
    </w:p>
    <w:p>
      <w:pPr>
        <w:spacing w:after="0" w:line="118" w:lineRule="exact"/>
        <w:rPr>
          <w:rFonts w:ascii="Arial" w:cs="Arial" w:eastAsia="Arial" w:hAnsi="Arial"/>
          <w:sz w:val="12"/>
          <w:szCs w:val="12"/>
          <w:b w:val="1"/>
          <w:bCs w:val="1"/>
          <w:color w:val="auto"/>
        </w:rPr>
      </w:pPr>
    </w:p>
    <w:p>
      <w:pPr>
        <w:ind w:left="348" w:hanging="348"/>
        <w:spacing w:after="0" w:line="237" w:lineRule="auto"/>
        <w:tabs>
          <w:tab w:leader="none" w:pos="356"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Successors; Binding Agreement. </w:t>
      </w:r>
      <w:r>
        <w:rPr>
          <w:rFonts w:ascii="Arial" w:cs="Arial" w:eastAsia="Arial" w:hAnsi="Arial"/>
          <w:sz w:val="13"/>
          <w:szCs w:val="13"/>
          <w:color w:val="auto"/>
        </w:rPr>
        <w:t>This Agreement binds my heirs, executors, administrators, legal representatives and assigns and inures to the benefit of Honeywell and its successors and assigns. Only a</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amendment executed by both Honeywell and me can modify this Agreement.</w:t>
      </w:r>
    </w:p>
    <w:p>
      <w:pPr>
        <w:spacing w:after="0" w:line="118" w:lineRule="exact"/>
        <w:rPr>
          <w:rFonts w:ascii="Arial" w:cs="Arial" w:eastAsia="Arial" w:hAnsi="Arial"/>
          <w:sz w:val="13"/>
          <w:szCs w:val="13"/>
          <w:b w:val="1"/>
          <w:bCs w:val="1"/>
          <w:color w:val="auto"/>
        </w:rPr>
      </w:pPr>
    </w:p>
    <w:p>
      <w:pPr>
        <w:ind w:left="348" w:hanging="348"/>
        <w:spacing w:after="0"/>
        <w:tabs>
          <w:tab w:leader="none" w:pos="348"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This Agreement shall be governed by and construed in accordance with the laws of the State of North Carolina without regard to its principles of conflicts of law.</w:t>
      </w:r>
    </w:p>
    <w:p>
      <w:pPr>
        <w:spacing w:after="0" w:line="138" w:lineRule="exact"/>
        <w:rPr>
          <w:rFonts w:ascii="Arial" w:cs="Arial" w:eastAsia="Arial" w:hAnsi="Arial"/>
          <w:sz w:val="13"/>
          <w:szCs w:val="13"/>
          <w:b w:val="1"/>
          <w:bCs w:val="1"/>
          <w:color w:val="auto"/>
        </w:rPr>
      </w:pPr>
    </w:p>
    <w:p>
      <w:pPr>
        <w:jc w:val="both"/>
        <w:ind w:left="348" w:hanging="348"/>
        <w:spacing w:after="0" w:line="216" w:lineRule="auto"/>
        <w:tabs>
          <w:tab w:leader="none" w:pos="356"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Validity. </w:t>
      </w:r>
      <w:r>
        <w:rPr>
          <w:rFonts w:ascii="Arial" w:cs="Arial" w:eastAsia="Arial" w:hAnsi="Arial"/>
          <w:sz w:val="13"/>
          <w:szCs w:val="13"/>
          <w:color w:val="auto"/>
        </w:rPr>
        <w:t>It is the desire and intent of the parties hereto that the provisions of this Agreement shall be enforced to the fullest extent legally-permissible. Accordingly, if any particular provision(s)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19" w:lineRule="exact"/>
        <w:rPr>
          <w:rFonts w:ascii="Arial" w:cs="Arial" w:eastAsia="Arial" w:hAnsi="Arial"/>
          <w:sz w:val="13"/>
          <w:szCs w:val="13"/>
          <w:b w:val="1"/>
          <w:bCs w:val="1"/>
          <w:color w:val="auto"/>
        </w:rPr>
      </w:pPr>
    </w:p>
    <w:p>
      <w:pPr>
        <w:ind w:left="348" w:hanging="348"/>
        <w:spacing w:after="0"/>
        <w:tabs>
          <w:tab w:leader="none" w:pos="348"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Definitions</w:t>
      </w:r>
    </w:p>
    <w:p>
      <w:pPr>
        <w:spacing w:after="0" w:line="142" w:lineRule="exact"/>
        <w:rPr>
          <w:rFonts w:ascii="Arial" w:cs="Arial" w:eastAsia="Arial" w:hAnsi="Arial"/>
          <w:sz w:val="13"/>
          <w:szCs w:val="13"/>
          <w:b w:val="1"/>
          <w:bCs w:val="1"/>
          <w:color w:val="auto"/>
        </w:rPr>
      </w:pPr>
    </w:p>
    <w:p>
      <w:pPr>
        <w:jc w:val="both"/>
        <w:ind w:left="768" w:hanging="422"/>
        <w:spacing w:after="0" w:line="227" w:lineRule="auto"/>
        <w:tabs>
          <w:tab w:leader="none" w:pos="779" w:val="left"/>
        </w:tabs>
        <w:numPr>
          <w:ilvl w:val="1"/>
          <w:numId w:val="163"/>
        </w:numPr>
        <w:rPr>
          <w:rFonts w:ascii="Arial" w:cs="Arial" w:eastAsia="Arial" w:hAnsi="Arial"/>
          <w:sz w:val="12"/>
          <w:szCs w:val="12"/>
          <w:color w:val="auto"/>
        </w:rPr>
      </w:pPr>
      <w:r>
        <w:rPr>
          <w:rFonts w:ascii="Arial" w:cs="Arial" w:eastAsia="Arial" w:hAnsi="Arial"/>
          <w:sz w:val="12"/>
          <w:szCs w:val="12"/>
          <w:color w:val="auto"/>
        </w:rPr>
        <w:t>“Confidential Information” means any information of a confidential or secret nature that (a) relates to the business of Honeywell or to the business of any parent, subsidiary, affiliate, customer, or vendor of Honeywell, or any other party with whom Honeywell agrees to hold information of such party in confidence; (b) is not generally known to the public or to other persons in the industry; and</w:t>
      </w:r>
    </w:p>
    <w:p>
      <w:pPr>
        <w:jc w:val="both"/>
        <w:ind w:left="768"/>
        <w:spacing w:after="0" w:line="206" w:lineRule="auto"/>
        <w:rPr>
          <w:rFonts w:ascii="Arial" w:cs="Arial" w:eastAsia="Arial" w:hAnsi="Arial"/>
          <w:sz w:val="12"/>
          <w:szCs w:val="12"/>
          <w:color w:val="auto"/>
        </w:rPr>
      </w:pPr>
      <w:r>
        <w:rPr>
          <w:rFonts w:ascii="Arial" w:cs="Arial" w:eastAsia="Arial" w:hAnsi="Arial"/>
          <w:sz w:val="13"/>
          <w:szCs w:val="13"/>
          <w:color w:val="auto"/>
        </w:rPr>
        <w:t>(c) Honeywell has taken reasonable measures under the circumstances to protect from unauthorized use or disclosure. Confidential Information covered by this Agreement means (i) trade secrets; (ii) proprietary information that does not rise to the level of a statutorily protectable trade secret that is made the property of Honeywell through positive operation of law in the form of this mutual agreement of the parties; or (iii) information that is otherwise legally protectable. Such Confidential Information includes, but is not limited to, assigned Inventions, knowledge, data, information, know-how, non-public intellectual property rights, including unpublished or pending patent applications and all related patent rights, techniques, formulae, processes, discoveries, improvements, ideas, conceptions, compilations of data, and developments, whether or not patentable and whether or not copyrightable. By way of example, Confidential Information includes: information that is not generally known in the industries in which Honeywell is engaged, which may be disclosed to me or that I may learn, observe, discover or otherwise acquire during, or as a result of, my employment by Honeywell and that includes, without limitation, any information, whether patentable, patented or not, relating to, without limitation, existing or contemplated products, inventions, services, technology, ideas, concepts, designs, patterns, processes, compounds, formulae, programs, devices, tools, compilations of information, methods, techniques, and including information relating to any research, research databases, development, manufacture, purchasing, engineering, know-how, business plans, marketing plans, sales or market methods, methods of doing business, customer lists, customer usages or requirements, the identities and competencies of Honeywell’s employees, financial information, operating and cost data, or supplier information, which is owned or licensed by</w:t>
      </w:r>
    </w:p>
    <w:p>
      <w:pPr>
        <w:sectPr>
          <w:pgSz w:w="11900" w:h="16838" w:orient="portrait"/>
          <w:cols w:equalWidth="0" w:num="1">
            <w:col w:w="11308"/>
          </w:cols>
          <w:pgMar w:left="292" w:top="980" w:right="299" w:bottom="1440" w:gutter="0" w:footer="0" w:header="0"/>
        </w:sectPr>
      </w:pPr>
    </w:p>
    <w:bookmarkStart w:id="162" w:name="page163"/>
    <w:bookmarkEnd w:id="162"/>
    <w:p>
      <w:pPr>
        <w:ind w:left="768"/>
        <w:spacing w:after="0"/>
        <w:rPr>
          <w:sz w:val="20"/>
          <w:szCs w:val="20"/>
          <w:color w:val="auto"/>
        </w:rPr>
      </w:pPr>
      <w:r>
        <w:rPr>
          <w:rFonts w:ascii="Arial" w:cs="Arial" w:eastAsia="Arial" w:hAnsi="Arial"/>
          <w:sz w:val="13"/>
          <w:szCs w:val="13"/>
          <w:color w:val="auto"/>
        </w:rPr>
        <w:t>Honeywell or held by Honeywell in confidence. The foregoing are only examples of Confidential Information.</w:t>
      </w:r>
    </w:p>
    <w:p>
      <w:pPr>
        <w:spacing w:after="0" w:line="139" w:lineRule="exact"/>
        <w:rPr>
          <w:sz w:val="20"/>
          <w:szCs w:val="20"/>
          <w:color w:val="auto"/>
        </w:rPr>
      </w:pPr>
    </w:p>
    <w:p>
      <w:pPr>
        <w:ind w:left="768" w:hanging="422"/>
        <w:spacing w:after="0" w:line="267" w:lineRule="auto"/>
        <w:tabs>
          <w:tab w:leader="none" w:pos="769" w:val="left"/>
        </w:tabs>
        <w:numPr>
          <w:ilvl w:val="1"/>
          <w:numId w:val="164"/>
        </w:numPr>
        <w:rPr>
          <w:rFonts w:ascii="Arial" w:cs="Arial" w:eastAsia="Arial" w:hAnsi="Arial"/>
          <w:sz w:val="12"/>
          <w:szCs w:val="12"/>
          <w:color w:val="auto"/>
        </w:rPr>
      </w:pPr>
      <w:r>
        <w:rPr>
          <w:rFonts w:ascii="Arial" w:cs="Arial" w:eastAsia="Arial" w:hAnsi="Arial"/>
          <w:sz w:val="12"/>
          <w:szCs w:val="12"/>
          <w:color w:val="auto"/>
        </w:rPr>
        <w:t>“Honeywell” collectively identifies Honeywell International Inc. (a Delaware corporation having a place of business Charlotte, Mecklenburg County, North Carolina), its predecessors, designees and successors and its past, present and future operating companies, divisions, subsidiaries, affiliates and other business units, including businesses acquired by purchase of stock, merger or otherwise.</w:t>
      </w:r>
    </w:p>
    <w:p>
      <w:pPr>
        <w:spacing w:after="0" w:line="106" w:lineRule="exact"/>
        <w:rPr>
          <w:rFonts w:ascii="Arial" w:cs="Arial" w:eastAsia="Arial" w:hAnsi="Arial"/>
          <w:sz w:val="12"/>
          <w:szCs w:val="12"/>
          <w:color w:val="auto"/>
        </w:rPr>
      </w:pPr>
    </w:p>
    <w:p>
      <w:pPr>
        <w:jc w:val="both"/>
        <w:ind w:left="768" w:hanging="422"/>
        <w:spacing w:after="0" w:line="223" w:lineRule="auto"/>
        <w:tabs>
          <w:tab w:leader="none" w:pos="779" w:val="left"/>
        </w:tabs>
        <w:numPr>
          <w:ilvl w:val="1"/>
          <w:numId w:val="164"/>
        </w:numPr>
        <w:rPr>
          <w:rFonts w:ascii="Arial" w:cs="Arial" w:eastAsia="Arial" w:hAnsi="Arial"/>
          <w:sz w:val="13"/>
          <w:szCs w:val="13"/>
          <w:color w:val="auto"/>
        </w:rPr>
      </w:pPr>
      <w:r>
        <w:rPr>
          <w:rFonts w:ascii="Arial" w:cs="Arial" w:eastAsia="Arial" w:hAnsi="Arial"/>
          <w:sz w:val="13"/>
          <w:szCs w:val="13"/>
          <w:color w:val="auto"/>
        </w:rPr>
        <w:t>“Invention” includes not only inventions (whether or not patentable), but also innovations, improvements, discoveries, ideas, original works of authorship, formulas, processes, compositions of matter, computer software programs, databases, mask works – and all other forms of intellectual property (including, but not limited to, copyright works and mask works) – whether or not any of the foregoing constitutes a trade secret or information protectable by patents or copyright.</w:t>
      </w:r>
    </w:p>
    <w:p>
      <w:pPr>
        <w:spacing w:after="0" w:line="123" w:lineRule="exact"/>
        <w:rPr>
          <w:rFonts w:ascii="Arial" w:cs="Arial" w:eastAsia="Arial" w:hAnsi="Arial"/>
          <w:sz w:val="13"/>
          <w:szCs w:val="13"/>
          <w:color w:val="auto"/>
        </w:rPr>
      </w:pPr>
    </w:p>
    <w:p>
      <w:pPr>
        <w:ind w:left="768" w:right="20" w:hanging="422"/>
        <w:spacing w:after="0" w:line="234" w:lineRule="auto"/>
        <w:tabs>
          <w:tab w:leader="none" w:pos="778" w:val="left"/>
        </w:tabs>
        <w:numPr>
          <w:ilvl w:val="1"/>
          <w:numId w:val="164"/>
        </w:numPr>
        <w:rPr>
          <w:rFonts w:ascii="Arial" w:cs="Arial" w:eastAsia="Arial" w:hAnsi="Arial"/>
          <w:sz w:val="13"/>
          <w:szCs w:val="13"/>
          <w:color w:val="auto"/>
        </w:rPr>
      </w:pPr>
      <w:r>
        <w:rPr>
          <w:rFonts w:ascii="Arial" w:cs="Arial" w:eastAsia="Arial" w:hAnsi="Arial"/>
          <w:sz w:val="13"/>
          <w:szCs w:val="13"/>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29" w:lineRule="exact"/>
        <w:rPr>
          <w:rFonts w:ascii="Arial" w:cs="Arial" w:eastAsia="Arial" w:hAnsi="Arial"/>
          <w:sz w:val="13"/>
          <w:szCs w:val="13"/>
          <w:color w:val="auto"/>
        </w:rPr>
      </w:pPr>
    </w:p>
    <w:p>
      <w:pPr>
        <w:jc w:val="both"/>
        <w:ind w:left="768" w:right="20" w:hanging="422"/>
        <w:spacing w:after="0" w:line="216" w:lineRule="auto"/>
        <w:tabs>
          <w:tab w:leader="none" w:pos="779" w:val="left"/>
        </w:tabs>
        <w:numPr>
          <w:ilvl w:val="1"/>
          <w:numId w:val="164"/>
        </w:numPr>
        <w:rPr>
          <w:rFonts w:ascii="Arial" w:cs="Arial" w:eastAsia="Arial" w:hAnsi="Arial"/>
          <w:sz w:val="13"/>
          <w:szCs w:val="13"/>
          <w:color w:val="auto"/>
        </w:rPr>
      </w:pPr>
      <w:r>
        <w:rPr>
          <w:rFonts w:ascii="Arial" w:cs="Arial" w:eastAsia="Arial" w:hAnsi="Arial"/>
          <w:sz w:val="12"/>
          <w:szCs w:val="12"/>
          <w:b w:val="1"/>
          <w:bCs w:val="1"/>
          <w:color w:val="auto"/>
        </w:rPr>
        <w:t>“Moral Rights” mean any rights to claim authorship of or credit on an assigned Invention, to object to or prevent the modification or destruction of any assigned Inventions or pre-employment Inventions licensed to Honeywell, or to withdraw from circulation or control the publication or distribution of any assigned Inventions or pre-employment Inventions licensed to Honeywell, and any similar right, existing under judicial or statutory law of any country or subdivision thereof in the world, or under any treaty, regardless of whether or not such right is denominated or generally referred to as a “moral right.”</w:t>
      </w:r>
    </w:p>
    <w:p>
      <w:pPr>
        <w:spacing w:after="0" w:line="131" w:lineRule="exact"/>
        <w:rPr>
          <w:rFonts w:ascii="Arial" w:cs="Arial" w:eastAsia="Arial" w:hAnsi="Arial"/>
          <w:sz w:val="13"/>
          <w:szCs w:val="13"/>
          <w:color w:val="auto"/>
        </w:rPr>
      </w:pPr>
    </w:p>
    <w:p>
      <w:pPr>
        <w:ind w:left="788" w:hanging="442"/>
        <w:spacing w:after="0"/>
        <w:tabs>
          <w:tab w:leader="none" w:pos="788" w:val="left"/>
        </w:tabs>
        <w:numPr>
          <w:ilvl w:val="1"/>
          <w:numId w:val="164"/>
        </w:numPr>
        <w:rPr>
          <w:rFonts w:ascii="Arial" w:cs="Arial" w:eastAsia="Arial" w:hAnsi="Arial"/>
          <w:sz w:val="13"/>
          <w:szCs w:val="13"/>
          <w:color w:val="auto"/>
        </w:rPr>
      </w:pPr>
      <w:r>
        <w:rPr>
          <w:rFonts w:ascii="Arial" w:cs="Arial" w:eastAsia="Arial" w:hAnsi="Arial"/>
          <w:sz w:val="12"/>
          <w:szCs w:val="12"/>
          <w:b w:val="1"/>
          <w:bCs w:val="1"/>
          <w:color w:val="auto"/>
        </w:rPr>
        <w:t>“Solicit” or “soliciting” includes contacting, communicating with, marketing to, engaging or otherwise interacting with (whether initiated by me or not).</w:t>
      </w:r>
    </w:p>
    <w:p>
      <w:pPr>
        <w:spacing w:after="0" w:line="138" w:lineRule="exact"/>
        <w:rPr>
          <w:rFonts w:ascii="Arial" w:cs="Arial" w:eastAsia="Arial" w:hAnsi="Arial"/>
          <w:sz w:val="13"/>
          <w:szCs w:val="13"/>
          <w:color w:val="auto"/>
        </w:rPr>
      </w:pPr>
    </w:p>
    <w:p>
      <w:pPr>
        <w:ind w:left="768" w:hanging="422"/>
        <w:spacing w:after="0" w:line="228" w:lineRule="auto"/>
        <w:tabs>
          <w:tab w:leader="none" w:pos="778" w:val="left"/>
        </w:tabs>
        <w:numPr>
          <w:ilvl w:val="1"/>
          <w:numId w:val="164"/>
        </w:numPr>
        <w:rPr>
          <w:rFonts w:ascii="Arial" w:cs="Arial" w:eastAsia="Arial" w:hAnsi="Arial"/>
          <w:sz w:val="13"/>
          <w:szCs w:val="13"/>
          <w:color w:val="auto"/>
        </w:rPr>
      </w:pPr>
      <w:r>
        <w:rPr>
          <w:rFonts w:ascii="Arial" w:cs="Arial" w:eastAsia="Arial" w:hAnsi="Arial"/>
          <w:sz w:val="12"/>
          <w:szCs w:val="12"/>
          <w:b w:val="1"/>
          <w:bCs w:val="1"/>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21" w:lineRule="exact"/>
        <w:rPr>
          <w:rFonts w:ascii="Arial" w:cs="Arial" w:eastAsia="Arial" w:hAnsi="Arial"/>
          <w:sz w:val="13"/>
          <w:szCs w:val="13"/>
          <w:color w:val="auto"/>
        </w:rPr>
      </w:pPr>
    </w:p>
    <w:p>
      <w:pPr>
        <w:ind w:left="348" w:hanging="348"/>
        <w:spacing w:after="0"/>
        <w:tabs>
          <w:tab w:leader="none" w:pos="348"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Headings Descriptive. </w:t>
      </w:r>
      <w:r>
        <w:rPr>
          <w:rFonts w:ascii="Arial" w:cs="Arial" w:eastAsia="Arial" w:hAnsi="Arial"/>
          <w:sz w:val="12"/>
          <w:szCs w:val="12"/>
          <w:color w:val="auto"/>
        </w:rPr>
        <w:t>The headings of the several paragraphs of this Agreement are inserted for convenience only and shall not in any way affect the meaning or construction of this Agreement.</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3"/>
          <w:szCs w:val="13"/>
          <w:color w:val="auto"/>
        </w:rPr>
        <w:t>/s/ Michael Madsen</w:t>
      </w:r>
    </w:p>
    <w:p>
      <w:pPr>
        <w:ind w:left="8"/>
        <w:spacing w:after="0"/>
        <w:tabs>
          <w:tab w:leader="none" w:pos="2388" w:val="left"/>
        </w:tabs>
        <w:rPr>
          <w:sz w:val="20"/>
          <w:szCs w:val="20"/>
          <w:color w:val="auto"/>
        </w:rPr>
      </w:pPr>
      <w:r>
        <w:rPr>
          <w:rFonts w:ascii="Arial" w:cs="Arial" w:eastAsia="Arial" w:hAnsi="Arial"/>
          <w:sz w:val="12"/>
          <w:szCs w:val="12"/>
          <w:b w:val="1"/>
          <w:bCs w:val="1"/>
          <w:color w:val="auto"/>
        </w:rPr>
        <w:t>MICHAEL MADSEN (E035212)</w:t>
      </w:r>
      <w:r>
        <w:rPr>
          <w:sz w:val="20"/>
          <w:szCs w:val="20"/>
          <w:color w:val="auto"/>
        </w:rPr>
        <w:tab/>
      </w:r>
      <w:r>
        <w:rPr>
          <w:rFonts w:ascii="Arial" w:cs="Arial" w:eastAsia="Arial" w:hAnsi="Arial"/>
          <w:sz w:val="10"/>
          <w:szCs w:val="10"/>
          <w:color w:val="auto"/>
        </w:rPr>
        <w:t>Date Sept. 13, 2019</w:t>
      </w:r>
    </w:p>
    <w:p>
      <w:pPr>
        <w:sectPr>
          <w:pgSz w:w="11900" w:h="16838" w:orient="portrait"/>
          <w:cols w:equalWidth="0" w:num="1">
            <w:col w:w="11308"/>
          </w:cols>
          <w:pgMar w:left="292" w:top="984" w:right="299" w:bottom="1440" w:gutter="0" w:footer="0" w:header="0"/>
        </w:sectPr>
      </w:pPr>
    </w:p>
    <w:bookmarkStart w:id="163" w:name="page164"/>
    <w:bookmarkEnd w:id="163"/>
    <w:p>
      <w:pPr>
        <w:jc w:val="center"/>
        <w:ind w:right="40"/>
        <w:spacing w:after="0"/>
        <w:rPr>
          <w:sz w:val="20"/>
          <w:szCs w:val="20"/>
          <w:color w:val="auto"/>
        </w:rPr>
      </w:pPr>
      <w:r>
        <w:rPr>
          <w:rFonts w:ascii="Arial" w:cs="Arial" w:eastAsia="Arial" w:hAnsi="Arial"/>
          <w:sz w:val="14"/>
          <w:szCs w:val="14"/>
          <w:b w:val="1"/>
          <w:bCs w:val="1"/>
          <w:color w:val="auto"/>
        </w:rPr>
        <w:t>SCHEDULE A</w:t>
      </w:r>
    </w:p>
    <w:p>
      <w:pPr>
        <w:spacing w:after="0" w:line="315" w:lineRule="exact"/>
        <w:rPr>
          <w:sz w:val="20"/>
          <w:szCs w:val="20"/>
          <w:color w:val="auto"/>
        </w:rPr>
      </w:pPr>
    </w:p>
    <w:p>
      <w:pPr>
        <w:ind w:right="60"/>
        <w:spacing w:after="0" w:line="234" w:lineRule="auto"/>
        <w:rPr>
          <w:sz w:val="20"/>
          <w:szCs w:val="20"/>
          <w:color w:val="auto"/>
        </w:rPr>
      </w:pPr>
      <w:r>
        <w:rPr>
          <w:rFonts w:ascii="Arial" w:cs="Arial" w:eastAsia="Arial" w:hAnsi="Arial"/>
          <w:sz w:val="13"/>
          <w:szCs w:val="13"/>
          <w:color w:val="auto"/>
        </w:rPr>
        <w:t>HAVE YOU MADE ANY INVENTIONS BEFORE THE TERM OF YOUR EMPLOYMENT WITH HONEYWELL, IN WHICH YOU HAVE AN OWNERSHIP INTEREST AND THAT ARE NOT THE SUBJECT MATTER OF ISSUED PATENTS OR PRINTED PUBLICATIONS?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(If there are none, please enter the word “NONE”)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NOTE: Please describe each such Invention without disclosing trade secrets or confidential information.</w:t>
      </w: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w:t>
      </w:r>
      <w:r>
        <w:rPr>
          <w:rFonts w:ascii="Arial" w:cs="Arial" w:eastAsia="Arial" w:hAnsi="Arial"/>
          <w:sz w:val="11"/>
          <w:szCs w:val="11"/>
          <w:b w:val="1"/>
          <w:bCs w:val="1"/>
          <w:u w:val="single" w:color="auto"/>
          <w:color w:val="auto"/>
        </w:rPr>
        <w:t>none</w:t>
      </w:r>
      <w:r>
        <w:rPr>
          <w:rFonts w:ascii="Arial" w:cs="Arial" w:eastAsia="Arial" w:hAnsi="Arial"/>
          <w:sz w:val="11"/>
          <w:szCs w:val="11"/>
          <w:color w:val="auto"/>
        </w:rPr>
        <w:t>_________________________________________________________________________</w:t>
      </w:r>
    </w:p>
    <w:p>
      <w:pPr>
        <w:spacing w:after="0"/>
        <w:rPr>
          <w:sz w:val="20"/>
          <w:szCs w:val="20"/>
          <w:color w:val="auto"/>
        </w:rPr>
      </w:pPr>
      <w:r>
        <w:rPr>
          <w:rFonts w:ascii="Arial" w:cs="Arial" w:eastAsia="Arial" w:hAnsi="Arial"/>
          <w:sz w:val="13"/>
          <w:szCs w:val="13"/>
          <w:color w:val="auto"/>
        </w:rPr>
        <w:t>[Attach additional sheets if more space is needed.]</w:t>
      </w:r>
    </w:p>
    <w:p>
      <w:pPr>
        <w:sectPr>
          <w:pgSz w:w="11900" w:h="16838" w:orient="portrait"/>
          <w:cols w:equalWidth="0" w:num="1">
            <w:col w:w="11340"/>
          </w:cols>
          <w:pgMar w:left="300" w:top="976" w:right="259" w:bottom="1440" w:gutter="0" w:footer="0" w:header="0"/>
        </w:sectPr>
      </w:pPr>
    </w:p>
    <w:bookmarkStart w:id="164" w:name="page165"/>
    <w:bookmarkEnd w:id="164"/>
    <w:p>
      <w:pPr>
        <w:jc w:val="center"/>
        <w:ind w:right="40"/>
        <w:spacing w:after="0"/>
        <w:rPr>
          <w:sz w:val="20"/>
          <w:szCs w:val="20"/>
          <w:color w:val="auto"/>
        </w:rPr>
      </w:pPr>
      <w:r>
        <w:rPr>
          <w:rFonts w:ascii="Arial" w:cs="Arial" w:eastAsia="Arial" w:hAnsi="Arial"/>
          <w:sz w:val="13"/>
          <w:szCs w:val="13"/>
          <w:b w:val="1"/>
          <w:bCs w:val="1"/>
          <w:color w:val="auto"/>
        </w:rPr>
        <w:t>SCHEDULE B</w:t>
      </w:r>
    </w:p>
    <w:p>
      <w:pPr>
        <w:spacing w:after="0" w:line="305" w:lineRule="exact"/>
        <w:rPr>
          <w:sz w:val="20"/>
          <w:szCs w:val="20"/>
          <w:color w:val="auto"/>
        </w:rPr>
      </w:pPr>
    </w:p>
    <w:p>
      <w:pPr>
        <w:ind w:left="420" w:right="480" w:hanging="431"/>
        <w:spacing w:after="0" w:line="462" w:lineRule="auto"/>
        <w:rPr>
          <w:sz w:val="20"/>
          <w:szCs w:val="20"/>
          <w:color w:val="auto"/>
        </w:rPr>
      </w:pPr>
      <w:r>
        <w:rPr>
          <w:rFonts w:ascii="Arial" w:cs="Arial" w:eastAsia="Arial" w:hAnsi="Arial"/>
          <w:sz w:val="13"/>
          <w:szCs w:val="13"/>
          <w:color w:val="auto"/>
        </w:rPr>
        <w:t>DO YOU HAVE ANY PRIOR OBLIGATIONS (WRITTEN OR ORAL) THAT WOULD RESTRICT YOUR ABILITY TO PERFORM THE DUTIES OF YOUR EMPLOYMENT WITH HONEYWELL? (If there are none, please enter the word “NONE”)</w:t>
      </w:r>
    </w:p>
    <w:p>
      <w:pPr>
        <w:spacing w:after="0" w:line="219" w:lineRule="auto"/>
        <w:rPr>
          <w:sz w:val="20"/>
          <w:szCs w:val="20"/>
          <w:color w:val="auto"/>
        </w:rPr>
      </w:pPr>
      <w:r>
        <w:rPr>
          <w:rFonts w:ascii="Arial" w:cs="Arial" w:eastAsia="Arial" w:hAnsi="Arial"/>
          <w:sz w:val="13"/>
          <w:szCs w:val="13"/>
          <w:color w:val="auto"/>
        </w:rPr>
        <w:t>NOTE: Please give date of, and parties to, obligations and the nature and substance of the restriction.</w:t>
      </w: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w:t>
      </w:r>
      <w:r>
        <w:rPr>
          <w:rFonts w:ascii="Arial" w:cs="Arial" w:eastAsia="Arial" w:hAnsi="Arial"/>
          <w:sz w:val="11"/>
          <w:szCs w:val="11"/>
          <w:b w:val="1"/>
          <w:bCs w:val="1"/>
          <w:u w:val="single" w:color="auto"/>
          <w:color w:val="auto"/>
        </w:rPr>
        <w:t>none</w:t>
      </w:r>
      <w:r>
        <w:rPr>
          <w:rFonts w:ascii="Arial" w:cs="Arial" w:eastAsia="Arial" w:hAnsi="Arial"/>
          <w:sz w:val="11"/>
          <w:szCs w:val="11"/>
          <w:color w:val="auto"/>
        </w:rPr>
        <w:t>_____________________________________________________________________</w:t>
      </w:r>
    </w:p>
    <w:p>
      <w:pPr>
        <w:spacing w:after="0"/>
        <w:rPr>
          <w:sz w:val="20"/>
          <w:szCs w:val="20"/>
          <w:color w:val="auto"/>
        </w:rPr>
      </w:pPr>
      <w:r>
        <w:rPr>
          <w:rFonts w:ascii="Arial" w:cs="Arial" w:eastAsia="Arial" w:hAnsi="Arial"/>
          <w:sz w:val="13"/>
          <w:szCs w:val="13"/>
          <w:color w:val="auto"/>
        </w:rPr>
        <w:t>[Attach additional sheets if more space is needed.]</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Document Category: </w:t>
      </w:r>
      <w:r>
        <w:rPr>
          <w:rFonts w:ascii="Arial" w:cs="Arial" w:eastAsia="Arial" w:hAnsi="Arial"/>
          <w:sz w:val="12"/>
          <w:szCs w:val="12"/>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Document Type: </w:t>
      </w:r>
      <w:r>
        <w:rPr>
          <w:rFonts w:ascii="Arial" w:cs="Arial" w:eastAsia="Arial" w:hAnsi="Arial"/>
          <w:sz w:val="12"/>
          <w:szCs w:val="12"/>
          <w:color w:val="auto"/>
        </w:rPr>
        <w:t>Intellectual Property (IP)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*For Employee File Management Purpose Only</w:t>
      </w:r>
    </w:p>
    <w:p>
      <w:pPr>
        <w:sectPr>
          <w:pgSz w:w="11900" w:h="16838" w:orient="portrait"/>
          <w:cols w:equalWidth="0" w:num="1">
            <w:col w:w="11340"/>
          </w:cols>
          <w:pgMar w:left="300" w:top="980" w:right="259" w:bottom="1440" w:gutter="0" w:footer="0" w:header="0"/>
        </w:sectPr>
      </w:pPr>
    </w:p>
    <w:bookmarkStart w:id="165" w:name="page166"/>
    <w:bookmarkEnd w:id="165"/>
    <w:p>
      <w:pPr>
        <w:jc w:val="right"/>
        <w:spacing w:after="0"/>
        <w:rPr>
          <w:sz w:val="20"/>
          <w:szCs w:val="20"/>
          <w:color w:val="auto"/>
        </w:rPr>
      </w:pPr>
      <w:r>
        <w:rPr>
          <w:rFonts w:ascii="Arial" w:cs="Arial" w:eastAsia="Arial" w:hAnsi="Arial"/>
          <w:sz w:val="14"/>
          <w:szCs w:val="14"/>
          <w:b w:val="1"/>
          <w:bCs w:val="1"/>
          <w:color w:val="auto"/>
        </w:rPr>
        <w:t>EXHIBIT 10.68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891540" cy="3143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2">
                      <a:extLst>
                        <a:ext uri="{28A0092B-C50C-407E-A947-70E740481C1C}"/>
                      </a:extLst>
                    </a:blip>
                    <a:srcRect/>
                    <a:stretch>
                      <a:fillRect/>
                    </a:stretch>
                  </pic:blipFill>
                  <pic:spPr bwMode="auto">
                    <a:xfrm>
                      <a:off x="0" y="0"/>
                      <a:ext cx="89154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February 21, 2019</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Que Thanh Dallara</w:t>
      </w:r>
    </w:p>
    <w:p>
      <w:pPr>
        <w:spacing w:after="0" w:line="214" w:lineRule="auto"/>
        <w:rPr>
          <w:sz w:val="20"/>
          <w:szCs w:val="20"/>
          <w:color w:val="auto"/>
        </w:rPr>
      </w:pPr>
      <w:r>
        <w:rPr>
          <w:rFonts w:ascii="Arial" w:cs="Arial" w:eastAsia="Arial" w:hAnsi="Arial"/>
          <w:sz w:val="14"/>
          <w:szCs w:val="14"/>
          <w:color w:val="auto"/>
        </w:rPr>
        <w:t>715 Peachtree Street NE</w:t>
      </w:r>
    </w:p>
    <w:p>
      <w:pPr>
        <w:spacing w:after="0"/>
        <w:rPr>
          <w:sz w:val="20"/>
          <w:szCs w:val="20"/>
          <w:color w:val="auto"/>
        </w:rPr>
      </w:pPr>
      <w:r>
        <w:rPr>
          <w:rFonts w:ascii="Arial" w:cs="Arial" w:eastAsia="Arial" w:hAnsi="Arial"/>
          <w:sz w:val="14"/>
          <w:szCs w:val="14"/>
          <w:color w:val="auto"/>
        </w:rPr>
        <w:t>Atlanta, Georgia 30308</w:t>
      </w:r>
    </w:p>
    <w:p>
      <w:pPr>
        <w:spacing w:after="0" w:line="13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i w:val="1"/>
          <w:iCs w:val="1"/>
          <w:color w:val="auto"/>
        </w:rPr>
        <w:t>Re:</w:t>
        <w:tab/>
        <w:t>Offer Letter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Dear Que:</w:t>
      </w:r>
    </w:p>
    <w:p>
      <w:pPr>
        <w:spacing w:after="0" w:line="145" w:lineRule="exact"/>
        <w:rPr>
          <w:sz w:val="20"/>
          <w:szCs w:val="20"/>
          <w:color w:val="auto"/>
        </w:rPr>
      </w:pPr>
    </w:p>
    <w:p>
      <w:pPr>
        <w:jc w:val="both"/>
        <w:ind w:right="20"/>
        <w:spacing w:after="0" w:line="246" w:lineRule="auto"/>
        <w:rPr>
          <w:sz w:val="20"/>
          <w:szCs w:val="20"/>
          <w:color w:val="auto"/>
        </w:rPr>
      </w:pPr>
      <w:r>
        <w:rPr>
          <w:rFonts w:ascii="Arial" w:cs="Arial" w:eastAsia="Arial" w:hAnsi="Arial"/>
          <w:sz w:val="14"/>
          <w:szCs w:val="14"/>
          <w:color w:val="auto"/>
        </w:rPr>
        <w:t>I am pleased to confirm your promotion to President and Chief Executive Officer, Honeywell Connected Enterprise, based in Atlanta, Georgia, reporting directly to Darius Adamczyk. The effective date of your promotion was October 1, 2018 (“Effective Date”). In this position, you became an Executive Officer of Honeywell.</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your new role, you will be entitled to the following compensation and benefits package: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w:t>
      </w:r>
    </w:p>
    <w:p>
      <w:pPr>
        <w:spacing w:after="0" w:line="145" w:lineRule="exact"/>
        <w:rPr>
          <w:sz w:val="20"/>
          <w:szCs w:val="20"/>
          <w:color w:val="auto"/>
        </w:rPr>
      </w:pPr>
    </w:p>
    <w:p>
      <w:pPr>
        <w:jc w:val="both"/>
        <w:spacing w:after="0" w:line="235" w:lineRule="auto"/>
        <w:rPr>
          <w:sz w:val="20"/>
          <w:szCs w:val="20"/>
          <w:color w:val="auto"/>
        </w:rPr>
      </w:pPr>
      <w:r>
        <w:rPr>
          <w:rFonts w:ascii="Arial" w:cs="Arial" w:eastAsia="Arial" w:hAnsi="Arial"/>
          <w:sz w:val="14"/>
          <w:szCs w:val="14"/>
          <w:b w:val="1"/>
          <w:bCs w:val="1"/>
          <w:color w:val="auto"/>
        </w:rPr>
        <w:t>Base Salary</w:t>
      </w:r>
      <w:r>
        <w:rPr>
          <w:rFonts w:ascii="Arial" w:cs="Arial" w:eastAsia="Arial" w:hAnsi="Arial"/>
          <w:sz w:val="14"/>
          <w:szCs w:val="14"/>
          <w:color w:val="auto"/>
        </w:rPr>
        <w:t>: Your annual base salary will remain $550,000 through March 31, 2019. As of April 1, 2019, your base salary shall be increased to $650,000. Base salary reviews occur annually and</w:t>
      </w:r>
      <w:r>
        <w:rPr>
          <w:rFonts w:ascii="Arial" w:cs="Arial" w:eastAsia="Arial" w:hAnsi="Arial"/>
          <w:sz w:val="14"/>
          <w:szCs w:val="14"/>
          <w:b w:val="1"/>
          <w:bCs w:val="1"/>
          <w:color w:val="auto"/>
        </w:rPr>
        <w:t xml:space="preserve"> </w:t>
      </w:r>
      <w:r>
        <w:rPr>
          <w:rFonts w:ascii="Arial" w:cs="Arial" w:eastAsia="Arial" w:hAnsi="Arial"/>
          <w:sz w:val="14"/>
          <w:szCs w:val="14"/>
          <w:color w:val="auto"/>
        </w:rPr>
        <w:t>any adjustments are generally at the end of the first quarter of the calendar year. Adjustments are based on your performance and other relevant factors. You will next be eligible for a base salary review in March of 2020.</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4"/>
          <w:szCs w:val="14"/>
          <w:b w:val="1"/>
          <w:bCs w:val="1"/>
          <w:color w:val="auto"/>
        </w:rPr>
        <w:t>Annual Incentive Compensation</w:t>
      </w:r>
      <w:r>
        <w:rPr>
          <w:rFonts w:ascii="Arial" w:cs="Arial" w:eastAsia="Arial" w:hAnsi="Arial"/>
          <w:sz w:val="14"/>
          <w:szCs w:val="14"/>
          <w:color w:val="auto"/>
        </w:rPr>
        <w:t>: As of February 7, 2019, your target incentive compensation opportunity will be 100% of your annual cash base salary earnings during the year. For 2019, your</w:t>
      </w:r>
      <w:r>
        <w:rPr>
          <w:rFonts w:ascii="Arial" w:cs="Arial" w:eastAsia="Arial" w:hAnsi="Arial"/>
          <w:sz w:val="14"/>
          <w:szCs w:val="14"/>
          <w:b w:val="1"/>
          <w:bCs w:val="1"/>
          <w:color w:val="auto"/>
        </w:rPr>
        <w:t xml:space="preserve"> </w:t>
      </w:r>
      <w:r>
        <w:rPr>
          <w:rFonts w:ascii="Arial" w:cs="Arial" w:eastAsia="Arial" w:hAnsi="Arial"/>
          <w:sz w:val="14"/>
          <w:szCs w:val="14"/>
          <w:color w:val="auto"/>
        </w:rPr>
        <w:t>incentive compensation award will be prorated based on the number of days your target incentive was 80%, and the number of days your target incentive will be 100%. Incentive compensation awards are paid in the first quarter of the following year.</w:t>
      </w:r>
    </w:p>
    <w:p>
      <w:pPr>
        <w:spacing w:after="0" w:line="12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b w:val="1"/>
          <w:bCs w:val="1"/>
          <w:color w:val="auto"/>
        </w:rPr>
        <w:t xml:space="preserve">Annual Long-Term Incentive Awards: </w:t>
      </w:r>
      <w:r>
        <w:rPr>
          <w:rFonts w:ascii="Arial" w:cs="Arial" w:eastAsia="Arial" w:hAnsi="Arial"/>
          <w:sz w:val="14"/>
          <w:szCs w:val="14"/>
          <w:color w:val="auto"/>
        </w:rPr>
        <w:t>Beginning in 2019, you will be eligible for annual long-term incentive (“LTI”) awards with a target value of 413% of your base salary. The actual the size</w:t>
      </w:r>
      <w:r>
        <w:rPr>
          <w:rFonts w:ascii="Arial" w:cs="Arial" w:eastAsia="Arial" w:hAnsi="Arial"/>
          <w:sz w:val="14"/>
          <w:szCs w:val="14"/>
          <w:b w:val="1"/>
          <w:bCs w:val="1"/>
          <w:color w:val="auto"/>
        </w:rPr>
        <w:t xml:space="preserve"> </w:t>
      </w:r>
      <w:r>
        <w:rPr>
          <w:rFonts w:ascii="Arial" w:cs="Arial" w:eastAsia="Arial" w:hAnsi="Arial"/>
          <w:sz w:val="14"/>
          <w:szCs w:val="14"/>
          <w:color w:val="auto"/>
        </w:rPr>
        <w:t>and mix of those LTI awards shall be determined by the Management Development and Compensation Committee (“MDCC”) of the Company’s Board of Directors based on your performance and future career potential with Honeywell. The terms of all LTI awards are governed by the terms of the applicable stock plan and the relevant award agreements. Moreover, Honeywell and the MDCC reserve the right to modify the design or mix of the LTI award program in the future.</w:t>
      </w:r>
    </w:p>
    <w:p>
      <w:pPr>
        <w:sectPr>
          <w:pgSz w:w="11900" w:h="16838" w:orient="portrait"/>
          <w:cols w:equalWidth="0" w:num="1">
            <w:col w:w="11300"/>
          </w:cols>
          <w:pgMar w:left="300" w:top="994" w:right="29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color w:val="auto"/>
        </w:rPr>
        <w:t>OTHER EXECUTIVE BENEFITS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You will also be entitled to the following Executive Benefits:</w:t>
      </w:r>
    </w:p>
    <w:p>
      <w:pPr>
        <w:spacing w:after="0" w:line="55" w:lineRule="exact"/>
        <w:rPr>
          <w:sz w:val="20"/>
          <w:szCs w:val="20"/>
          <w:color w:val="auto"/>
        </w:rPr>
      </w:pPr>
    </w:p>
    <w:p>
      <w:pPr>
        <w:ind w:left="420" w:hanging="212"/>
        <w:spacing w:after="0"/>
        <w:tabs>
          <w:tab w:leader="none" w:pos="420" w:val="left"/>
        </w:tabs>
        <w:numPr>
          <w:ilvl w:val="0"/>
          <w:numId w:val="166"/>
        </w:numPr>
        <w:rPr>
          <w:rFonts w:ascii="Arial" w:cs="Arial" w:eastAsia="Arial" w:hAnsi="Arial"/>
          <w:sz w:val="11"/>
          <w:szCs w:val="11"/>
          <w:color w:val="auto"/>
        </w:rPr>
      </w:pPr>
      <w:r>
        <w:rPr>
          <w:rFonts w:ascii="Arial" w:cs="Arial" w:eastAsia="Arial" w:hAnsi="Arial"/>
          <w:sz w:val="13"/>
          <w:szCs w:val="13"/>
          <w:i w:val="1"/>
          <w:iCs w:val="1"/>
          <w:color w:val="auto"/>
        </w:rPr>
        <w:t>Excess Liability Insurance</w:t>
      </w:r>
      <w:r>
        <w:rPr>
          <w:rFonts w:ascii="Arial" w:cs="Arial" w:eastAsia="Arial" w:hAnsi="Arial"/>
          <w:sz w:val="13"/>
          <w:szCs w:val="13"/>
          <w:color w:val="auto"/>
        </w:rPr>
        <w:t>: Honeywell will pay the annual premium for an Excess Liability Insurance policy that provides $10,000,000 of personal umbrella coverage per occurrence.</w:t>
      </w:r>
    </w:p>
    <w:p>
      <w:pPr>
        <w:spacing w:after="0" w:line="138" w:lineRule="exact"/>
        <w:rPr>
          <w:rFonts w:ascii="Arial" w:cs="Arial" w:eastAsia="Arial" w:hAnsi="Arial"/>
          <w:sz w:val="11"/>
          <w:szCs w:val="11"/>
          <w:color w:val="auto"/>
        </w:rPr>
      </w:pPr>
    </w:p>
    <w:p>
      <w:pPr>
        <w:jc w:val="both"/>
        <w:ind w:left="420" w:hanging="212"/>
        <w:spacing w:after="0" w:line="228" w:lineRule="auto"/>
        <w:tabs>
          <w:tab w:leader="none" w:pos="417" w:val="left"/>
        </w:tabs>
        <w:numPr>
          <w:ilvl w:val="0"/>
          <w:numId w:val="166"/>
        </w:numPr>
        <w:rPr>
          <w:rFonts w:ascii="Arial" w:cs="Arial" w:eastAsia="Arial" w:hAnsi="Arial"/>
          <w:sz w:val="12"/>
          <w:szCs w:val="12"/>
          <w:color w:val="auto"/>
        </w:rPr>
      </w:pPr>
      <w:r>
        <w:rPr>
          <w:rFonts w:ascii="Arial" w:cs="Arial" w:eastAsia="Arial" w:hAnsi="Arial"/>
          <w:sz w:val="14"/>
          <w:szCs w:val="14"/>
          <w:i w:val="1"/>
          <w:iCs w:val="1"/>
          <w:color w:val="auto"/>
        </w:rPr>
        <w:t>Executive Severance</w:t>
      </w:r>
      <w:r>
        <w:rPr>
          <w:rFonts w:ascii="Arial" w:cs="Arial" w:eastAsia="Arial" w:hAnsi="Arial"/>
          <w:sz w:val="14"/>
          <w:szCs w:val="14"/>
          <w:color w:val="auto"/>
        </w:rPr>
        <w:t>: The Honeywell International Inc. Severance Plan for Designated Officers currently provides for 18 months of base salary continuation and target bonus if your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OWNERSHIP GUIDELINES FOR HONEYWELL OFFICERS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INTELLECTUAL PROPERTY AND NON-COMPETITION AGREEMENTS</w:t>
      </w:r>
    </w:p>
    <w:p>
      <w:pPr>
        <w:spacing w:after="0" w:line="158" w:lineRule="exact"/>
        <w:rPr>
          <w:sz w:val="20"/>
          <w:szCs w:val="20"/>
          <w:color w:val="auto"/>
        </w:rPr>
      </w:pPr>
    </w:p>
    <w:p>
      <w:pPr>
        <w:jc w:val="both"/>
        <w:ind w:right="20"/>
        <w:spacing w:after="0" w:line="283" w:lineRule="auto"/>
        <w:rPr>
          <w:sz w:val="20"/>
          <w:szCs w:val="20"/>
          <w:color w:val="auto"/>
        </w:rPr>
      </w:pPr>
      <w:r>
        <w:rPr>
          <w:rFonts w:ascii="Arial" w:cs="Arial" w:eastAsia="Arial" w:hAnsi="Arial"/>
          <w:sz w:val="13"/>
          <w:szCs w:val="13"/>
          <w:color w:val="auto"/>
        </w:rPr>
        <w:t>As a condition of this employment offer, you are required to execute, in the form attached hereto, (i) Honeywell’s “Employee Agreement Relating to Trade Secrets, Proprietary and Confidential Information” (“IP Agreement”), and (ii) the “Honeywell International Inc. Noncompete Agreement for Senior Executives” (“Noncompete Agreement”), both of which are attached hereto.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ACCEPTANCE OF OFFER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Please indicate your acknowledgement of the terms of this offer letter by electronically signing it, as well as the IP Agreement and Noncompete Agreement via DocuSign.</w:t>
      </w:r>
    </w:p>
    <w:p>
      <w:pPr>
        <w:spacing w:after="0" w:line="15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Que, we look forward to working with you in your expanded role. Your experience and background is an asset to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If you have any questions or need any further information about our offer, please contact me directly.</w:t>
      </w:r>
    </w:p>
    <w:p>
      <w:pPr>
        <w:sectPr>
          <w:pgSz w:w="11900" w:h="16838" w:orient="portrait"/>
          <w:cols w:equalWidth="0" w:num="1">
            <w:col w:w="11300"/>
          </w:cols>
          <w:pgMar w:left="300" w:top="976" w:right="29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color w:val="auto"/>
        </w:rPr>
        <w:t>Congratulations,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/s/ Mark R. James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Mark R. James</w:t>
      </w:r>
    </w:p>
    <w:p>
      <w:pPr>
        <w:spacing w:after="0" w:line="214" w:lineRule="auto"/>
        <w:rPr>
          <w:sz w:val="20"/>
          <w:szCs w:val="20"/>
          <w:color w:val="auto"/>
        </w:rPr>
      </w:pPr>
      <w:r>
        <w:rPr>
          <w:rFonts w:ascii="Arial" w:cs="Arial" w:eastAsia="Arial" w:hAnsi="Arial"/>
          <w:sz w:val="14"/>
          <w:szCs w:val="14"/>
          <w:color w:val="auto"/>
        </w:rPr>
        <w:t>Senior Vice President</w:t>
      </w:r>
    </w:p>
    <w:p>
      <w:pPr>
        <w:spacing w:after="0"/>
        <w:rPr>
          <w:sz w:val="20"/>
          <w:szCs w:val="20"/>
          <w:color w:val="auto"/>
        </w:rPr>
      </w:pPr>
      <w:r>
        <w:rPr>
          <w:rFonts w:ascii="Arial" w:cs="Arial" w:eastAsia="Arial" w:hAnsi="Arial"/>
          <w:sz w:val="14"/>
          <w:szCs w:val="14"/>
          <w:color w:val="auto"/>
        </w:rPr>
        <w:t>Human Resources, Procurement and Communications</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Read and Accepted: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Que Thanh Dallara</w:t>
      </w:r>
    </w:p>
    <w:p>
      <w:pPr>
        <w:spacing w:after="0" w:line="4" w:lineRule="exact"/>
        <w:rPr>
          <w:sz w:val="20"/>
          <w:szCs w:val="20"/>
          <w:color w:val="auto"/>
        </w:rPr>
      </w:pPr>
    </w:p>
    <w:p>
      <w:pPr>
        <w:spacing w:after="0"/>
        <w:tabs>
          <w:tab w:leader="none" w:pos="2840" w:val="left"/>
        </w:tabs>
        <w:rPr>
          <w:sz w:val="20"/>
          <w:szCs w:val="20"/>
          <w:color w:val="auto"/>
        </w:rPr>
      </w:pPr>
      <w:r>
        <w:rPr>
          <w:rFonts w:ascii="Arial" w:cs="Arial" w:eastAsia="Arial" w:hAnsi="Arial"/>
          <w:sz w:val="14"/>
          <w:szCs w:val="14"/>
          <w:b w:val="1"/>
          <w:bCs w:val="1"/>
          <w:color w:val="auto"/>
        </w:rPr>
        <w:t>QUE THANH DALLARA (H224899)</w:t>
      </w:r>
      <w:r>
        <w:rPr>
          <w:sz w:val="20"/>
          <w:szCs w:val="20"/>
          <w:color w:val="auto"/>
        </w:rPr>
        <w:tab/>
      </w:r>
      <w:r>
        <w:rPr>
          <w:rFonts w:ascii="Arial" w:cs="Arial" w:eastAsia="Arial" w:hAnsi="Arial"/>
          <w:sz w:val="12"/>
          <w:szCs w:val="12"/>
          <w:color w:val="auto"/>
        </w:rPr>
        <w:t>Date 22 – Feb - 2019</w:t>
      </w:r>
    </w:p>
    <w:p>
      <w:pPr>
        <w:spacing w:after="0" w:line="156" w:lineRule="exact"/>
        <w:rPr>
          <w:sz w:val="20"/>
          <w:szCs w:val="20"/>
          <w:color w:val="auto"/>
        </w:rPr>
      </w:pPr>
    </w:p>
    <w:p>
      <w:pPr>
        <w:jc w:val="both"/>
        <w:spacing w:after="0" w:line="306" w:lineRule="auto"/>
        <w:rPr>
          <w:sz w:val="20"/>
          <w:szCs w:val="20"/>
          <w:color w:val="auto"/>
        </w:rPr>
      </w:pPr>
      <w:r>
        <w:rPr>
          <w:rFonts w:ascii="Arial" w:cs="Arial" w:eastAsia="Arial" w:hAnsi="Arial"/>
          <w:sz w:val="11"/>
          <w:szCs w:val="11"/>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2"/>
          <w:szCs w:val="12"/>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EID: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Category: </w:t>
      </w:r>
      <w:r>
        <w:rPr>
          <w:rFonts w:ascii="Arial" w:cs="Arial" w:eastAsia="Arial" w:hAnsi="Arial"/>
          <w:sz w:val="14"/>
          <w:szCs w:val="14"/>
          <w:color w:val="auto"/>
        </w:rPr>
        <w:t>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Document Type: </w:t>
      </w:r>
      <w:r>
        <w:rPr>
          <w:rFonts w:ascii="Arial" w:cs="Arial" w:eastAsia="Arial" w:hAnsi="Arial"/>
          <w:sz w:val="14"/>
          <w:szCs w:val="14"/>
          <w:color w:val="auto"/>
        </w:rPr>
        <w:t>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*For Employee File Management Purpose Only</w:t>
      </w:r>
    </w:p>
    <w:p>
      <w:pPr>
        <w:sectPr>
          <w:pgSz w:w="11900" w:h="16838" w:orient="portrait"/>
          <w:cols w:equalWidth="0" w:num="1">
            <w:col w:w="11300"/>
          </w:cols>
          <w:pgMar w:left="300" w:top="980" w:right="299" w:bottom="1440" w:gutter="0" w:footer="0" w:header="0"/>
        </w:sectPr>
      </w:pPr>
    </w:p>
    <w:bookmarkStart w:id="168" w:name="page169"/>
    <w:bookmarkEnd w:id="168"/>
    <w:p>
      <w:pPr>
        <w:jc w:val="center"/>
        <w:ind w:right="-7"/>
        <w:spacing w:after="0"/>
        <w:rPr>
          <w:sz w:val="20"/>
          <w:szCs w:val="20"/>
          <w:color w:val="auto"/>
        </w:rPr>
      </w:pPr>
      <w:r>
        <w:rPr>
          <w:rFonts w:ascii="Arial" w:cs="Arial" w:eastAsia="Arial" w:hAnsi="Arial"/>
          <w:sz w:val="22"/>
          <w:szCs w:val="22"/>
          <w:b w:val="1"/>
          <w:bCs w:val="1"/>
          <w:color w:val="auto"/>
        </w:rPr>
        <w:t>HONEYWELL INTERNATIONAL INC.</w:t>
      </w:r>
    </w:p>
    <w:p>
      <w:pPr>
        <w:spacing w:after="0" w:line="5"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NONCOMPETE AGREEMENT FOR SENIOR EXECUTIVES</w:t>
      </w:r>
    </w:p>
    <w:p>
      <w:pPr>
        <w:spacing w:after="0" w:line="272" w:lineRule="exact"/>
        <w:rPr>
          <w:sz w:val="20"/>
          <w:szCs w:val="20"/>
          <w:color w:val="auto"/>
        </w:rPr>
      </w:pPr>
    </w:p>
    <w:p>
      <w:pPr>
        <w:ind w:left="8"/>
        <w:spacing w:after="0" w:line="252" w:lineRule="auto"/>
        <w:rPr>
          <w:sz w:val="20"/>
          <w:szCs w:val="20"/>
          <w:color w:val="auto"/>
        </w:rPr>
      </w:pPr>
      <w:r>
        <w:rPr>
          <w:rFonts w:ascii="Arial" w:cs="Arial" w:eastAsia="Arial" w:hAnsi="Arial"/>
          <w:sz w:val="14"/>
          <w:szCs w:val="14"/>
          <w:b w:val="1"/>
          <w:bCs w:val="1"/>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112" w:lineRule="exact"/>
        <w:rPr>
          <w:sz w:val="20"/>
          <w:szCs w:val="20"/>
          <w:color w:val="auto"/>
        </w:rPr>
      </w:pPr>
    </w:p>
    <w:p>
      <w:pPr>
        <w:jc w:val="both"/>
        <w:ind w:left="8" w:hanging="8"/>
        <w:spacing w:after="0" w:line="221" w:lineRule="auto"/>
        <w:tabs>
          <w:tab w:leader="none" w:pos="325" w:val="left"/>
        </w:tabs>
        <w:numPr>
          <w:ilvl w:val="0"/>
          <w:numId w:val="16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Noncompetition. </w:t>
      </w:r>
      <w:r>
        <w:rPr>
          <w:rFonts w:ascii="Arial" w:cs="Arial" w:eastAsia="Arial" w:hAnsi="Arial"/>
          <w:sz w:val="14"/>
          <w:szCs w:val="14"/>
          <w:color w:val="auto"/>
        </w:rPr>
        <w:t>I acknowledge that in the course of my employment with or provision of services to Honeywell, I have and will become familiar with Trade Secrets, Proprietary and</w:t>
      </w:r>
      <w:r>
        <w:rPr>
          <w:rFonts w:ascii="Arial" w:cs="Arial" w:eastAsia="Arial" w:hAnsi="Arial"/>
          <w:sz w:val="14"/>
          <w:szCs w:val="14"/>
          <w:b w:val="1"/>
          <w:bCs w:val="1"/>
          <w:color w:val="auto"/>
        </w:rPr>
        <w:t xml:space="preserve"> </w:t>
      </w:r>
      <w:r>
        <w:rPr>
          <w:rFonts w:ascii="Arial" w:cs="Arial" w:eastAsia="Arial" w:hAnsi="Arial"/>
          <w:sz w:val="14"/>
          <w:szCs w:val="14"/>
          <w:color w:val="auto"/>
        </w:rPr>
        <w:t>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128" w:lineRule="exact"/>
        <w:rPr>
          <w:sz w:val="20"/>
          <w:szCs w:val="20"/>
          <w:color w:val="auto"/>
        </w:rPr>
      </w:pPr>
    </w:p>
    <w:p>
      <w:pPr>
        <w:jc w:val="both"/>
        <w:ind w:left="8" w:firstLine="200"/>
        <w:spacing w:after="0" w:line="239" w:lineRule="auto"/>
        <w:rPr>
          <w:sz w:val="20"/>
          <w:szCs w:val="20"/>
          <w:color w:val="auto"/>
        </w:rPr>
      </w:pPr>
      <w:r>
        <w:rPr>
          <w:rFonts w:ascii="Arial" w:cs="Arial" w:eastAsia="Arial" w:hAnsi="Arial"/>
          <w:sz w:val="13"/>
          <w:szCs w:val="13"/>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pacing w:after="0" w:line="128" w:lineRule="exact"/>
        <w:rPr>
          <w:sz w:val="20"/>
          <w:szCs w:val="20"/>
          <w:color w:val="auto"/>
        </w:rPr>
      </w:pPr>
    </w:p>
    <w:p>
      <w:pPr>
        <w:ind w:left="128"/>
        <w:spacing w:after="0"/>
        <w:rPr>
          <w:sz w:val="20"/>
          <w:szCs w:val="20"/>
          <w:color w:val="auto"/>
        </w:rPr>
      </w:pPr>
      <w:r>
        <w:rPr>
          <w:rFonts w:ascii="Arial" w:cs="Arial" w:eastAsia="Arial" w:hAnsi="Arial"/>
          <w:sz w:val="13"/>
          <w:szCs w:val="13"/>
          <w:color w:val="auto"/>
        </w:rPr>
        <w:t>A “Competing Business” shall mean any business, person, entity or group of business entities, regardless of whether organized as a corporation, partnership (general or limited), joint</w:t>
      </w:r>
    </w:p>
    <w:p>
      <w:pPr>
        <w:sectPr>
          <w:pgSz w:w="11900" w:h="16838" w:orient="portrait"/>
          <w:cols w:equalWidth="0" w:num="1">
            <w:col w:w="11308"/>
          </w:cols>
          <w:pgMar w:left="292" w:top="1147" w:right="299" w:bottom="1440" w:gutter="0" w:footer="0" w:header="0"/>
        </w:sectPr>
      </w:pPr>
    </w:p>
    <w:bookmarkStart w:id="169" w:name="page170"/>
    <w:bookmarkEnd w:id="169"/>
    <w:p>
      <w:pPr>
        <w:jc w:val="both"/>
        <w:ind w:left="8"/>
        <w:spacing w:after="0" w:line="237" w:lineRule="auto"/>
        <w:rPr>
          <w:sz w:val="20"/>
          <w:szCs w:val="20"/>
          <w:color w:val="auto"/>
        </w:rPr>
      </w:pPr>
      <w:r>
        <w:rPr>
          <w:rFonts w:ascii="Arial" w:cs="Arial" w:eastAsia="Arial" w:hAnsi="Arial"/>
          <w:sz w:val="13"/>
          <w:szCs w:val="13"/>
          <w:color w:val="auto"/>
        </w:rPr>
        <w:t>venture, association or other organization, that (i) conducts or is planning to conduct a business similar to and/or in competition with any business conducted or planned by any Honeywell business for which I (A) was employed or performed services in a job covered by this Program, or (B) had knowledge of operations over the Look Back 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126" w:lineRule="exact"/>
        <w:rPr>
          <w:sz w:val="20"/>
          <w:szCs w:val="20"/>
          <w:color w:val="auto"/>
        </w:rPr>
      </w:pPr>
    </w:p>
    <w:p>
      <w:pPr>
        <w:jc w:val="both"/>
        <w:ind w:left="8" w:firstLine="432"/>
        <w:spacing w:after="0" w:line="222" w:lineRule="auto"/>
        <w:rPr>
          <w:sz w:val="20"/>
          <w:szCs w:val="20"/>
          <w:color w:val="auto"/>
        </w:rPr>
      </w:pPr>
      <w:r>
        <w:rPr>
          <w:rFonts w:ascii="Arial" w:cs="Arial" w:eastAsia="Arial" w:hAnsi="Arial"/>
          <w:sz w:val="14"/>
          <w:szCs w:val="14"/>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24" w:lineRule="exact"/>
        <w:rPr>
          <w:sz w:val="20"/>
          <w:szCs w:val="20"/>
          <w:color w:val="auto"/>
        </w:rPr>
      </w:pPr>
    </w:p>
    <w:p>
      <w:pPr>
        <w:jc w:val="both"/>
        <w:ind w:left="8" w:hanging="8"/>
        <w:spacing w:after="0" w:line="221" w:lineRule="auto"/>
        <w:tabs>
          <w:tab w:leader="none" w:pos="278" w:val="left"/>
        </w:tabs>
        <w:numPr>
          <w:ilvl w:val="0"/>
          <w:numId w:val="16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Reasonableness of Restrictions and Validity. </w:t>
      </w:r>
      <w:r>
        <w:rPr>
          <w:rFonts w:ascii="Arial" w:cs="Arial" w:eastAsia="Arial" w:hAnsi="Arial"/>
          <w:sz w:val="14"/>
          <w:szCs w:val="14"/>
          <w:color w:val="auto"/>
        </w:rPr>
        <w:t>I agree that the terms of this Agreement are reasonable and do not impose a greater restraint than necessary to protect Honeywell’s legitimate</w:t>
      </w:r>
      <w:r>
        <w:rPr>
          <w:rFonts w:ascii="Arial" w:cs="Arial" w:eastAsia="Arial" w:hAnsi="Arial"/>
          <w:sz w:val="14"/>
          <w:szCs w:val="14"/>
          <w:b w:val="1"/>
          <w:bCs w:val="1"/>
          <w:color w:val="auto"/>
        </w:rPr>
        <w:t xml:space="preserve"> </w:t>
      </w:r>
      <w:r>
        <w:rPr>
          <w:rFonts w:ascii="Arial" w:cs="Arial" w:eastAsia="Arial" w:hAnsi="Arial"/>
          <w:sz w:val="14"/>
          <w:szCs w:val="14"/>
          <w:color w:val="auto"/>
        </w:rPr>
        <w:t>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105" w:lineRule="exact"/>
        <w:rPr>
          <w:rFonts w:ascii="Arial" w:cs="Arial" w:eastAsia="Arial" w:hAnsi="Arial"/>
          <w:sz w:val="14"/>
          <w:szCs w:val="14"/>
          <w:b w:val="1"/>
          <w:bCs w:val="1"/>
          <w:color w:val="auto"/>
        </w:rPr>
      </w:pPr>
    </w:p>
    <w:p>
      <w:pPr>
        <w:ind w:left="8" w:hanging="8"/>
        <w:spacing w:after="0" w:line="252" w:lineRule="auto"/>
        <w:tabs>
          <w:tab w:leader="none" w:pos="305" w:val="left"/>
        </w:tabs>
        <w:numPr>
          <w:ilvl w:val="0"/>
          <w:numId w:val="16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Remedies. </w:t>
      </w:r>
      <w:r>
        <w:rPr>
          <w:rFonts w:ascii="Arial" w:cs="Arial" w:eastAsia="Arial" w:hAnsi="Arial"/>
          <w:sz w:val="14"/>
          <w:szCs w:val="14"/>
          <w:color w:val="auto"/>
        </w:rPr>
        <w:t>I acknowledge that a remedy at law for any breach or threatened breach of the provisions of this Agreement would be inadequate and therefore agree that Honeywell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entitled to injunctive relief in case of any such breach or threatened breach. I acknowledge and</w:t>
      </w:r>
    </w:p>
    <w:p>
      <w:pPr>
        <w:sectPr>
          <w:pgSz w:w="11900" w:h="16838" w:orient="portrait"/>
          <w:cols w:equalWidth="0" w:num="1">
            <w:col w:w="11308"/>
          </w:cols>
          <w:pgMar w:left="292" w:top="980" w:right="299" w:bottom="1440" w:gutter="0" w:footer="0" w:header="0"/>
        </w:sectPr>
      </w:pPr>
    </w:p>
    <w:bookmarkStart w:id="170" w:name="page171"/>
    <w:bookmarkEnd w:id="170"/>
    <w:p>
      <w:pPr>
        <w:jc w:val="both"/>
        <w:ind w:left="8"/>
        <w:spacing w:after="0" w:line="239" w:lineRule="auto"/>
        <w:rPr>
          <w:sz w:val="20"/>
          <w:szCs w:val="20"/>
          <w:color w:val="auto"/>
        </w:rPr>
      </w:pPr>
      <w:r>
        <w:rPr>
          <w:rFonts w:ascii="Arial" w:cs="Arial" w:eastAsia="Arial" w:hAnsi="Arial"/>
          <w:sz w:val="13"/>
          <w:szCs w:val="13"/>
          <w:color w:val="auto"/>
        </w:rPr>
        <w:t>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24" w:lineRule="exact"/>
        <w:rPr>
          <w:sz w:val="20"/>
          <w:szCs w:val="20"/>
          <w:color w:val="auto"/>
        </w:rPr>
      </w:pPr>
    </w:p>
    <w:p>
      <w:pPr>
        <w:jc w:val="both"/>
        <w:ind w:left="8" w:hanging="8"/>
        <w:spacing w:after="0" w:line="222" w:lineRule="auto"/>
        <w:tabs>
          <w:tab w:leader="none" w:pos="260" w:val="left"/>
        </w:tabs>
        <w:numPr>
          <w:ilvl w:val="0"/>
          <w:numId w:val="16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Harm and Injunctive Relief and Permitted Disclosures. </w:t>
      </w:r>
      <w:r>
        <w:rPr>
          <w:rFonts w:ascii="Arial" w:cs="Arial" w:eastAsia="Arial" w:hAnsi="Arial"/>
          <w:sz w:val="14"/>
          <w:szCs w:val="14"/>
          <w:color w:val="auto"/>
        </w:rPr>
        <w:t>I agree and acknowledge that the restrictions contained in this Agreement do not preclude me from earning a livelihood, nor do they</w:t>
      </w:r>
      <w:r>
        <w:rPr>
          <w:rFonts w:ascii="Arial" w:cs="Arial" w:eastAsia="Arial" w:hAnsi="Arial"/>
          <w:sz w:val="14"/>
          <w:szCs w:val="14"/>
          <w:b w:val="1"/>
          <w:bCs w:val="1"/>
          <w:color w:val="auto"/>
        </w:rPr>
        <w:t xml:space="preserve"> </w:t>
      </w:r>
      <w:r>
        <w:rPr>
          <w:rFonts w:ascii="Arial" w:cs="Arial" w:eastAsia="Arial" w:hAnsi="Arial"/>
          <w:sz w:val="14"/>
          <w:szCs w:val="14"/>
          <w:color w:val="auto"/>
        </w:rPr>
        <w:t>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27" w:lineRule="exact"/>
        <w:rPr>
          <w:sz w:val="20"/>
          <w:szCs w:val="20"/>
          <w:color w:val="auto"/>
        </w:rPr>
      </w:pPr>
    </w:p>
    <w:p>
      <w:pPr>
        <w:jc w:val="both"/>
        <w:ind w:left="8" w:firstLine="432"/>
        <w:spacing w:after="0" w:line="228" w:lineRule="auto"/>
        <w:rPr>
          <w:sz w:val="20"/>
          <w:szCs w:val="20"/>
          <w:color w:val="auto"/>
        </w:rPr>
      </w:pPr>
      <w:r>
        <w:rPr>
          <w:rFonts w:ascii="Arial" w:cs="Arial" w:eastAsia="Arial" w:hAnsi="Arial"/>
          <w:sz w:val="14"/>
          <w:szCs w:val="14"/>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 in a lawsuit or other proceeding, if such filing is made under seal and I do not disclose the trade secret except pursuant to a court order.</w:t>
      </w:r>
    </w:p>
    <w:p>
      <w:pPr>
        <w:spacing w:after="0" w:line="122" w:lineRule="exact"/>
        <w:rPr>
          <w:sz w:val="20"/>
          <w:szCs w:val="20"/>
          <w:color w:val="auto"/>
        </w:rPr>
      </w:pPr>
    </w:p>
    <w:p>
      <w:pPr>
        <w:jc w:val="both"/>
        <w:ind w:left="8" w:hanging="8"/>
        <w:spacing w:after="0" w:line="221" w:lineRule="auto"/>
        <w:tabs>
          <w:tab w:leader="none" w:pos="260" w:val="left"/>
        </w:tabs>
        <w:numPr>
          <w:ilvl w:val="0"/>
          <w:numId w:val="17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Binding Agreement, Amendment, Successors. </w:t>
      </w:r>
      <w:r>
        <w:rPr>
          <w:rFonts w:ascii="Arial" w:cs="Arial" w:eastAsia="Arial" w:hAnsi="Arial"/>
          <w:sz w:val="14"/>
          <w:szCs w:val="14"/>
          <w:color w:val="auto"/>
        </w:rPr>
        <w:t>I acknowledge that the provisions of this Agreement are in addition to, and in no way intended to limit, restrict or narrow any prior or existing</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 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w:t>
      </w:r>
    </w:p>
    <w:p>
      <w:pPr>
        <w:sectPr>
          <w:pgSz w:w="11900" w:h="16838" w:orient="portrait"/>
          <w:cols w:equalWidth="0" w:num="1">
            <w:col w:w="11308"/>
          </w:cols>
          <w:pgMar w:left="292" w:top="980" w:right="299" w:bottom="1440" w:gutter="0" w:footer="0" w:header="0"/>
        </w:sectPr>
      </w:pPr>
    </w:p>
    <w:bookmarkStart w:id="171" w:name="page172"/>
    <w:bookmarkEnd w:id="171"/>
    <w:p>
      <w:pPr>
        <w:ind w:left="8"/>
        <w:spacing w:after="0" w:line="246" w:lineRule="auto"/>
        <w:rPr>
          <w:sz w:val="20"/>
          <w:szCs w:val="20"/>
          <w:color w:val="auto"/>
        </w:rPr>
      </w:pPr>
      <w:r>
        <w:rPr>
          <w:rFonts w:ascii="Arial" w:cs="Arial" w:eastAsia="Arial" w:hAnsi="Arial"/>
          <w:sz w:val="14"/>
          <w:szCs w:val="14"/>
          <w:color w:val="auto"/>
        </w:rPr>
        <w:t>Human Resources and Communications or his/her designee. This Agreement binds my heirs, executors, administrators, legal representatives and assigns and inures to the benefit of Honeywell and its successors and assigns.</w:t>
      </w:r>
    </w:p>
    <w:p>
      <w:pPr>
        <w:spacing w:after="0" w:line="116" w:lineRule="exact"/>
        <w:rPr>
          <w:sz w:val="20"/>
          <w:szCs w:val="20"/>
          <w:color w:val="auto"/>
        </w:rPr>
      </w:pPr>
    </w:p>
    <w:p>
      <w:pPr>
        <w:ind w:left="8" w:right="20" w:hanging="8"/>
        <w:spacing w:after="0" w:line="252" w:lineRule="auto"/>
        <w:tabs>
          <w:tab w:leader="none" w:pos="324" w:val="left"/>
        </w:tabs>
        <w:numPr>
          <w:ilvl w:val="0"/>
          <w:numId w:val="17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Acknowledgement of Receipt. </w:t>
      </w:r>
      <w:r>
        <w:rPr>
          <w:rFonts w:ascii="Arial" w:cs="Arial" w:eastAsia="Arial" w:hAnsi="Arial"/>
          <w:sz w:val="14"/>
          <w:szCs w:val="14"/>
          <w:color w:val="auto"/>
        </w:rPr>
        <w:t>I acknowledge that I received a copy of this Agreement prior to accepting my transfer, promotion, or hire into my new role and that execution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was an express condition of such transfer, promotion, or hire.</w:t>
      </w:r>
    </w:p>
    <w:p>
      <w:pPr>
        <w:spacing w:after="0" w:line="111" w:lineRule="exact"/>
        <w:rPr>
          <w:rFonts w:ascii="Arial" w:cs="Arial" w:eastAsia="Arial" w:hAnsi="Arial"/>
          <w:sz w:val="14"/>
          <w:szCs w:val="14"/>
          <w:b w:val="1"/>
          <w:bCs w:val="1"/>
          <w:color w:val="auto"/>
        </w:rPr>
      </w:pPr>
    </w:p>
    <w:p>
      <w:pPr>
        <w:ind w:left="8" w:right="20" w:hanging="8"/>
        <w:spacing w:after="0" w:line="290" w:lineRule="auto"/>
        <w:tabs>
          <w:tab w:leader="none" w:pos="284"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Effectiveness of Agreement. </w:t>
      </w:r>
      <w:r>
        <w:rPr>
          <w:rFonts w:ascii="Arial" w:cs="Arial" w:eastAsia="Arial" w:hAnsi="Arial"/>
          <w:sz w:val="13"/>
          <w:szCs w:val="13"/>
          <w:color w:val="auto"/>
        </w:rPr>
        <w:t>This Agreement becomes effective when I sign it, the obligations under it continue throughout the entire period of time I am employed by Honeywell,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regard to the business within Honeywell with which I am associated and these obligations will continue after, and survive, the end of my employment with Honeywell.</w:t>
      </w:r>
    </w:p>
    <w:p>
      <w:pPr>
        <w:spacing w:after="0" w:line="88" w:lineRule="exact"/>
        <w:rPr>
          <w:rFonts w:ascii="Arial" w:cs="Arial" w:eastAsia="Arial" w:hAnsi="Arial"/>
          <w:sz w:val="13"/>
          <w:szCs w:val="13"/>
          <w:b w:val="1"/>
          <w:bCs w:val="1"/>
          <w:color w:val="auto"/>
        </w:rPr>
      </w:pPr>
    </w:p>
    <w:p>
      <w:pPr>
        <w:jc w:val="both"/>
        <w:ind w:left="8" w:hanging="8"/>
        <w:spacing w:after="0" w:line="235" w:lineRule="auto"/>
        <w:tabs>
          <w:tab w:leader="none" w:pos="327" w:val="left"/>
        </w:tabs>
        <w:numPr>
          <w:ilvl w:val="0"/>
          <w:numId w:val="17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 to Future Employers. </w:t>
      </w:r>
      <w:r>
        <w:rPr>
          <w:rFonts w:ascii="Arial" w:cs="Arial" w:eastAsia="Arial" w:hAnsi="Arial"/>
          <w:sz w:val="14"/>
          <w:szCs w:val="14"/>
          <w:color w:val="auto"/>
        </w:rPr>
        <w:t>For the period of two (2) years immediately following the end of my employment with Honeywell, I will inform each new employer, prior to accepting</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of the existence of this Agreement and provide that employer with a copy of it. Honeywell has the right to inform any future employer of the existence of this Agreement and to provide any future employers with a copy of it.</w:t>
      </w:r>
    </w:p>
    <w:p>
      <w:pPr>
        <w:spacing w:after="0" w:line="121" w:lineRule="exact"/>
        <w:rPr>
          <w:rFonts w:ascii="Arial" w:cs="Arial" w:eastAsia="Arial" w:hAnsi="Arial"/>
          <w:sz w:val="14"/>
          <w:szCs w:val="14"/>
          <w:b w:val="1"/>
          <w:bCs w:val="1"/>
          <w:color w:val="auto"/>
        </w:rPr>
      </w:pPr>
    </w:p>
    <w:p>
      <w:pPr>
        <w:jc w:val="both"/>
        <w:ind w:left="8" w:hanging="8"/>
        <w:spacing w:after="0" w:line="235" w:lineRule="auto"/>
        <w:tabs>
          <w:tab w:leader="none" w:pos="275" w:val="left"/>
        </w:tabs>
        <w:numPr>
          <w:ilvl w:val="0"/>
          <w:numId w:val="17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Governing Law and Venue. </w:t>
      </w:r>
      <w:r>
        <w:rPr>
          <w:rFonts w:ascii="Arial" w:cs="Arial" w:eastAsia="Arial" w:hAnsi="Arial"/>
          <w:sz w:val="14"/>
          <w:szCs w:val="14"/>
          <w:color w:val="auto"/>
        </w:rPr>
        <w:t>This Agreement shall be governed by and construed in accordance with the laws of the State of New Jersey without regard to its principles of conflicts of law. I</w:t>
      </w:r>
      <w:r>
        <w:rPr>
          <w:rFonts w:ascii="Arial" w:cs="Arial" w:eastAsia="Arial" w:hAnsi="Arial"/>
          <w:sz w:val="14"/>
          <w:szCs w:val="14"/>
          <w:b w:val="1"/>
          <w:bCs w:val="1"/>
          <w:color w:val="auto"/>
        </w:rPr>
        <w:t xml:space="preserve"> </w:t>
      </w:r>
      <w:r>
        <w:rPr>
          <w:rFonts w:ascii="Arial" w:cs="Arial" w:eastAsia="Arial" w:hAnsi="Arial"/>
          <w:sz w:val="14"/>
          <w:szCs w:val="14"/>
          <w:color w:val="auto"/>
        </w:rPr>
        <w:t>hereby consent to the exclusive jurisdiction and venue in the federal and state courts of the State of New Jersey, Morris County, for the resolution of all disputes arising under, or relating to, this Agreement.</w:t>
      </w:r>
    </w:p>
    <w:p>
      <w:pPr>
        <w:spacing w:after="0" w:line="121" w:lineRule="exact"/>
        <w:rPr>
          <w:rFonts w:ascii="Arial" w:cs="Arial" w:eastAsia="Arial" w:hAnsi="Arial"/>
          <w:sz w:val="14"/>
          <w:szCs w:val="14"/>
          <w:b w:val="1"/>
          <w:bCs w:val="1"/>
          <w:color w:val="auto"/>
        </w:rPr>
      </w:pPr>
    </w:p>
    <w:p>
      <w:pPr>
        <w:ind w:left="308" w:hanging="308"/>
        <w:spacing w:after="0"/>
        <w:tabs>
          <w:tab w:leader="none" w:pos="308" w:val="left"/>
        </w:tabs>
        <w:numPr>
          <w:ilvl w:val="0"/>
          <w:numId w:val="171"/>
        </w:numPr>
        <w:rPr>
          <w:rFonts w:ascii="Arial" w:cs="Arial" w:eastAsia="Arial" w:hAnsi="Arial"/>
          <w:sz w:val="14"/>
          <w:szCs w:val="14"/>
          <w:b w:val="1"/>
          <w:bCs w:val="1"/>
          <w:color w:val="auto"/>
        </w:rPr>
      </w:pPr>
      <w:r>
        <w:rPr>
          <w:rFonts w:ascii="Arial" w:cs="Arial" w:eastAsia="Arial" w:hAnsi="Arial"/>
          <w:sz w:val="14"/>
          <w:szCs w:val="14"/>
          <w:b w:val="1"/>
          <w:bCs w:val="1"/>
          <w:color w:val="auto"/>
        </w:rPr>
        <w:t>Additional Definitions.</w:t>
      </w:r>
    </w:p>
    <w:p>
      <w:pPr>
        <w:spacing w:after="0" w:line="149" w:lineRule="exact"/>
        <w:rPr>
          <w:sz w:val="20"/>
          <w:szCs w:val="20"/>
          <w:color w:val="auto"/>
        </w:rPr>
      </w:pPr>
    </w:p>
    <w:p>
      <w:pPr>
        <w:jc w:val="both"/>
        <w:ind w:left="8" w:firstLine="147"/>
        <w:spacing w:after="0" w:line="233" w:lineRule="auto"/>
        <w:rPr>
          <w:sz w:val="20"/>
          <w:szCs w:val="20"/>
          <w:color w:val="auto"/>
        </w:rPr>
      </w:pPr>
      <w:r>
        <w:rPr>
          <w:rFonts w:ascii="Arial" w:cs="Arial" w:eastAsia="Arial" w:hAnsi="Arial"/>
          <w:sz w:val="14"/>
          <w:szCs w:val="14"/>
          <w:color w:val="auto"/>
        </w:rPr>
        <w:t>“Honeywell” collectively identifies Honeywell International Inc. (a Delaware corporation having a place of business at Tabor Road, Morris Plains,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4"/>
          <w:szCs w:val="14"/>
          <w:color w:val="auto"/>
        </w:rPr>
        <w:t>“Look Back Period” means the two (2) year period ending on the date of my Termination of Employment.</w:t>
      </w:r>
    </w:p>
    <w:p>
      <w:pPr>
        <w:spacing w:after="0" w:line="145" w:lineRule="exact"/>
        <w:rPr>
          <w:sz w:val="20"/>
          <w:szCs w:val="20"/>
          <w:color w:val="auto"/>
        </w:rPr>
      </w:pPr>
    </w:p>
    <w:p>
      <w:pPr>
        <w:jc w:val="both"/>
        <w:ind w:left="8" w:firstLine="180"/>
        <w:spacing w:after="0" w:line="246" w:lineRule="auto"/>
        <w:rPr>
          <w:sz w:val="20"/>
          <w:szCs w:val="20"/>
          <w:color w:val="auto"/>
        </w:rPr>
      </w:pPr>
      <w:r>
        <w:rPr>
          <w:rFonts w:ascii="Arial" w:cs="Arial" w:eastAsia="Arial" w:hAnsi="Arial"/>
          <w:sz w:val="14"/>
          <w:szCs w:val="14"/>
          <w:color w:val="auto"/>
        </w:rPr>
        <w:t>“Program” refers to the noncompete initiative implemented by Honeywell requiring that employees occupying certain Executive Level and Officer positions (Senior Executives) execute this noncompete Agreement.</w:t>
      </w:r>
    </w:p>
    <w:p>
      <w:pPr>
        <w:spacing w:after="0" w:line="120" w:lineRule="exact"/>
        <w:rPr>
          <w:sz w:val="20"/>
          <w:szCs w:val="20"/>
          <w:color w:val="auto"/>
        </w:rPr>
      </w:pPr>
    </w:p>
    <w:p>
      <w:pPr>
        <w:jc w:val="both"/>
        <w:ind w:left="8" w:firstLine="144"/>
        <w:spacing w:after="0" w:line="222" w:lineRule="auto"/>
        <w:rPr>
          <w:sz w:val="20"/>
          <w:szCs w:val="20"/>
          <w:color w:val="auto"/>
        </w:rPr>
      </w:pPr>
      <w:r>
        <w:rPr>
          <w:rFonts w:ascii="Arial" w:cs="Arial" w:eastAsia="Arial" w:hAnsi="Arial"/>
          <w:sz w:val="14"/>
          <w:szCs w:val="14"/>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ectPr>
          <w:pgSz w:w="11900" w:h="16838" w:orient="portrait"/>
          <w:cols w:equalWidth="0" w:num="1">
            <w:col w:w="11308"/>
          </w:cols>
          <w:pgMar w:left="292" w:top="980" w:right="299" w:bottom="1440" w:gutter="0" w:footer="0" w:header="0"/>
        </w:sectPr>
      </w:pPr>
    </w:p>
    <w:bookmarkStart w:id="172" w:name="page173"/>
    <w:bookmarkEnd w:id="172"/>
    <w:p>
      <w:pPr>
        <w:ind w:left="8" w:firstLine="172"/>
        <w:spacing w:after="0" w:line="246" w:lineRule="auto"/>
        <w:rPr>
          <w:sz w:val="20"/>
          <w:szCs w:val="20"/>
          <w:color w:val="auto"/>
        </w:rPr>
      </w:pPr>
      <w:r>
        <w:rPr>
          <w:rFonts w:ascii="Arial" w:cs="Arial" w:eastAsia="Arial" w:hAnsi="Arial"/>
          <w:sz w:val="14"/>
          <w:szCs w:val="14"/>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98" w:lineRule="exact"/>
        <w:rPr>
          <w:sz w:val="20"/>
          <w:szCs w:val="20"/>
          <w:color w:val="auto"/>
        </w:rPr>
      </w:pPr>
    </w:p>
    <w:p>
      <w:pPr>
        <w:ind w:left="308" w:hanging="308"/>
        <w:spacing w:after="0"/>
        <w:tabs>
          <w:tab w:leader="none" w:pos="308" w:val="left"/>
        </w:tabs>
        <w:numPr>
          <w:ilvl w:val="0"/>
          <w:numId w:val="17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Headings. </w:t>
      </w:r>
      <w:r>
        <w:rPr>
          <w:rFonts w:ascii="Arial" w:cs="Arial" w:eastAsia="Arial" w:hAnsi="Arial"/>
          <w:sz w:val="14"/>
          <w:szCs w:val="14"/>
          <w:color w:val="auto"/>
        </w:rPr>
        <w:t>The headings of the paragraphs of this Agreement are inserted for convenience only and shall not in any way affect the meaning or construction of this Agreement.</w:t>
      </w:r>
    </w:p>
    <w:p>
      <w:pPr>
        <w:spacing w:after="0" w:line="149" w:lineRule="exact"/>
        <w:rPr>
          <w:sz w:val="20"/>
          <w:szCs w:val="20"/>
          <w:color w:val="auto"/>
        </w:rPr>
      </w:pPr>
    </w:p>
    <w:p>
      <w:pPr>
        <w:ind w:left="8"/>
        <w:spacing w:after="0" w:line="246" w:lineRule="auto"/>
        <w:rPr>
          <w:sz w:val="20"/>
          <w:szCs w:val="20"/>
          <w:color w:val="auto"/>
        </w:rPr>
      </w:pPr>
      <w:r>
        <w:rPr>
          <w:rFonts w:ascii="Arial" w:cs="Arial" w:eastAsia="Arial" w:hAnsi="Arial"/>
          <w:sz w:val="14"/>
          <w:szCs w:val="14"/>
          <w:color w:val="auto"/>
        </w:rPr>
        <w:t>I have carefully read this Agreement. I understand and accept its terms. I understand and agree that I will continue to be bound by the provisions of this Agreement after my employment with Honeywell has ended.</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/s/ Que Thanh Dallara</w:t>
      </w:r>
    </w:p>
    <w:p>
      <w:pPr>
        <w:spacing w:after="0" w:line="4" w:lineRule="exact"/>
        <w:rPr>
          <w:sz w:val="20"/>
          <w:szCs w:val="20"/>
          <w:color w:val="auto"/>
        </w:rPr>
      </w:pPr>
    </w:p>
    <w:p>
      <w:pPr>
        <w:ind w:left="8"/>
        <w:spacing w:after="0"/>
        <w:tabs>
          <w:tab w:leader="none" w:pos="2848" w:val="left"/>
        </w:tabs>
        <w:rPr>
          <w:sz w:val="20"/>
          <w:szCs w:val="20"/>
          <w:color w:val="auto"/>
        </w:rPr>
      </w:pPr>
      <w:r>
        <w:rPr>
          <w:rFonts w:ascii="Arial" w:cs="Arial" w:eastAsia="Arial" w:hAnsi="Arial"/>
          <w:sz w:val="14"/>
          <w:szCs w:val="14"/>
          <w:b w:val="1"/>
          <w:bCs w:val="1"/>
          <w:color w:val="auto"/>
        </w:rPr>
        <w:t>QUE THANH DALLARA (H224899)</w:t>
      </w:r>
      <w:r>
        <w:rPr>
          <w:sz w:val="20"/>
          <w:szCs w:val="20"/>
          <w:color w:val="auto"/>
        </w:rPr>
        <w:tab/>
      </w:r>
      <w:r>
        <w:rPr>
          <w:rFonts w:ascii="Arial" w:cs="Arial" w:eastAsia="Arial" w:hAnsi="Arial"/>
          <w:sz w:val="13"/>
          <w:szCs w:val="13"/>
          <w:color w:val="auto"/>
        </w:rPr>
        <w:t>Date 22-Feb-2019</w:t>
      </w:r>
    </w:p>
    <w:p>
      <w:pPr>
        <w:sectPr>
          <w:pgSz w:w="11900" w:h="16838" w:orient="portrait"/>
          <w:cols w:equalWidth="0" w:num="1">
            <w:col w:w="11288"/>
          </w:cols>
          <w:pgMar w:left="292" w:top="980"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7"/>
          <w:szCs w:val="17"/>
          <w:b w:val="1"/>
          <w:bCs w:val="1"/>
          <w:color w:val="auto"/>
        </w:rPr>
        <w:t>ADDENDUM TO</w:t>
      </w:r>
    </w:p>
    <w:p>
      <w:pPr>
        <w:jc w:val="center"/>
        <w:spacing w:after="0" w:line="198" w:lineRule="auto"/>
        <w:rPr>
          <w:sz w:val="20"/>
          <w:szCs w:val="20"/>
          <w:color w:val="auto"/>
        </w:rPr>
      </w:pPr>
      <w:r>
        <w:rPr>
          <w:rFonts w:ascii="Arial" w:cs="Arial" w:eastAsia="Arial" w:hAnsi="Arial"/>
          <w:sz w:val="17"/>
          <w:szCs w:val="17"/>
          <w:b w:val="1"/>
          <w:bCs w:val="1"/>
          <w:color w:val="auto"/>
        </w:rPr>
        <w:t>HONEYWELL INTERNATIONAL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NONCOMPETE AGREEMENT FOR SENIOR EXECUTIVES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QUE THANH DALLARA</w:t>
      </w:r>
    </w:p>
    <w:p>
      <w:pPr>
        <w:jc w:val="center"/>
        <w:spacing w:after="0" w:line="198" w:lineRule="auto"/>
        <w:rPr>
          <w:sz w:val="20"/>
          <w:szCs w:val="20"/>
          <w:color w:val="auto"/>
        </w:rPr>
      </w:pPr>
      <w:r>
        <w:rPr>
          <w:rFonts w:ascii="Arial" w:cs="Arial" w:eastAsia="Arial" w:hAnsi="Arial"/>
          <w:sz w:val="17"/>
          <w:szCs w:val="17"/>
          <w:b w:val="1"/>
          <w:bCs w:val="1"/>
          <w:color w:val="auto"/>
        </w:rPr>
        <w:t>EMPLOYED AS</w:t>
      </w:r>
    </w:p>
    <w:p>
      <w:pPr>
        <w:jc w:val="center"/>
        <w:spacing w:after="0" w:line="199" w:lineRule="auto"/>
        <w:rPr>
          <w:sz w:val="20"/>
          <w:szCs w:val="20"/>
          <w:color w:val="auto"/>
        </w:rPr>
      </w:pPr>
      <w:r>
        <w:rPr>
          <w:rFonts w:ascii="Arial" w:cs="Arial" w:eastAsia="Arial" w:hAnsi="Arial"/>
          <w:sz w:val="17"/>
          <w:szCs w:val="17"/>
          <w:b w:val="1"/>
          <w:bCs w:val="1"/>
          <w:color w:val="auto"/>
        </w:rPr>
        <w:t>PRESIDENT &amp; CHIEF EXECUTIVE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HONEYWELL CONNECTED ENTERPRISE</w:t>
      </w:r>
    </w:p>
    <w:p>
      <w:pPr>
        <w:spacing w:after="0" w:line="120"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Pursuant to Paragraph 1 of your Honeywell International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Based on your current role and responsibilities with Honeywell Connected Enterprise as its President &amp; Chief Executive Officer, the following companies are considered key competitors and therefore fall within the definition of a Competing Business, as that term is used in your Noncompete Agreement:</w:t>
      </w:r>
    </w:p>
    <w:p>
      <w:pPr>
        <w:spacing w:after="0" w:line="116" w:lineRule="exact"/>
        <w:rPr>
          <w:sz w:val="20"/>
          <w:szCs w:val="20"/>
          <w:color w:val="auto"/>
        </w:rPr>
      </w:pPr>
    </w:p>
    <w:p>
      <w:pPr>
        <w:ind w:left="260" w:right="260"/>
        <w:spacing w:after="0" w:line="252" w:lineRule="auto"/>
        <w:rPr>
          <w:sz w:val="20"/>
          <w:szCs w:val="20"/>
          <w:color w:val="auto"/>
        </w:rPr>
      </w:pPr>
      <w:r>
        <w:rPr>
          <w:rFonts w:ascii="Arial" w:cs="Arial" w:eastAsia="Arial" w:hAnsi="Arial"/>
          <w:sz w:val="14"/>
          <w:szCs w:val="14"/>
          <w:b w:val="1"/>
          <w:bCs w:val="1"/>
          <w:color w:val="auto"/>
        </w:rPr>
        <w:t>General Electric, Siemens, Google, Amazon, Microsoft, AT&amp;T, Dell, BOSCH, Cisco, Hitachi, Intel, Oracle, Emerson, Invensys, Johnson Controls, Schneider Electric, United Technologies</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ectPr>
          <w:pgSz w:w="11900" w:h="16838" w:orient="portrait"/>
          <w:cols w:equalWidth="0" w:num="1">
            <w:col w:w="11300"/>
          </w:cols>
          <w:pgMar w:left="300" w:top="956" w:right="299" w:bottom="1440" w:gutter="0" w:footer="0" w:header="0"/>
        </w:sectPr>
      </w:pPr>
    </w:p>
    <w:bookmarkStart w:id="174" w:name="page175"/>
    <w:bookmarkEnd w:id="174"/>
    <w:p>
      <w:pPr>
        <w:jc w:val="center"/>
        <w:ind w:right="-7"/>
        <w:spacing w:after="0"/>
        <w:rPr>
          <w:sz w:val="20"/>
          <w:szCs w:val="20"/>
          <w:color w:val="auto"/>
        </w:rPr>
      </w:pPr>
      <w:r>
        <w:rPr>
          <w:rFonts w:ascii="Arial" w:cs="Arial" w:eastAsia="Arial" w:hAnsi="Arial"/>
          <w:sz w:val="19"/>
          <w:szCs w:val="19"/>
          <w:b w:val="1"/>
          <w:bCs w:val="1"/>
          <w:color w:val="auto"/>
        </w:rPr>
        <w:t>HONEYWELL INTERNATIONAL INC.</w:t>
      </w:r>
    </w:p>
    <w:p>
      <w:pPr>
        <w:jc w:val="center"/>
        <w:ind w:right="-7"/>
        <w:spacing w:after="0" w:line="207" w:lineRule="auto"/>
        <w:rPr>
          <w:sz w:val="20"/>
          <w:szCs w:val="20"/>
          <w:color w:val="auto"/>
        </w:rPr>
      </w:pPr>
      <w:r>
        <w:rPr>
          <w:rFonts w:ascii="Arial" w:cs="Arial" w:eastAsia="Arial" w:hAnsi="Arial"/>
          <w:sz w:val="19"/>
          <w:szCs w:val="19"/>
          <w:color w:val="auto"/>
        </w:rPr>
        <w:t>Employee Agreement Relating to Trade Secrets,</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9"/>
          <w:szCs w:val="19"/>
          <w:color w:val="auto"/>
        </w:rPr>
        <w:t>Proprietary and Confidential Information</w:t>
      </w:r>
    </w:p>
    <w:p>
      <w:pPr>
        <w:spacing w:after="0" w:line="127" w:lineRule="exact"/>
        <w:rPr>
          <w:sz w:val="20"/>
          <w:szCs w:val="20"/>
          <w:color w:val="auto"/>
        </w:rPr>
      </w:pPr>
    </w:p>
    <w:p>
      <w:pPr>
        <w:jc w:val="both"/>
        <w:ind w:left="8"/>
        <w:spacing w:after="0" w:line="225" w:lineRule="auto"/>
        <w:rPr>
          <w:sz w:val="20"/>
          <w:szCs w:val="20"/>
          <w:color w:val="auto"/>
        </w:rPr>
      </w:pPr>
      <w:r>
        <w:rPr>
          <w:rFonts w:ascii="Arial" w:cs="Arial" w:eastAsia="Arial" w:hAnsi="Arial"/>
          <w:sz w:val="13"/>
          <w:szCs w:val="13"/>
          <w:b w:val="1"/>
          <w:bCs w:val="1"/>
          <w:color w:val="auto"/>
        </w:rPr>
        <w:t>In consideration of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Honeywell “Trade Secrets, Proprietary and Confidential Information” (as hereinafter defined) supplied to me, I understand and agree that:</w:t>
      </w:r>
    </w:p>
    <w:p>
      <w:pPr>
        <w:spacing w:after="0" w:line="120" w:lineRule="exact"/>
        <w:rPr>
          <w:sz w:val="20"/>
          <w:szCs w:val="20"/>
          <w:color w:val="auto"/>
        </w:rPr>
      </w:pPr>
    </w:p>
    <w:p>
      <w:pPr>
        <w:jc w:val="both"/>
        <w:ind w:left="348" w:hanging="348"/>
        <w:spacing w:after="0" w:line="225" w:lineRule="auto"/>
        <w:tabs>
          <w:tab w:leader="none" w:pos="353"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Records of Inventions. </w:t>
      </w:r>
      <w:r>
        <w:rPr>
          <w:rFonts w:ascii="Arial" w:cs="Arial" w:eastAsia="Arial" w:hAnsi="Arial"/>
          <w:sz w:val="13"/>
          <w:szCs w:val="13"/>
          <w:color w:val="auto"/>
        </w:rPr>
        <w:t>I will keep complete and current written records of all Inventions I Make during the period of time I am employed by Honeywell and promptly disclose all such Inventions in writing</w:t>
      </w:r>
      <w:r>
        <w:rPr>
          <w:rFonts w:ascii="Arial" w:cs="Arial" w:eastAsia="Arial" w:hAnsi="Arial"/>
          <w:sz w:val="13"/>
          <w:szCs w:val="13"/>
          <w:b w:val="1"/>
          <w:bCs w:val="1"/>
          <w:color w:val="auto"/>
        </w:rPr>
        <w:t xml:space="preserve"> </w:t>
      </w:r>
      <w:r>
        <w:rPr>
          <w:rFonts w:ascii="Arial" w:cs="Arial" w:eastAsia="Arial" w:hAnsi="Arial"/>
          <w:sz w:val="13"/>
          <w:szCs w:val="13"/>
          <w:color w:val="auto"/>
        </w:rPr>
        <w:t>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19" w:lineRule="exact"/>
        <w:rPr>
          <w:rFonts w:ascii="Arial" w:cs="Arial" w:eastAsia="Arial" w:hAnsi="Arial"/>
          <w:sz w:val="13"/>
          <w:szCs w:val="13"/>
          <w:b w:val="1"/>
          <w:bCs w:val="1"/>
          <w:color w:val="auto"/>
        </w:rPr>
      </w:pPr>
    </w:p>
    <w:p>
      <w:pPr>
        <w:jc w:val="both"/>
        <w:ind w:left="348" w:hanging="348"/>
        <w:spacing w:after="0" w:line="213" w:lineRule="auto"/>
        <w:tabs>
          <w:tab w:leader="none" w:pos="344"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Disclosure of Inventions after Termination. </w:t>
      </w:r>
      <w:r>
        <w:rPr>
          <w:rFonts w:ascii="Arial" w:cs="Arial" w:eastAsia="Arial" w:hAnsi="Arial"/>
          <w:sz w:val="13"/>
          <w:szCs w:val="13"/>
          <w:color w:val="auto"/>
        </w:rPr>
        <w:t>I will promptly and completely disclose in writing to Honeywell’s Law Department all Inventions which I Make during the one year immediately following the</w:t>
      </w:r>
      <w:r>
        <w:rPr>
          <w:rFonts w:ascii="Arial" w:cs="Arial" w:eastAsia="Arial" w:hAnsi="Arial"/>
          <w:sz w:val="13"/>
          <w:szCs w:val="13"/>
          <w:b w:val="1"/>
          <w:bCs w:val="1"/>
          <w:color w:val="auto"/>
        </w:rPr>
        <w:t xml:space="preserve"> </w:t>
      </w:r>
      <w:r>
        <w:rPr>
          <w:rFonts w:ascii="Arial" w:cs="Arial" w:eastAsia="Arial" w:hAnsi="Arial"/>
          <w:sz w:val="13"/>
          <w:szCs w:val="13"/>
          <w:color w:val="auto"/>
        </w:rPr>
        <w:t>end 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121" w:lineRule="exact"/>
        <w:rPr>
          <w:rFonts w:ascii="Arial" w:cs="Arial" w:eastAsia="Arial" w:hAnsi="Arial"/>
          <w:sz w:val="13"/>
          <w:szCs w:val="13"/>
          <w:b w:val="1"/>
          <w:bCs w:val="1"/>
          <w:color w:val="auto"/>
        </w:rPr>
      </w:pPr>
    </w:p>
    <w:p>
      <w:pPr>
        <w:jc w:val="both"/>
        <w:ind w:left="348" w:hanging="348"/>
        <w:spacing w:after="0" w:line="213" w:lineRule="auto"/>
        <w:tabs>
          <w:tab w:leader="none" w:pos="344"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Ownership of Inventions. </w:t>
      </w:r>
      <w:r>
        <w:rPr>
          <w:rFonts w:ascii="Arial" w:cs="Arial" w:eastAsia="Arial" w:hAnsi="Arial"/>
          <w:sz w:val="13"/>
          <w:szCs w:val="13"/>
          <w:color w:val="auto"/>
        </w:rPr>
        <w:t>Each and every Invention I Make during the period of time I am employed by Honeywell (a) which relates directly to the business of Honeywell or to Honeywell’s actual or</w:t>
      </w:r>
      <w:r>
        <w:rPr>
          <w:rFonts w:ascii="Arial" w:cs="Arial" w:eastAsia="Arial" w:hAnsi="Arial"/>
          <w:sz w:val="13"/>
          <w:szCs w:val="13"/>
          <w:b w:val="1"/>
          <w:bCs w:val="1"/>
          <w:color w:val="auto"/>
        </w:rPr>
        <w:t xml:space="preserve"> </w:t>
      </w:r>
      <w:r>
        <w:rPr>
          <w:rFonts w:ascii="Arial" w:cs="Arial" w:eastAsia="Arial" w:hAnsi="Arial"/>
          <w:sz w:val="13"/>
          <w:szCs w:val="13"/>
          <w:color w:val="auto"/>
        </w:rPr>
        <w:t>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21" w:lineRule="exact"/>
        <w:rPr>
          <w:rFonts w:ascii="Arial" w:cs="Arial" w:eastAsia="Arial" w:hAnsi="Arial"/>
          <w:sz w:val="13"/>
          <w:szCs w:val="13"/>
          <w:b w:val="1"/>
          <w:bCs w:val="1"/>
          <w:color w:val="auto"/>
        </w:rPr>
      </w:pPr>
    </w:p>
    <w:p>
      <w:pPr>
        <w:jc w:val="both"/>
        <w:ind w:left="348" w:hanging="348"/>
        <w:spacing w:after="0" w:line="228" w:lineRule="auto"/>
        <w:tabs>
          <w:tab w:leader="none" w:pos="344"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Cooperation with Honeywell. </w:t>
      </w:r>
      <w:r>
        <w:rPr>
          <w:rFonts w:ascii="Arial" w:cs="Arial" w:eastAsia="Arial" w:hAnsi="Arial"/>
          <w:sz w:val="12"/>
          <w:szCs w:val="12"/>
          <w:color w:val="auto"/>
        </w:rPr>
        <w:t>I will assist and fully cooperate with Honeywell in obtaining, maintaining, and asserting the fullest measure of legal protection, which Honeywell elects to obtain, maintain or</w:t>
      </w:r>
      <w:r>
        <w:rPr>
          <w:rFonts w:ascii="Arial" w:cs="Arial" w:eastAsia="Arial" w:hAnsi="Arial"/>
          <w:sz w:val="12"/>
          <w:szCs w:val="12"/>
          <w:b w:val="1"/>
          <w:bCs w:val="1"/>
          <w:color w:val="auto"/>
        </w:rPr>
        <w:t xml:space="preserve"> </w:t>
      </w:r>
      <w:r>
        <w:rPr>
          <w:rFonts w:ascii="Arial" w:cs="Arial" w:eastAsia="Arial" w:hAnsi="Arial"/>
          <w:sz w:val="12"/>
          <w:szCs w:val="12"/>
          <w:color w:val="auto"/>
        </w:rPr>
        <w:t>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 right or protection relating to an Invention, for any other reason whatsoever, I hereby irrevocably 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w:t>
      </w:r>
    </w:p>
    <w:p>
      <w:pPr>
        <w:sectPr>
          <w:pgSz w:w="11900" w:h="16838" w:orient="portrait"/>
          <w:cols w:equalWidth="0" w:num="1">
            <w:col w:w="11308"/>
          </w:cols>
          <w:pgMar w:left="292" w:top="956" w:right="299" w:bottom="1440" w:gutter="0" w:footer="0" w:header="0"/>
        </w:sectPr>
      </w:pPr>
    </w:p>
    <w:bookmarkStart w:id="175" w:name="page176"/>
    <w:bookmarkEnd w:id="175"/>
    <w:p>
      <w:pPr>
        <w:jc w:val="both"/>
        <w:ind w:left="348" w:hanging="348"/>
        <w:spacing w:after="0" w:line="216" w:lineRule="auto"/>
        <w:tabs>
          <w:tab w:leader="none" w:pos="344"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Pre-employment Inventions. </w:t>
      </w:r>
      <w:r>
        <w:rPr>
          <w:rFonts w:ascii="Arial" w:cs="Arial" w:eastAsia="Arial" w:hAnsi="Arial"/>
          <w:sz w:val="13"/>
          <w:szCs w:val="13"/>
          <w:color w:val="auto"/>
        </w:rPr>
        <w:t>On Schedule A, which is an integral part of this agreement, I have completely identified (without disclosing any trade secret, proprietary or other confidential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every 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119" w:lineRule="exact"/>
        <w:rPr>
          <w:rFonts w:ascii="Arial" w:cs="Arial" w:eastAsia="Arial" w:hAnsi="Arial"/>
          <w:sz w:val="13"/>
          <w:szCs w:val="13"/>
          <w:b w:val="1"/>
          <w:bCs w:val="1"/>
          <w:color w:val="auto"/>
        </w:rPr>
      </w:pPr>
    </w:p>
    <w:p>
      <w:pPr>
        <w:jc w:val="both"/>
        <w:ind w:left="348" w:hanging="348"/>
        <w:spacing w:after="0" w:line="207" w:lineRule="auto"/>
        <w:tabs>
          <w:tab w:leader="none" w:pos="344"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Honeywell’s Trade Secrets, Proprietary and Confidential Information. </w:t>
      </w:r>
      <w:r>
        <w:rPr>
          <w:rFonts w:ascii="Arial" w:cs="Arial" w:eastAsia="Arial" w:hAnsi="Arial"/>
          <w:sz w:val="13"/>
          <w:szCs w:val="13"/>
          <w:color w:val="auto"/>
        </w:rPr>
        <w:t>I will never, directly or indirectly, during or after my employment with Honeywell misappropriate, use or disclose Honeywell’s</w:t>
      </w:r>
      <w:r>
        <w:rPr>
          <w:rFonts w:ascii="Arial" w:cs="Arial" w:eastAsia="Arial" w:hAnsi="Arial"/>
          <w:sz w:val="13"/>
          <w:szCs w:val="13"/>
          <w:b w:val="1"/>
          <w:bCs w:val="1"/>
          <w:color w:val="auto"/>
        </w:rPr>
        <w:t xml:space="preserve"> </w:t>
      </w:r>
      <w:r>
        <w:rPr>
          <w:rFonts w:ascii="Arial" w:cs="Arial" w:eastAsia="Arial" w:hAnsi="Arial"/>
          <w:sz w:val="13"/>
          <w:szCs w:val="13"/>
          <w:color w:val="auto"/>
        </w:rPr>
        <w:t>Trade 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pacing w:after="0" w:line="127" w:lineRule="exact"/>
        <w:rPr>
          <w:sz w:val="20"/>
          <w:szCs w:val="20"/>
          <w:color w:val="auto"/>
        </w:rPr>
      </w:pPr>
    </w:p>
    <w:p>
      <w:pPr>
        <w:ind w:left="208" w:right="240"/>
        <w:spacing w:after="0" w:line="234" w:lineRule="auto"/>
        <w:rPr>
          <w:sz w:val="20"/>
          <w:szCs w:val="20"/>
          <w:color w:val="auto"/>
        </w:rPr>
      </w:pPr>
      <w:r>
        <w:rPr>
          <w:rFonts w:ascii="Arial" w:cs="Arial" w:eastAsia="Arial" w:hAnsi="Arial"/>
          <w:sz w:val="12"/>
          <w:szCs w:val="12"/>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271" w:lineRule="exact"/>
        <w:rPr>
          <w:sz w:val="20"/>
          <w:szCs w:val="20"/>
          <w:color w:val="auto"/>
        </w:rPr>
      </w:pPr>
    </w:p>
    <w:p>
      <w:pPr>
        <w:ind w:left="208" w:right="40"/>
        <w:spacing w:after="0" w:line="224" w:lineRule="auto"/>
        <w:rPr>
          <w:sz w:val="20"/>
          <w:szCs w:val="20"/>
          <w:color w:val="auto"/>
        </w:rPr>
      </w:pPr>
      <w:r>
        <w:rPr>
          <w:rFonts w:ascii="Arial" w:cs="Arial" w:eastAsia="Arial" w:hAnsi="Arial"/>
          <w:sz w:val="12"/>
          <w:szCs w:val="12"/>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 in a lawsuit or other proceeding, if such filing is made under seal and I do not disclose the trade secret except pursuant to a court order.</w:t>
      </w:r>
    </w:p>
    <w:p>
      <w:pPr>
        <w:spacing w:after="0" w:line="193" w:lineRule="exact"/>
        <w:rPr>
          <w:sz w:val="20"/>
          <w:szCs w:val="20"/>
          <w:color w:val="auto"/>
        </w:rPr>
      </w:pPr>
    </w:p>
    <w:p>
      <w:pPr>
        <w:jc w:val="both"/>
        <w:ind w:left="348" w:hanging="348"/>
        <w:spacing w:after="0" w:line="238" w:lineRule="auto"/>
        <w:tabs>
          <w:tab w:leader="none" w:pos="344"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Trade Secrets, Proprietary or Confidential Information from Previous Employment. </w:t>
      </w:r>
      <w:r>
        <w:rPr>
          <w:rFonts w:ascii="Arial" w:cs="Arial" w:eastAsia="Arial" w:hAnsi="Arial"/>
          <w:sz w:val="12"/>
          <w:szCs w:val="12"/>
          <w:color w:val="auto"/>
        </w:rPr>
        <w:t>I certify that I have not, and will not, disclose or use during my employment by Honeywell, any trade secrets,</w:t>
      </w:r>
      <w:r>
        <w:rPr>
          <w:rFonts w:ascii="Arial" w:cs="Arial" w:eastAsia="Arial" w:hAnsi="Arial"/>
          <w:sz w:val="12"/>
          <w:szCs w:val="12"/>
          <w:b w:val="1"/>
          <w:bCs w:val="1"/>
          <w:color w:val="auto"/>
        </w:rPr>
        <w:t xml:space="preserve"> </w:t>
      </w:r>
      <w:r>
        <w:rPr>
          <w:rFonts w:ascii="Arial" w:cs="Arial" w:eastAsia="Arial" w:hAnsi="Arial"/>
          <w:sz w:val="12"/>
          <w:szCs w:val="12"/>
          <w:color w:val="auto"/>
        </w:rPr>
        <w:t>proprietary or 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 which belongs to a third party. If I am ever placed in a position where I will be required or am given an assignment that will require me to use, directly or indirectly, any trade secrets, proprietary or confidential information of any person, previous employer or any third party, I</w:t>
      </w:r>
    </w:p>
    <w:p>
      <w:pPr>
        <w:sectPr>
          <w:pgSz w:w="11900" w:h="16838" w:orient="portrait"/>
          <w:cols w:equalWidth="0" w:num="1">
            <w:col w:w="11308"/>
          </w:cols>
          <w:pgMar w:left="292" w:top="1142" w:right="299" w:bottom="1440" w:gutter="0" w:footer="0" w:header="0"/>
        </w:sectPr>
      </w:pPr>
    </w:p>
    <w:bookmarkStart w:id="176" w:name="page177"/>
    <w:bookmarkEnd w:id="176"/>
    <w:p>
      <w:pPr>
        <w:jc w:val="both"/>
        <w:ind w:left="348" w:right="20"/>
        <w:spacing w:after="0" w:line="223" w:lineRule="auto"/>
        <w:rPr>
          <w:sz w:val="20"/>
          <w:szCs w:val="20"/>
          <w:color w:val="auto"/>
        </w:rPr>
      </w:pPr>
      <w:r>
        <w:rPr>
          <w:rFonts w:ascii="Arial" w:cs="Arial" w:eastAsia="Arial" w:hAnsi="Arial"/>
          <w:sz w:val="13"/>
          <w:szCs w:val="13"/>
          <w:color w:val="auto"/>
        </w:rPr>
        <w:t>will promptly inform Honeywell’s Law 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19" w:lineRule="exact"/>
        <w:rPr>
          <w:sz w:val="20"/>
          <w:szCs w:val="20"/>
          <w:color w:val="auto"/>
        </w:rPr>
      </w:pPr>
    </w:p>
    <w:p>
      <w:pPr>
        <w:ind w:left="348" w:right="20" w:hanging="348"/>
        <w:spacing w:after="0" w:line="237" w:lineRule="auto"/>
        <w:tabs>
          <w:tab w:leader="none" w:pos="344" w:val="left"/>
        </w:tabs>
        <w:numPr>
          <w:ilvl w:val="0"/>
          <w:numId w:val="1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Prior Restrictive Obligation. </w:t>
      </w:r>
      <w:r>
        <w:rPr>
          <w:rFonts w:ascii="Arial" w:cs="Arial" w:eastAsia="Arial" w:hAnsi="Arial"/>
          <w:sz w:val="13"/>
          <w:szCs w:val="13"/>
          <w:color w:val="auto"/>
        </w:rPr>
        <w:t>On Schedule B, which is an integral part of this agreement, I have completely identified all prior obligations (written and oral), which restrict my ability to perform the duties of</w:t>
      </w:r>
      <w:r>
        <w:rPr>
          <w:rFonts w:ascii="Arial" w:cs="Arial" w:eastAsia="Arial" w:hAnsi="Arial"/>
          <w:sz w:val="13"/>
          <w:szCs w:val="13"/>
          <w:b w:val="1"/>
          <w:bCs w:val="1"/>
          <w:color w:val="auto"/>
        </w:rPr>
        <w:t xml:space="preserve"> </w:t>
      </w:r>
      <w:r>
        <w:rPr>
          <w:rFonts w:ascii="Arial" w:cs="Arial" w:eastAsia="Arial" w:hAnsi="Arial"/>
          <w:sz w:val="13"/>
          <w:szCs w:val="13"/>
          <w:color w:val="auto"/>
        </w:rPr>
        <w:t>my employment by Honeywell, including all confidentiality agreements and covenants restricting future employment.</w:t>
      </w:r>
    </w:p>
    <w:p>
      <w:pPr>
        <w:spacing w:after="0" w:line="118" w:lineRule="exact"/>
        <w:rPr>
          <w:rFonts w:ascii="Arial" w:cs="Arial" w:eastAsia="Arial" w:hAnsi="Arial"/>
          <w:sz w:val="13"/>
          <w:szCs w:val="13"/>
          <w:b w:val="1"/>
          <w:bCs w:val="1"/>
          <w:color w:val="auto"/>
        </w:rPr>
      </w:pPr>
    </w:p>
    <w:p>
      <w:pPr>
        <w:jc w:val="both"/>
        <w:ind w:left="348" w:hanging="348"/>
        <w:spacing w:after="0" w:line="231" w:lineRule="auto"/>
        <w:tabs>
          <w:tab w:leader="none" w:pos="344"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Nonsolicitation of Honeywell Employees. </w:t>
      </w:r>
      <w:r>
        <w:rPr>
          <w:rFonts w:ascii="Arial" w:cs="Arial" w:eastAsia="Arial" w:hAnsi="Arial"/>
          <w:sz w:val="12"/>
          <w:szCs w:val="12"/>
          <w:color w:val="auto"/>
        </w:rPr>
        <w:t>I acknowledge that Honeywell has invested, and will continue to invest, significant time and money to recruit and retain its employees. Therefore, recognizing</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the course of my employment I have obtained valuable information about Honeywell employees, their respective talents and areas of expertise, I agree that, during my employment and for a period of two (2)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21" w:lineRule="exact"/>
        <w:rPr>
          <w:rFonts w:ascii="Arial" w:cs="Arial" w:eastAsia="Arial" w:hAnsi="Arial"/>
          <w:sz w:val="12"/>
          <w:szCs w:val="12"/>
          <w:b w:val="1"/>
          <w:bCs w:val="1"/>
          <w:color w:val="auto"/>
        </w:rPr>
      </w:pPr>
    </w:p>
    <w:p>
      <w:pPr>
        <w:jc w:val="both"/>
        <w:ind w:left="348" w:hanging="348"/>
        <w:spacing w:after="0" w:line="210" w:lineRule="auto"/>
        <w:tabs>
          <w:tab w:leader="none" w:pos="356" w:val="left"/>
        </w:tabs>
        <w:numPr>
          <w:ilvl w:val="0"/>
          <w:numId w:val="1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Nonsolicitation of Honeywell Customers, Suppliers, Business Partners and Vendors. </w:t>
      </w:r>
      <w:r>
        <w:rPr>
          <w:rFonts w:ascii="Arial" w:cs="Arial" w:eastAsia="Arial" w:hAnsi="Arial"/>
          <w:sz w:val="13"/>
          <w:szCs w:val="13"/>
          <w:color w:val="auto"/>
        </w:rPr>
        <w:t>I acknowledge that Honeywell has invested and will continue to invest significant time and money to develop</w:t>
      </w:r>
      <w:r>
        <w:rPr>
          <w:rFonts w:ascii="Arial" w:cs="Arial" w:eastAsia="Arial" w:hAnsi="Arial"/>
          <w:sz w:val="13"/>
          <w:szCs w:val="13"/>
          <w:b w:val="1"/>
          <w:bCs w:val="1"/>
          <w:color w:val="auto"/>
        </w:rPr>
        <w:t xml:space="preserve"> </w:t>
      </w:r>
      <w:r>
        <w:rPr>
          <w:rFonts w:ascii="Arial" w:cs="Arial" w:eastAsia="Arial" w:hAnsi="Arial"/>
          <w:sz w:val="13"/>
          <w:szCs w:val="13"/>
          <w:color w:val="auto"/>
        </w:rPr>
        <w:t>valuable, continuing relationships with existing and prospective clients and customers of Honeywell. Therefore, recognizing that in the course of my employment I have obtained valuable information about Honeywell customers, suppliers, business partners, and/or vendors, and their requirements, I agree that during my employment and for a period of two (2)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 any prospective clients, customers, suppliers, business partners, and/or vendors of Honeywell with whom I had contact and with whom Honeywell took significant steps to do business during the two-year period prior to my Termination of Employment, for the purpose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18" w:lineRule="exact"/>
        <w:rPr>
          <w:rFonts w:ascii="Arial" w:cs="Arial" w:eastAsia="Arial" w:hAnsi="Arial"/>
          <w:sz w:val="13"/>
          <w:szCs w:val="13"/>
          <w:b w:val="1"/>
          <w:bCs w:val="1"/>
          <w:color w:val="auto"/>
        </w:rPr>
      </w:pPr>
    </w:p>
    <w:p>
      <w:pPr>
        <w:jc w:val="both"/>
        <w:ind w:left="348" w:hanging="348"/>
        <w:spacing w:after="0" w:line="225" w:lineRule="auto"/>
        <w:tabs>
          <w:tab w:leader="none" w:pos="358" w:val="left"/>
        </w:tabs>
        <w:numPr>
          <w:ilvl w:val="0"/>
          <w:numId w:val="1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Notice to Future Employers. </w:t>
      </w:r>
      <w:r>
        <w:rPr>
          <w:rFonts w:ascii="Arial" w:cs="Arial" w:eastAsia="Arial" w:hAnsi="Arial"/>
          <w:sz w:val="13"/>
          <w:szCs w:val="13"/>
          <w:color w:val="auto"/>
        </w:rPr>
        <w:t>For the period of two (2) years immediately following the end of my employment by Honeywell, I will inform each new employer, prior to accepting employment,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existence of this agreement and provide that employer with a copy of it. Honeywell has the right to inform any future employer of the existence of this agreement and to provide any future employers with a copy of it.</w:t>
      </w:r>
    </w:p>
    <w:p>
      <w:pPr>
        <w:spacing w:after="0" w:line="119" w:lineRule="exact"/>
        <w:rPr>
          <w:rFonts w:ascii="Arial" w:cs="Arial" w:eastAsia="Arial" w:hAnsi="Arial"/>
          <w:sz w:val="13"/>
          <w:szCs w:val="13"/>
          <w:b w:val="1"/>
          <w:bCs w:val="1"/>
          <w:color w:val="auto"/>
        </w:rPr>
      </w:pPr>
    </w:p>
    <w:p>
      <w:pPr>
        <w:ind w:left="348" w:hanging="348"/>
        <w:spacing w:after="0" w:line="237" w:lineRule="auto"/>
        <w:tabs>
          <w:tab w:leader="none" w:pos="356" w:val="left"/>
        </w:tabs>
        <w:numPr>
          <w:ilvl w:val="0"/>
          <w:numId w:val="1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Copyright. </w:t>
      </w:r>
      <w:r>
        <w:rPr>
          <w:rFonts w:ascii="Arial" w:cs="Arial" w:eastAsia="Arial" w:hAnsi="Arial"/>
          <w:sz w:val="13"/>
          <w:szCs w:val="13"/>
          <w:color w:val="auto"/>
        </w:rPr>
        <w:t>As to all works prepared by me which are: (i) within the scope of my employment, or (ii) based upon information I acquired from Honeywell which is not normally made available to the public,</w:t>
      </w:r>
      <w:r>
        <w:rPr>
          <w:rFonts w:ascii="Arial" w:cs="Arial" w:eastAsia="Arial" w:hAnsi="Arial"/>
          <w:sz w:val="13"/>
          <w:szCs w:val="13"/>
          <w:b w:val="1"/>
          <w:bCs w:val="1"/>
          <w:color w:val="auto"/>
        </w:rPr>
        <w:t xml:space="preserve"> </w:t>
      </w:r>
      <w:r>
        <w:rPr>
          <w:rFonts w:ascii="Arial" w:cs="Arial" w:eastAsia="Arial" w:hAnsi="Arial"/>
          <w:sz w:val="13"/>
          <w:szCs w:val="13"/>
          <w:color w:val="auto"/>
        </w:rPr>
        <w:t>or (iii) commissioned by Honeywell, but not within my scope of employment, I hereby agree to:</w:t>
      </w:r>
    </w:p>
    <w:p>
      <w:pPr>
        <w:spacing w:after="0" w:line="122" w:lineRule="exact"/>
        <w:rPr>
          <w:rFonts w:ascii="Arial" w:cs="Arial" w:eastAsia="Arial" w:hAnsi="Arial"/>
          <w:sz w:val="13"/>
          <w:szCs w:val="13"/>
          <w:b w:val="1"/>
          <w:bCs w:val="1"/>
          <w:color w:val="auto"/>
        </w:rPr>
      </w:pPr>
    </w:p>
    <w:p>
      <w:pPr>
        <w:ind w:left="788" w:hanging="442"/>
        <w:spacing w:after="0"/>
        <w:tabs>
          <w:tab w:leader="none" w:pos="788" w:val="left"/>
        </w:tabs>
        <w:numPr>
          <w:ilvl w:val="1"/>
          <w:numId w:val="176"/>
        </w:numPr>
        <w:rPr>
          <w:rFonts w:ascii="Arial" w:cs="Arial" w:eastAsia="Arial" w:hAnsi="Arial"/>
          <w:sz w:val="13"/>
          <w:szCs w:val="13"/>
          <w:color w:val="auto"/>
        </w:rPr>
      </w:pPr>
      <w:r>
        <w:rPr>
          <w:rFonts w:ascii="Arial" w:cs="Arial" w:eastAsia="Arial" w:hAnsi="Arial"/>
          <w:sz w:val="13"/>
          <w:szCs w:val="13"/>
          <w:color w:val="auto"/>
        </w:rPr>
        <w:t>Submit to Honeywell’s Law Department and to my supervisor for approval for publication or oral dissemination;</w:t>
      </w:r>
    </w:p>
    <w:p>
      <w:pPr>
        <w:spacing w:after="0" w:line="138" w:lineRule="exact"/>
        <w:rPr>
          <w:rFonts w:ascii="Arial" w:cs="Arial" w:eastAsia="Arial" w:hAnsi="Arial"/>
          <w:sz w:val="13"/>
          <w:szCs w:val="13"/>
          <w:color w:val="auto"/>
        </w:rPr>
      </w:pPr>
    </w:p>
    <w:p>
      <w:pPr>
        <w:ind w:left="788" w:hanging="442"/>
        <w:spacing w:after="0"/>
        <w:tabs>
          <w:tab w:leader="none" w:pos="788" w:val="left"/>
        </w:tabs>
        <w:numPr>
          <w:ilvl w:val="1"/>
          <w:numId w:val="176"/>
        </w:numPr>
        <w:rPr>
          <w:rFonts w:ascii="Arial" w:cs="Arial" w:eastAsia="Arial" w:hAnsi="Arial"/>
          <w:sz w:val="13"/>
          <w:szCs w:val="13"/>
          <w:color w:val="auto"/>
        </w:rPr>
      </w:pPr>
      <w:r>
        <w:rPr>
          <w:rFonts w:ascii="Arial" w:cs="Arial" w:eastAsia="Arial" w:hAnsi="Arial"/>
          <w:sz w:val="13"/>
          <w:szCs w:val="13"/>
          <w:color w:val="auto"/>
        </w:rPr>
        <w:t>Assign all right, title and interest in and to the copyright in all such works to Honeywell; and</w:t>
      </w:r>
    </w:p>
    <w:p>
      <w:pPr>
        <w:sectPr>
          <w:pgSz w:w="11900" w:h="16838" w:orient="portrait"/>
          <w:cols w:equalWidth="0" w:num="1">
            <w:col w:w="11308"/>
          </w:cols>
          <w:pgMar w:left="292" w:top="984" w:right="299" w:bottom="1440" w:gutter="0" w:footer="0" w:header="0"/>
        </w:sectPr>
      </w:pPr>
    </w:p>
    <w:bookmarkStart w:id="177" w:name="page178"/>
    <w:bookmarkEnd w:id="177"/>
    <w:p>
      <w:pPr>
        <w:ind w:left="788" w:hanging="442"/>
        <w:spacing w:after="0"/>
        <w:tabs>
          <w:tab w:leader="none" w:pos="788" w:val="left"/>
        </w:tabs>
        <w:numPr>
          <w:ilvl w:val="0"/>
          <w:numId w:val="177"/>
        </w:numPr>
        <w:rPr>
          <w:rFonts w:ascii="Arial" w:cs="Arial" w:eastAsia="Arial" w:hAnsi="Arial"/>
          <w:sz w:val="13"/>
          <w:szCs w:val="13"/>
          <w:color w:val="auto"/>
        </w:rPr>
      </w:pPr>
      <w:r>
        <w:rPr>
          <w:rFonts w:ascii="Arial" w:cs="Arial" w:eastAsia="Arial" w:hAnsi="Arial"/>
          <w:sz w:val="13"/>
          <w:szCs w:val="13"/>
          <w:color w:val="auto"/>
        </w:rPr>
        <w:t>Waive any claim of moral rights, author’s rights, droit moral, or any equivalent rights to the extent necessary or permitted by law.</w:t>
      </w:r>
    </w:p>
    <w:p>
      <w:pPr>
        <w:spacing w:after="0" w:line="14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I hereby release and allow Honeywell to use, for any lawful purpose, any voice reproduction, photograph, or other video likeness of me made in the course of my employment.</w:t>
      </w:r>
    </w:p>
    <w:p>
      <w:pPr>
        <w:spacing w:after="0" w:line="218" w:lineRule="exact"/>
        <w:rPr>
          <w:sz w:val="20"/>
          <w:szCs w:val="20"/>
          <w:color w:val="auto"/>
        </w:rPr>
      </w:pPr>
    </w:p>
    <w:p>
      <w:pPr>
        <w:ind w:left="348" w:hanging="348"/>
        <w:spacing w:after="0" w:line="228" w:lineRule="auto"/>
        <w:tabs>
          <w:tab w:leader="none" w:pos="356" w:val="left"/>
        </w:tabs>
        <w:numPr>
          <w:ilvl w:val="0"/>
          <w:numId w:val="178"/>
        </w:numPr>
        <w:rPr>
          <w:rFonts w:ascii="Arial" w:cs="Arial" w:eastAsia="Arial" w:hAnsi="Arial"/>
          <w:sz w:val="13"/>
          <w:szCs w:val="13"/>
          <w:b w:val="1"/>
          <w:bCs w:val="1"/>
          <w:color w:val="auto"/>
        </w:rPr>
      </w:pPr>
      <w:r>
        <w:rPr>
          <w:rFonts w:ascii="Arial" w:cs="Arial" w:eastAsia="Arial" w:hAnsi="Arial"/>
          <w:sz w:val="12"/>
          <w:szCs w:val="12"/>
          <w:b w:val="1"/>
          <w:bCs w:val="1"/>
          <w:color w:val="auto"/>
        </w:rPr>
        <w:t xml:space="preserve">Acknowledgement of Receipt. </w:t>
      </w:r>
      <w:r>
        <w:rPr>
          <w:rFonts w:ascii="Arial" w:cs="Arial" w:eastAsia="Arial" w:hAnsi="Arial"/>
          <w:sz w:val="12"/>
          <w:szCs w:val="12"/>
          <w:color w:val="auto"/>
        </w:rPr>
        <w:t>I acknowledge that I have received a copy of this agreement prior to accepting employment, continued employment or other consideration as recited herein and that execution of this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was an express condition of my employment, continued employment or receipt of other consideration recited herein.</w:t>
      </w:r>
    </w:p>
    <w:p>
      <w:pPr>
        <w:spacing w:after="0" w:line="121" w:lineRule="exact"/>
        <w:rPr>
          <w:rFonts w:ascii="Arial" w:cs="Arial" w:eastAsia="Arial" w:hAnsi="Arial"/>
          <w:sz w:val="13"/>
          <w:szCs w:val="13"/>
          <w:b w:val="1"/>
          <w:bCs w:val="1"/>
          <w:color w:val="auto"/>
        </w:rPr>
      </w:pPr>
    </w:p>
    <w:p>
      <w:pPr>
        <w:jc w:val="both"/>
        <w:ind w:left="348" w:hanging="348"/>
        <w:spacing w:after="0" w:line="229" w:lineRule="auto"/>
        <w:tabs>
          <w:tab w:leader="none" w:pos="356"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Effectiveness of Agreement. </w:t>
      </w:r>
      <w:r>
        <w:rPr>
          <w:rFonts w:ascii="Arial" w:cs="Arial" w:eastAsia="Arial" w:hAnsi="Arial"/>
          <w:sz w:val="12"/>
          <w:szCs w:val="12"/>
          <w:color w:val="auto"/>
        </w:rPr>
        <w:t>I acknowledge that the provisions of this agreement are in addition to, and in no way intended to limit, restrict or narrow any prior or existing agreement with Honeywell.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22" w:lineRule="exact"/>
        <w:rPr>
          <w:rFonts w:ascii="Arial" w:cs="Arial" w:eastAsia="Arial" w:hAnsi="Arial"/>
          <w:sz w:val="12"/>
          <w:szCs w:val="12"/>
          <w:b w:val="1"/>
          <w:bCs w:val="1"/>
          <w:color w:val="auto"/>
        </w:rPr>
      </w:pPr>
    </w:p>
    <w:p>
      <w:pPr>
        <w:ind w:left="348" w:hanging="348"/>
        <w:spacing w:after="0"/>
        <w:tabs>
          <w:tab w:leader="none" w:pos="348"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Identity of Future Employer. </w:t>
      </w:r>
      <w:r>
        <w:rPr>
          <w:rFonts w:ascii="Arial" w:cs="Arial" w:eastAsia="Arial" w:hAnsi="Arial"/>
          <w:sz w:val="12"/>
          <w:szCs w:val="12"/>
          <w:color w:val="auto"/>
        </w:rPr>
        <w:t>Upon termination of my employment for any reason, if reasonably requested by Honeywell, I shall advise Honeywell of the name and address of my intended future employer.</w:t>
      </w:r>
    </w:p>
    <w:p>
      <w:pPr>
        <w:spacing w:after="0" w:line="150" w:lineRule="exact"/>
        <w:rPr>
          <w:rFonts w:ascii="Arial" w:cs="Arial" w:eastAsia="Arial" w:hAnsi="Arial"/>
          <w:sz w:val="12"/>
          <w:szCs w:val="12"/>
          <w:b w:val="1"/>
          <w:bCs w:val="1"/>
          <w:color w:val="auto"/>
        </w:rPr>
      </w:pPr>
    </w:p>
    <w:p>
      <w:pPr>
        <w:jc w:val="both"/>
        <w:ind w:left="348" w:hanging="348"/>
        <w:spacing w:after="0" w:line="238" w:lineRule="auto"/>
        <w:tabs>
          <w:tab w:leader="none" w:pos="356"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Remedies. </w:t>
      </w:r>
      <w:r>
        <w:rPr>
          <w:rFonts w:ascii="Arial" w:cs="Arial" w:eastAsia="Arial" w:hAnsi="Arial"/>
          <w:sz w:val="12"/>
          <w:szCs w:val="12"/>
          <w:color w:val="auto"/>
        </w:rPr>
        <w:t>I acknowledge that a remedy at law for any breach or threatened breach of the provisions of this Agreement would be inadequate and therefore agree that Honeywell shall be entitled to injunctive</w:t>
      </w:r>
      <w:r>
        <w:rPr>
          <w:rFonts w:ascii="Arial" w:cs="Arial" w:eastAsia="Arial" w:hAnsi="Arial"/>
          <w:sz w:val="12"/>
          <w:szCs w:val="12"/>
          <w:b w:val="1"/>
          <w:bCs w:val="1"/>
          <w:color w:val="auto"/>
        </w:rPr>
        <w:t xml:space="preserve"> </w:t>
      </w:r>
      <w:r>
        <w:rPr>
          <w:rFonts w:ascii="Arial" w:cs="Arial" w:eastAsia="Arial" w:hAnsi="Arial"/>
          <w:sz w:val="12"/>
          <w:szCs w:val="12"/>
          <w:color w:val="auto"/>
        </w:rPr>
        <w:t>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18" w:lineRule="exact"/>
        <w:rPr>
          <w:rFonts w:ascii="Arial" w:cs="Arial" w:eastAsia="Arial" w:hAnsi="Arial"/>
          <w:sz w:val="12"/>
          <w:szCs w:val="12"/>
          <w:b w:val="1"/>
          <w:bCs w:val="1"/>
          <w:color w:val="auto"/>
        </w:rPr>
      </w:pPr>
    </w:p>
    <w:p>
      <w:pPr>
        <w:ind w:left="348" w:hanging="348"/>
        <w:spacing w:after="0" w:line="213" w:lineRule="auto"/>
        <w:tabs>
          <w:tab w:leader="none" w:pos="356" w:val="left"/>
        </w:tabs>
        <w:numPr>
          <w:ilvl w:val="0"/>
          <w:numId w:val="17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Successors; Binding Agreement. </w:t>
      </w:r>
      <w:r>
        <w:rPr>
          <w:rFonts w:ascii="Arial" w:cs="Arial" w:eastAsia="Arial" w:hAnsi="Arial"/>
          <w:sz w:val="13"/>
          <w:szCs w:val="13"/>
          <w:color w:val="auto"/>
        </w:rPr>
        <w:t>This agreement binds my heirs, executors, administrators, legal representatives and assigns and inures to the benefit of Honeywell and its successors and assigns. Only a</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amendment executed by both Honeywell and me can modify this agreement.</w:t>
      </w:r>
    </w:p>
    <w:p>
      <w:pPr>
        <w:ind w:left="348" w:hanging="348"/>
        <w:spacing w:after="0"/>
        <w:tabs>
          <w:tab w:leader="none" w:pos="348" w:val="left"/>
        </w:tabs>
        <w:numPr>
          <w:ilvl w:val="0"/>
          <w:numId w:val="17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This agreement shall be governed by and construed in accordance with the laws of the State of New Jersey without regard to its principles of conflicts of law.</w:t>
      </w:r>
    </w:p>
    <w:p>
      <w:pPr>
        <w:spacing w:after="0" w:line="124" w:lineRule="exact"/>
        <w:rPr>
          <w:rFonts w:ascii="Arial" w:cs="Arial" w:eastAsia="Arial" w:hAnsi="Arial"/>
          <w:sz w:val="13"/>
          <w:szCs w:val="13"/>
          <w:b w:val="1"/>
          <w:bCs w:val="1"/>
          <w:color w:val="auto"/>
        </w:rPr>
      </w:pPr>
    </w:p>
    <w:p>
      <w:pPr>
        <w:jc w:val="both"/>
        <w:ind w:left="348" w:hanging="348"/>
        <w:spacing w:after="0" w:line="216" w:lineRule="auto"/>
        <w:tabs>
          <w:tab w:leader="none" w:pos="356" w:val="left"/>
        </w:tabs>
        <w:numPr>
          <w:ilvl w:val="0"/>
          <w:numId w:val="17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Validity. </w:t>
      </w:r>
      <w:r>
        <w:rPr>
          <w:rFonts w:ascii="Arial" w:cs="Arial" w:eastAsia="Arial" w:hAnsi="Arial"/>
          <w:sz w:val="13"/>
          <w:szCs w:val="13"/>
          <w:color w:val="auto"/>
        </w:rPr>
        <w:t>It is the desire and intent of the parties hereto that the provisions of this agreement shall be enforced to the fullest extent legally-permissible. Accordingly, if any particular provision(s)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19" w:lineRule="exact"/>
        <w:rPr>
          <w:rFonts w:ascii="Arial" w:cs="Arial" w:eastAsia="Arial" w:hAnsi="Arial"/>
          <w:sz w:val="13"/>
          <w:szCs w:val="13"/>
          <w:b w:val="1"/>
          <w:bCs w:val="1"/>
          <w:color w:val="auto"/>
        </w:rPr>
      </w:pPr>
    </w:p>
    <w:p>
      <w:pPr>
        <w:ind w:left="348" w:hanging="348"/>
        <w:spacing w:after="0"/>
        <w:tabs>
          <w:tab w:leader="none" w:pos="348" w:val="left"/>
        </w:tabs>
        <w:numPr>
          <w:ilvl w:val="0"/>
          <w:numId w:val="178"/>
        </w:numPr>
        <w:rPr>
          <w:rFonts w:ascii="Arial" w:cs="Arial" w:eastAsia="Arial" w:hAnsi="Arial"/>
          <w:sz w:val="13"/>
          <w:szCs w:val="13"/>
          <w:b w:val="1"/>
          <w:bCs w:val="1"/>
          <w:color w:val="auto"/>
        </w:rPr>
      </w:pPr>
      <w:r>
        <w:rPr>
          <w:rFonts w:ascii="Arial" w:cs="Arial" w:eastAsia="Arial" w:hAnsi="Arial"/>
          <w:sz w:val="13"/>
          <w:szCs w:val="13"/>
          <w:b w:val="1"/>
          <w:bCs w:val="1"/>
          <w:color w:val="auto"/>
        </w:rPr>
        <w:t>Definitions</w:t>
      </w:r>
    </w:p>
    <w:p>
      <w:pPr>
        <w:sectPr>
          <w:pgSz w:w="11900" w:h="16838" w:orient="portrait"/>
          <w:cols w:equalWidth="0" w:num="1">
            <w:col w:w="11308"/>
          </w:cols>
          <w:pgMar w:left="292" w:top="984" w:right="299" w:bottom="1440" w:gutter="0" w:footer="0" w:header="0"/>
        </w:sectPr>
      </w:pPr>
    </w:p>
    <w:bookmarkStart w:id="178" w:name="page179"/>
    <w:bookmarkEnd w:id="178"/>
    <w:p>
      <w:pPr>
        <w:jc w:val="both"/>
        <w:ind w:left="768" w:hanging="422"/>
        <w:spacing w:after="0" w:line="223" w:lineRule="auto"/>
        <w:tabs>
          <w:tab w:leader="none" w:pos="779" w:val="left"/>
        </w:tabs>
        <w:numPr>
          <w:ilvl w:val="1"/>
          <w:numId w:val="179"/>
        </w:numPr>
        <w:rPr>
          <w:rFonts w:ascii="Arial" w:cs="Arial" w:eastAsia="Arial" w:hAnsi="Arial"/>
          <w:sz w:val="13"/>
          <w:szCs w:val="13"/>
          <w:color w:val="auto"/>
        </w:rPr>
      </w:pPr>
      <w:r>
        <w:rPr>
          <w:rFonts w:ascii="Arial" w:cs="Arial" w:eastAsia="Arial" w:hAnsi="Arial"/>
          <w:sz w:val="13"/>
          <w:szCs w:val="13"/>
          <w:color w:val="auto"/>
        </w:rPr>
        <w:t>“Honeywell” collectively identifies Honeywell International Inc. (a Delaware corporation having a place of business at Tabor Road, Morris Plains, Morris County, New Jersey), its predecessors, designees and successors and its past, present and future operating companies, divisions, subsidiaries, affiliates and other business units, including businesses acquired by purchase of stock, merger or otherwise.</w:t>
      </w:r>
    </w:p>
    <w:p>
      <w:pPr>
        <w:spacing w:after="0" w:line="123" w:lineRule="exact"/>
        <w:rPr>
          <w:rFonts w:ascii="Arial" w:cs="Arial" w:eastAsia="Arial" w:hAnsi="Arial"/>
          <w:sz w:val="13"/>
          <w:szCs w:val="13"/>
          <w:color w:val="auto"/>
        </w:rPr>
      </w:pPr>
    </w:p>
    <w:p>
      <w:pPr>
        <w:jc w:val="both"/>
        <w:ind w:left="768" w:hanging="422"/>
        <w:spacing w:after="0" w:line="232" w:lineRule="auto"/>
        <w:tabs>
          <w:tab w:leader="none" w:pos="769" w:val="left"/>
        </w:tabs>
        <w:numPr>
          <w:ilvl w:val="1"/>
          <w:numId w:val="179"/>
        </w:numPr>
        <w:rPr>
          <w:rFonts w:ascii="Arial" w:cs="Arial" w:eastAsia="Arial" w:hAnsi="Arial"/>
          <w:sz w:val="12"/>
          <w:szCs w:val="12"/>
          <w:color w:val="auto"/>
        </w:rPr>
      </w:pPr>
      <w:r>
        <w:rPr>
          <w:rFonts w:ascii="Arial" w:cs="Arial" w:eastAsia="Arial" w:hAnsi="Arial"/>
          <w:sz w:val="12"/>
          <w:szCs w:val="12"/>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25" w:lineRule="exact"/>
        <w:rPr>
          <w:rFonts w:ascii="Arial" w:cs="Arial" w:eastAsia="Arial" w:hAnsi="Arial"/>
          <w:sz w:val="12"/>
          <w:szCs w:val="12"/>
          <w:color w:val="auto"/>
        </w:rPr>
      </w:pPr>
    </w:p>
    <w:p>
      <w:pPr>
        <w:ind w:left="768" w:right="20" w:hanging="422"/>
        <w:spacing w:after="0" w:line="234" w:lineRule="auto"/>
        <w:tabs>
          <w:tab w:leader="none" w:pos="779" w:val="left"/>
        </w:tabs>
        <w:numPr>
          <w:ilvl w:val="1"/>
          <w:numId w:val="179"/>
        </w:numPr>
        <w:rPr>
          <w:rFonts w:ascii="Arial" w:cs="Arial" w:eastAsia="Arial" w:hAnsi="Arial"/>
          <w:sz w:val="13"/>
          <w:szCs w:val="13"/>
          <w:color w:val="auto"/>
        </w:rPr>
      </w:pPr>
      <w:r>
        <w:rPr>
          <w:rFonts w:ascii="Arial" w:cs="Arial" w:eastAsia="Arial" w:hAnsi="Arial"/>
          <w:sz w:val="13"/>
          <w:szCs w:val="13"/>
          <w:color w:val="auto"/>
        </w:rPr>
        <w:t>“Invention” includes not only inventions (whether or not patentable), but also innovations, improvements, discoveries, ideas and all other forms of intellectual property (including, but not limited to, copyright works and mask works) – whether or not any of the foregoing constitutes trade secret or other confidential information.</w:t>
      </w:r>
    </w:p>
    <w:p>
      <w:pPr>
        <w:spacing w:after="0" w:line="122" w:lineRule="exact"/>
        <w:rPr>
          <w:rFonts w:ascii="Arial" w:cs="Arial" w:eastAsia="Arial" w:hAnsi="Arial"/>
          <w:sz w:val="13"/>
          <w:szCs w:val="13"/>
          <w:color w:val="auto"/>
        </w:rPr>
      </w:pPr>
    </w:p>
    <w:p>
      <w:pPr>
        <w:ind w:left="768" w:right="20" w:hanging="422"/>
        <w:spacing w:after="0" w:line="234" w:lineRule="auto"/>
        <w:tabs>
          <w:tab w:leader="none" w:pos="778" w:val="left"/>
        </w:tabs>
        <w:numPr>
          <w:ilvl w:val="1"/>
          <w:numId w:val="179"/>
        </w:numPr>
        <w:rPr>
          <w:rFonts w:ascii="Arial" w:cs="Arial" w:eastAsia="Arial" w:hAnsi="Arial"/>
          <w:sz w:val="13"/>
          <w:szCs w:val="13"/>
          <w:color w:val="auto"/>
        </w:rPr>
      </w:pPr>
      <w:r>
        <w:rPr>
          <w:rFonts w:ascii="Arial" w:cs="Arial" w:eastAsia="Arial" w:hAnsi="Arial"/>
          <w:sz w:val="13"/>
          <w:szCs w:val="13"/>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29" w:lineRule="exact"/>
        <w:rPr>
          <w:rFonts w:ascii="Arial" w:cs="Arial" w:eastAsia="Arial" w:hAnsi="Arial"/>
          <w:sz w:val="13"/>
          <w:szCs w:val="13"/>
          <w:color w:val="auto"/>
        </w:rPr>
      </w:pPr>
    </w:p>
    <w:p>
      <w:pPr>
        <w:ind w:left="768" w:hanging="422"/>
        <w:spacing w:after="0" w:line="228" w:lineRule="auto"/>
        <w:tabs>
          <w:tab w:leader="none" w:pos="779" w:val="left"/>
        </w:tabs>
        <w:numPr>
          <w:ilvl w:val="1"/>
          <w:numId w:val="179"/>
        </w:numPr>
        <w:rPr>
          <w:rFonts w:ascii="Arial" w:cs="Arial" w:eastAsia="Arial" w:hAnsi="Arial"/>
          <w:sz w:val="13"/>
          <w:szCs w:val="13"/>
          <w:color w:val="auto"/>
        </w:rPr>
      </w:pPr>
      <w:r>
        <w:rPr>
          <w:rFonts w:ascii="Arial" w:cs="Arial" w:eastAsia="Arial" w:hAnsi="Arial"/>
          <w:sz w:val="12"/>
          <w:szCs w:val="12"/>
          <w:b w:val="1"/>
          <w:bCs w:val="1"/>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31" w:lineRule="exact"/>
        <w:rPr>
          <w:rFonts w:ascii="Arial" w:cs="Arial" w:eastAsia="Arial" w:hAnsi="Arial"/>
          <w:sz w:val="13"/>
          <w:szCs w:val="13"/>
          <w:color w:val="auto"/>
        </w:rPr>
      </w:pPr>
    </w:p>
    <w:p>
      <w:pPr>
        <w:ind w:left="788" w:hanging="442"/>
        <w:spacing w:after="0"/>
        <w:tabs>
          <w:tab w:leader="none" w:pos="788" w:val="left"/>
        </w:tabs>
        <w:numPr>
          <w:ilvl w:val="1"/>
          <w:numId w:val="179"/>
        </w:numPr>
        <w:rPr>
          <w:rFonts w:ascii="Arial" w:cs="Arial" w:eastAsia="Arial" w:hAnsi="Arial"/>
          <w:sz w:val="13"/>
          <w:szCs w:val="13"/>
          <w:color w:val="auto"/>
        </w:rPr>
      </w:pPr>
      <w:r>
        <w:rPr>
          <w:rFonts w:ascii="Arial" w:cs="Arial" w:eastAsia="Arial" w:hAnsi="Arial"/>
          <w:sz w:val="12"/>
          <w:szCs w:val="12"/>
          <w:b w:val="1"/>
          <w:bCs w:val="1"/>
          <w:color w:val="auto"/>
        </w:rPr>
        <w:t>“Solicit” or “soliciting” includes contacting, communicating with, marketing to, engaging or otherwise interacting with (whether initiated by me or not).</w:t>
      </w:r>
    </w:p>
    <w:p>
      <w:pPr>
        <w:spacing w:after="0" w:line="127" w:lineRule="exact"/>
        <w:rPr>
          <w:rFonts w:ascii="Arial" w:cs="Arial" w:eastAsia="Arial" w:hAnsi="Arial"/>
          <w:sz w:val="13"/>
          <w:szCs w:val="13"/>
          <w:color w:val="auto"/>
        </w:rPr>
      </w:pPr>
    </w:p>
    <w:p>
      <w:pPr>
        <w:ind w:left="348" w:hanging="348"/>
        <w:spacing w:after="0"/>
        <w:tabs>
          <w:tab w:leader="none" w:pos="348"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Headings Descriptive. </w:t>
      </w:r>
      <w:r>
        <w:rPr>
          <w:rFonts w:ascii="Arial" w:cs="Arial" w:eastAsia="Arial" w:hAnsi="Arial"/>
          <w:sz w:val="12"/>
          <w:szCs w:val="12"/>
          <w:color w:val="auto"/>
        </w:rPr>
        <w:t>The headings of the several paragraphs of this agreement are inserted for convenience only and shall not in any way affect the meaning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/s/ Que Thanh Dallara</w:t>
      </w:r>
    </w:p>
    <w:p>
      <w:pPr>
        <w:ind w:left="8"/>
        <w:spacing w:after="0"/>
        <w:tabs>
          <w:tab w:leader="none" w:pos="2368" w:val="left"/>
        </w:tabs>
        <w:rPr>
          <w:sz w:val="20"/>
          <w:szCs w:val="20"/>
          <w:color w:val="auto"/>
        </w:rPr>
      </w:pPr>
      <w:r>
        <w:rPr>
          <w:rFonts w:ascii="Arial" w:cs="Arial" w:eastAsia="Arial" w:hAnsi="Arial"/>
          <w:sz w:val="12"/>
          <w:szCs w:val="12"/>
          <w:b w:val="1"/>
          <w:bCs w:val="1"/>
          <w:color w:val="auto"/>
        </w:rPr>
        <w:t>QUE THANH DALLARA (H224899)</w:t>
      </w:r>
      <w:r>
        <w:rPr>
          <w:sz w:val="20"/>
          <w:szCs w:val="20"/>
          <w:color w:val="auto"/>
        </w:rPr>
        <w:tab/>
      </w:r>
      <w:r>
        <w:rPr>
          <w:rFonts w:ascii="Arial" w:cs="Arial" w:eastAsia="Arial" w:hAnsi="Arial"/>
          <w:sz w:val="10"/>
          <w:szCs w:val="10"/>
          <w:color w:val="auto"/>
        </w:rPr>
        <w:t>Date 22-Feb-2019</w:t>
      </w:r>
    </w:p>
    <w:p>
      <w:pPr>
        <w:sectPr>
          <w:pgSz w:w="11900" w:h="16838" w:orient="portrait"/>
          <w:cols w:equalWidth="0" w:num="1">
            <w:col w:w="11308"/>
          </w:cols>
          <w:pgMar w:left="292" w:top="984" w:right="299" w:bottom="1440" w:gutter="0" w:footer="0" w:header="0"/>
        </w:sectPr>
      </w:pPr>
    </w:p>
    <w:bookmarkStart w:id="179" w:name="page180"/>
    <w:bookmarkEnd w:id="179"/>
    <w:p>
      <w:pPr>
        <w:jc w:val="center"/>
        <w:ind w:right="40"/>
        <w:spacing w:after="0"/>
        <w:rPr>
          <w:sz w:val="20"/>
          <w:szCs w:val="20"/>
          <w:color w:val="auto"/>
        </w:rPr>
      </w:pPr>
      <w:r>
        <w:rPr>
          <w:rFonts w:ascii="Arial" w:cs="Arial" w:eastAsia="Arial" w:hAnsi="Arial"/>
          <w:sz w:val="14"/>
          <w:szCs w:val="14"/>
          <w:b w:val="1"/>
          <w:bCs w:val="1"/>
          <w:color w:val="auto"/>
        </w:rPr>
        <w:t>SCHEDULE A</w:t>
      </w:r>
    </w:p>
    <w:p>
      <w:pPr>
        <w:spacing w:after="0" w:line="315" w:lineRule="exact"/>
        <w:rPr>
          <w:sz w:val="20"/>
          <w:szCs w:val="20"/>
          <w:color w:val="auto"/>
        </w:rPr>
      </w:pPr>
    </w:p>
    <w:p>
      <w:pPr>
        <w:ind w:right="40"/>
        <w:spacing w:after="0" w:line="234" w:lineRule="auto"/>
        <w:rPr>
          <w:sz w:val="20"/>
          <w:szCs w:val="20"/>
          <w:color w:val="auto"/>
        </w:rPr>
      </w:pPr>
      <w:r>
        <w:rPr>
          <w:rFonts w:ascii="Arial" w:cs="Arial" w:eastAsia="Arial" w:hAnsi="Arial"/>
          <w:sz w:val="13"/>
          <w:szCs w:val="13"/>
          <w:color w:val="auto"/>
        </w:rPr>
        <w:t>HAVE YOU MADE ANY INVENTIONS BEFORE THE TERM OF YOUR EMPLOYMENT WITH HONEYWELL, IN WHICH YOU HAVE AN OWNERSHIP INTEREST AND WHICH ARE NOT THE SUBJECT MATTER OF ISSUED PATENTS OR PRINTED PUBLICATIONS?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(If there are none, please enter the word “NONE”)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NOTE: Please describe each such Invention without disclosing trade secrets, proprietary or confidential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NONE</w:t>
      </w: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w:t>
      </w:r>
    </w:p>
    <w:p>
      <w:pPr>
        <w:spacing w:after="0"/>
        <w:rPr>
          <w:sz w:val="20"/>
          <w:szCs w:val="20"/>
          <w:color w:val="auto"/>
        </w:rPr>
      </w:pPr>
      <w:r>
        <w:rPr>
          <w:rFonts w:ascii="Arial" w:cs="Arial" w:eastAsia="Arial" w:hAnsi="Arial"/>
          <w:sz w:val="13"/>
          <w:szCs w:val="13"/>
          <w:color w:val="auto"/>
        </w:rPr>
        <w:t>[Attach additional sheets if more space is needed.]</w:t>
      </w:r>
    </w:p>
    <w:p>
      <w:pPr>
        <w:sectPr>
          <w:pgSz w:w="11900" w:h="16838" w:orient="portrait"/>
          <w:cols w:equalWidth="0" w:num="1">
            <w:col w:w="11340"/>
          </w:cols>
          <w:pgMar w:left="300" w:top="976" w:right="259" w:bottom="1440" w:gutter="0" w:footer="0" w:header="0"/>
        </w:sectPr>
      </w:pPr>
    </w:p>
    <w:bookmarkStart w:id="180" w:name="page181"/>
    <w:bookmarkEnd w:id="180"/>
    <w:p>
      <w:pPr>
        <w:jc w:val="center"/>
        <w:ind w:right="60"/>
        <w:spacing w:after="0"/>
        <w:rPr>
          <w:sz w:val="20"/>
          <w:szCs w:val="20"/>
          <w:color w:val="auto"/>
        </w:rPr>
      </w:pPr>
      <w:r>
        <w:rPr>
          <w:rFonts w:ascii="Arial" w:cs="Arial" w:eastAsia="Arial" w:hAnsi="Arial"/>
          <w:sz w:val="13"/>
          <w:szCs w:val="13"/>
          <w:b w:val="1"/>
          <w:bCs w:val="1"/>
          <w:color w:val="auto"/>
        </w:rPr>
        <w:t>SCHEDULE B</w:t>
      </w:r>
    </w:p>
    <w:p>
      <w:pPr>
        <w:spacing w:after="0" w:line="305" w:lineRule="exact"/>
        <w:rPr>
          <w:sz w:val="20"/>
          <w:szCs w:val="20"/>
          <w:color w:val="auto"/>
        </w:rPr>
      </w:pPr>
    </w:p>
    <w:p>
      <w:pPr>
        <w:ind w:left="420" w:right="380" w:hanging="431"/>
        <w:spacing w:after="0" w:line="462" w:lineRule="auto"/>
        <w:rPr>
          <w:sz w:val="20"/>
          <w:szCs w:val="20"/>
          <w:color w:val="auto"/>
        </w:rPr>
      </w:pPr>
      <w:r>
        <w:rPr>
          <w:rFonts w:ascii="Arial" w:cs="Arial" w:eastAsia="Arial" w:hAnsi="Arial"/>
          <w:sz w:val="13"/>
          <w:szCs w:val="13"/>
          <w:color w:val="auto"/>
        </w:rPr>
        <w:t>DO YOU HAVE ANY PRIOR OBLIGATIONS (WRITTEN OR ORAL) WHICH WOULD RESTRICT YOUR ABILITY TO PERFORM THE DUTIES OF YOUR EMPLOYMENT WITH HONEYWELL? (If there are none, please enter the word “NONE”)</w:t>
      </w:r>
    </w:p>
    <w:p>
      <w:pPr>
        <w:spacing w:after="0" w:line="219" w:lineRule="auto"/>
        <w:rPr>
          <w:sz w:val="20"/>
          <w:szCs w:val="20"/>
          <w:color w:val="auto"/>
        </w:rPr>
      </w:pPr>
      <w:r>
        <w:rPr>
          <w:rFonts w:ascii="Arial" w:cs="Arial" w:eastAsia="Arial" w:hAnsi="Arial"/>
          <w:sz w:val="13"/>
          <w:szCs w:val="13"/>
          <w:color w:val="auto"/>
        </w:rPr>
        <w:t>NOTE: Please give date of, and parties to, obligations and the nature and substance of the restriction.</w:t>
      </w: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w:t>
      </w:r>
      <w:r>
        <w:rPr>
          <w:rFonts w:ascii="Arial" w:cs="Arial" w:eastAsia="Arial" w:hAnsi="Arial"/>
          <w:sz w:val="11"/>
          <w:szCs w:val="11"/>
          <w:b w:val="1"/>
          <w:bCs w:val="1"/>
          <w:u w:val="single" w:color="auto"/>
          <w:color w:val="auto"/>
        </w:rPr>
        <w:t>NONE</w:t>
      </w:r>
      <w:r>
        <w:rPr>
          <w:rFonts w:ascii="Arial" w:cs="Arial" w:eastAsia="Arial" w:hAnsi="Arial"/>
          <w:sz w:val="11"/>
          <w:szCs w:val="11"/>
          <w:color w:val="auto"/>
        </w:rPr>
        <w:t>_____________________________________________________________________________</w:t>
      </w:r>
    </w:p>
    <w:p>
      <w:pPr>
        <w:spacing w:after="0"/>
        <w:rPr>
          <w:sz w:val="20"/>
          <w:szCs w:val="20"/>
          <w:color w:val="auto"/>
        </w:rPr>
      </w:pPr>
      <w:r>
        <w:rPr>
          <w:rFonts w:ascii="Arial" w:cs="Arial" w:eastAsia="Arial" w:hAnsi="Arial"/>
          <w:sz w:val="13"/>
          <w:szCs w:val="13"/>
          <w:color w:val="auto"/>
        </w:rPr>
        <w:t>[Attach additional sheets if more space is needed.]</w:t>
      </w:r>
    </w:p>
    <w:p>
      <w:pPr>
        <w:sectPr>
          <w:pgSz w:w="11900" w:h="16838" w:orient="portrait"/>
          <w:cols w:equalWidth="0" w:num="1">
            <w:col w:w="11360"/>
          </w:cols>
          <w:pgMar w:left="300" w:top="980"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5260" w:type="dxa"/>
            <w:vAlign w:val="bottom"/>
            <w:vMerge w:val="restart"/>
          </w:tcPr>
          <w:p>
            <w:pPr>
              <w:jc w:val="center"/>
              <w:ind w:right="2020"/>
              <w:spacing w:after="0"/>
              <w:rPr>
                <w:sz w:val="20"/>
                <w:szCs w:val="20"/>
                <w:color w:val="auto"/>
              </w:rPr>
            </w:pPr>
            <w:r>
              <w:rPr>
                <w:rFonts w:ascii="Arial" w:cs="Arial" w:eastAsia="Arial" w:hAnsi="Arial"/>
                <w:sz w:val="16"/>
                <w:szCs w:val="16"/>
                <w:b w:val="1"/>
                <w:bCs w:val="1"/>
                <w:color w:val="auto"/>
                <w:w w:val="97"/>
              </w:rPr>
              <w:t>HONEYWELL INTERNATIONAL INC.</w:t>
            </w:r>
          </w:p>
        </w:tc>
        <w:tc>
          <w:tcPr>
            <w:tcW w:w="1980" w:type="dxa"/>
            <w:vAlign w:val="bottom"/>
            <w:gridSpan w:val="2"/>
          </w:tcPr>
          <w:p>
            <w:pPr>
              <w:ind w:left="1280"/>
              <w:spacing w:after="0"/>
              <w:rPr>
                <w:sz w:val="20"/>
                <w:szCs w:val="20"/>
                <w:color w:val="auto"/>
              </w:rPr>
            </w:pPr>
            <w:r>
              <w:rPr>
                <w:rFonts w:ascii="Arial" w:cs="Arial" w:eastAsia="Arial" w:hAnsi="Arial"/>
                <w:sz w:val="13"/>
                <w:szCs w:val="13"/>
                <w:b w:val="1"/>
                <w:bCs w:val="1"/>
                <w:color w:val="auto"/>
                <w:w w:val="97"/>
              </w:rPr>
              <w:t>EXHIBIT 21</w:t>
            </w: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526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5260" w:type="dxa"/>
            <w:vAlign w:val="bottom"/>
          </w:tcPr>
          <w:p>
            <w:pPr>
              <w:jc w:val="center"/>
              <w:ind w:right="2040"/>
              <w:spacing w:after="0"/>
              <w:rPr>
                <w:sz w:val="20"/>
                <w:szCs w:val="20"/>
                <w:color w:val="auto"/>
              </w:rPr>
            </w:pPr>
            <w:r>
              <w:rPr>
                <w:rFonts w:ascii="Arial" w:cs="Arial" w:eastAsia="Arial" w:hAnsi="Arial"/>
                <w:sz w:val="13"/>
                <w:szCs w:val="13"/>
                <w:b w:val="1"/>
                <w:bCs w:val="1"/>
                <w:color w:val="auto"/>
              </w:rPr>
              <w:t>SUBSIDIARIES OF THE REGISTRANT</w:t>
            </w: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60" w:type="dxa"/>
            <w:vAlign w:val="bottom"/>
            <w:vMerge w:val="restart"/>
          </w:tcPr>
          <w:p>
            <w:pPr>
              <w:ind w:left="3540"/>
              <w:spacing w:after="0"/>
              <w:rPr>
                <w:sz w:val="20"/>
                <w:szCs w:val="20"/>
                <w:color w:val="auto"/>
              </w:rPr>
            </w:pPr>
            <w:r>
              <w:rPr>
                <w:rFonts w:ascii="Arial" w:cs="Arial" w:eastAsia="Arial" w:hAnsi="Arial"/>
                <w:sz w:val="10"/>
                <w:szCs w:val="10"/>
                <w:b w:val="1"/>
                <w:bCs w:val="1"/>
                <w:color w:val="auto"/>
              </w:rPr>
              <w:t>Name</w:t>
            </w:r>
          </w:p>
        </w:tc>
        <w:tc>
          <w:tcPr>
            <w:tcW w:w="5260" w:type="dxa"/>
            <w:vAlign w:val="bottom"/>
          </w:tcPr>
          <w:p>
            <w:pPr>
              <w:jc w:val="center"/>
              <w:ind w:left="3040"/>
              <w:spacing w:after="0"/>
              <w:rPr>
                <w:sz w:val="20"/>
                <w:szCs w:val="20"/>
                <w:color w:val="auto"/>
              </w:rPr>
            </w:pPr>
            <w:r>
              <w:rPr>
                <w:rFonts w:ascii="Arial" w:cs="Arial" w:eastAsia="Arial" w:hAnsi="Arial"/>
                <w:sz w:val="10"/>
                <w:szCs w:val="10"/>
                <w:b w:val="1"/>
                <w:bCs w:val="1"/>
                <w:color w:val="auto"/>
                <w:w w:val="96"/>
              </w:rPr>
              <w:t>Country or State</w:t>
            </w:r>
          </w:p>
        </w:tc>
        <w:tc>
          <w:tcPr>
            <w:tcW w:w="1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Percent</w:t>
            </w:r>
          </w:p>
        </w:tc>
        <w:tc>
          <w:tcPr>
            <w:tcW w:w="0" w:type="dxa"/>
            <w:vAlign w:val="bottom"/>
          </w:tcPr>
          <w:p>
            <w:pPr>
              <w:spacing w:after="0"/>
              <w:rPr>
                <w:sz w:val="1"/>
                <w:szCs w:val="1"/>
                <w:color w:val="auto"/>
              </w:rPr>
            </w:pPr>
          </w:p>
        </w:tc>
      </w:tr>
      <w:tr>
        <w:trPr>
          <w:trHeight w:val="117"/>
        </w:trPr>
        <w:tc>
          <w:tcPr>
            <w:tcW w:w="4060" w:type="dxa"/>
            <w:vAlign w:val="bottom"/>
            <w:vMerge w:val="continue"/>
          </w:tcPr>
          <w:p>
            <w:pPr>
              <w:spacing w:after="0"/>
              <w:rPr>
                <w:sz w:val="10"/>
                <w:szCs w:val="10"/>
                <w:color w:val="auto"/>
              </w:rPr>
            </w:pPr>
          </w:p>
        </w:tc>
        <w:tc>
          <w:tcPr>
            <w:tcW w:w="5260" w:type="dxa"/>
            <w:vAlign w:val="bottom"/>
          </w:tcPr>
          <w:p>
            <w:pPr>
              <w:jc w:val="center"/>
              <w:ind w:left="3040"/>
              <w:spacing w:after="0"/>
              <w:rPr>
                <w:sz w:val="20"/>
                <w:szCs w:val="20"/>
                <w:color w:val="auto"/>
              </w:rPr>
            </w:pPr>
            <w:r>
              <w:rPr>
                <w:rFonts w:ascii="Arial" w:cs="Arial" w:eastAsia="Arial" w:hAnsi="Arial"/>
                <w:sz w:val="10"/>
                <w:szCs w:val="10"/>
                <w:b w:val="1"/>
                <w:bCs w:val="1"/>
                <w:color w:val="auto"/>
                <w:w w:val="93"/>
              </w:rPr>
              <w:t>of Incorporation</w:t>
            </w:r>
          </w:p>
        </w:tc>
        <w:tc>
          <w:tcPr>
            <w:tcW w:w="1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Ownership</w:t>
            </w:r>
          </w:p>
        </w:tc>
        <w:tc>
          <w:tcPr>
            <w:tcW w:w="0" w:type="dxa"/>
            <w:vAlign w:val="bottom"/>
          </w:tcPr>
          <w:p>
            <w:pPr>
              <w:spacing w:after="0"/>
              <w:rPr>
                <w:sz w:val="1"/>
                <w:szCs w:val="1"/>
                <w:color w:val="auto"/>
              </w:rPr>
            </w:pPr>
          </w:p>
        </w:tc>
      </w:tr>
      <w:tr>
        <w:trPr>
          <w:trHeight w:val="142"/>
        </w:trPr>
        <w:tc>
          <w:tcPr>
            <w:tcW w:w="4060" w:type="dxa"/>
            <w:vAlign w:val="bottom"/>
            <w:tcBorders>
              <w:top w:val="single" w:sz="8" w:color="DC202E"/>
              <w:bottom w:val="single" w:sz="8" w:color="888B8D"/>
            </w:tcBorders>
          </w:tcPr>
          <w:p>
            <w:pPr>
              <w:ind w:left="20"/>
              <w:spacing w:after="0"/>
              <w:rPr>
                <w:sz w:val="20"/>
                <w:szCs w:val="20"/>
                <w:color w:val="auto"/>
              </w:rPr>
            </w:pPr>
            <w:r>
              <w:rPr>
                <w:rFonts w:ascii="Arial" w:cs="Arial" w:eastAsia="Arial" w:hAnsi="Arial"/>
                <w:sz w:val="12"/>
                <w:szCs w:val="12"/>
                <w:color w:val="auto"/>
              </w:rPr>
              <w:t>AlliedSignal Aerospace Service LLC</w:t>
            </w:r>
          </w:p>
        </w:tc>
        <w:tc>
          <w:tcPr>
            <w:tcW w:w="5260" w:type="dxa"/>
            <w:vAlign w:val="bottom"/>
            <w:tcBorders>
              <w:top w:val="single" w:sz="8" w:color="DC202E"/>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top w:val="single" w:sz="8" w:color="DC202E"/>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BW Technologies Partnership</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Canada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BWXT Pantex, LLC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9"/>
              </w:rPr>
              <w:t>United States</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41 %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COM DEV Ltd.</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Canada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ConverDyn</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American Meter Company, LLC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GmbH</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Group GmbH</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s.r.o.</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6"/>
              </w:rPr>
              <w:t>Slovakia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Solutions, LLC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EMS Technologies Canada, Ltd.</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Canada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Grimes Aerospace Company</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Hand Held Products, Inc.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(China) Co., Ltd.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Avionics Malaysia Sdn Bhd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Malaysia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de México, S. de R.L. de C.V.</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Mexico</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De Puerto Rico, Inc.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Puerto Rico</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UK</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Aircraft Leasing LLC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Analytics Asia Pacific Co Ltd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9"/>
              </w:rPr>
              <w:t>Korea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Control Solutions (China) Co Ltd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India Limited</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India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75 %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Avionics (Shanghai) Co., Ltd.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Co., Ltd.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9"/>
              </w:rPr>
              <w:t>Korea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Control Systems Limited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Deutschland Holding GmbH</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Chemicals LLC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(Thailand) Co., Ltd.</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Thailand</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Manufacturing, LLC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Washington</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Energy Services Inc.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Europe NV</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Belgium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Federal Manufacturing &amp; Technologies, LLC</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Finance Ontario LP</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Canada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Fluorine Products Europe B.V.</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8"/>
              </w:rPr>
              <w:t>Netherlands</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Holdings International Inc.</w:t>
            </w:r>
          </w:p>
        </w:tc>
        <w:tc>
          <w:tcPr>
            <w:tcW w:w="5260" w:type="dxa"/>
            <w:vAlign w:val="bottom"/>
            <w:tcBorders>
              <w:bottom w:val="single" w:sz="8" w:color="888B8D"/>
            </w:tcBorders>
          </w:tcPr>
          <w:p>
            <w:pPr>
              <w:jc w:val="center"/>
              <w:ind w:left="3020"/>
              <w:spacing w:after="0"/>
              <w:rPr>
                <w:sz w:val="20"/>
                <w:szCs w:val="20"/>
                <w:color w:val="auto"/>
              </w:rPr>
            </w:pPr>
            <w:r>
              <w:rPr>
                <w:rFonts w:ascii="Arial" w:cs="Arial" w:eastAsia="Arial" w:hAnsi="Arial"/>
                <w:sz w:val="12"/>
                <w:szCs w:val="12"/>
                <w:color w:val="auto"/>
                <w:w w:val="98"/>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(India) Private Limited</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India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Sàrl</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Switzerland</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Sdn. Bhd.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Malaysia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UK Limited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Japan Ltd.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w w:val="97"/>
              </w:rPr>
              <w:t>Japan</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w:t>
            </w:r>
          </w:p>
        </w:tc>
        <w:tc>
          <w:tcPr>
            <w:tcW w:w="5260" w:type="dxa"/>
            <w:vAlign w:val="bottom"/>
            <w:tcBorders>
              <w:bottom w:val="single" w:sz="8" w:color="888B8D"/>
            </w:tcBorders>
          </w:tcPr>
          <w:p>
            <w:pPr>
              <w:jc w:val="center"/>
              <w:ind w:left="3040"/>
              <w:spacing w:after="0"/>
              <w:rPr>
                <w:sz w:val="20"/>
                <w:szCs w:val="20"/>
                <w:color w:val="auto"/>
              </w:rPr>
            </w:pPr>
            <w:r>
              <w:rPr>
                <w:rFonts w:ascii="Arial" w:cs="Arial" w:eastAsia="Arial" w:hAnsi="Arial"/>
                <w:sz w:val="12"/>
                <w:szCs w:val="12"/>
                <w:color w:val="auto"/>
              </w:rPr>
              <w:t>Australia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 / Honeywell Limitée</w:t>
            </w:r>
          </w:p>
        </w:tc>
        <w:tc>
          <w:tcPr>
            <w:tcW w:w="5260" w:type="dxa"/>
            <w:vAlign w:val="bottom"/>
            <w:tcBorders>
              <w:bottom w:val="single" w:sz="8" w:color="888B8D"/>
            </w:tcBorders>
          </w:tcPr>
          <w:p>
            <w:pPr>
              <w:jc w:val="center"/>
              <w:ind w:left="3060"/>
              <w:spacing w:after="0"/>
              <w:rPr>
                <w:sz w:val="20"/>
                <w:szCs w:val="20"/>
                <w:color w:val="auto"/>
              </w:rPr>
            </w:pPr>
            <w:r>
              <w:rPr>
                <w:rFonts w:ascii="Arial" w:cs="Arial" w:eastAsia="Arial" w:hAnsi="Arial"/>
                <w:sz w:val="12"/>
                <w:szCs w:val="12"/>
                <w:color w:val="auto"/>
                <w:w w:val="99"/>
              </w:rPr>
              <w:t>Canada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34" w:right="29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Borders>
              <w:top w:val="single" w:sz="8" w:color="888B8D"/>
              <w:bottom w:val="single" w:sz="8" w:color="888B8D"/>
            </w:tcBorders>
          </w:tcPr>
          <w:p>
            <w:pPr>
              <w:ind w:left="20"/>
              <w:spacing w:after="0"/>
              <w:rPr>
                <w:sz w:val="20"/>
                <w:szCs w:val="20"/>
                <w:color w:val="auto"/>
              </w:rPr>
            </w:pPr>
            <w:r>
              <w:rPr>
                <w:rFonts w:ascii="Arial" w:cs="Arial" w:eastAsia="Arial" w:hAnsi="Arial"/>
                <w:sz w:val="12"/>
                <w:szCs w:val="12"/>
                <w:color w:val="auto"/>
              </w:rPr>
              <w:t>Honeywell NV</w:t>
            </w:r>
          </w:p>
        </w:tc>
        <w:tc>
          <w:tcPr>
            <w:tcW w:w="4100" w:type="dxa"/>
            <w:vAlign w:val="bottom"/>
            <w:tcBorders>
              <w:top w:val="single" w:sz="8" w:color="888B8D"/>
              <w:bottom w:val="single" w:sz="8" w:color="888B8D"/>
            </w:tcBorders>
          </w:tcPr>
          <w:p>
            <w:pPr>
              <w:jc w:val="center"/>
              <w:ind w:left="920"/>
              <w:spacing w:after="0"/>
              <w:rPr>
                <w:sz w:val="20"/>
                <w:szCs w:val="20"/>
                <w:color w:val="auto"/>
              </w:rPr>
            </w:pPr>
            <w:r>
              <w:rPr>
                <w:rFonts w:ascii="Arial" w:cs="Arial" w:eastAsia="Arial" w:hAnsi="Arial"/>
                <w:sz w:val="12"/>
                <w:szCs w:val="12"/>
                <w:color w:val="auto"/>
              </w:rPr>
              <w:t>Belgium</w:t>
            </w:r>
          </w:p>
        </w:tc>
        <w:tc>
          <w:tcPr>
            <w:tcW w:w="1480" w:type="dxa"/>
            <w:vAlign w:val="bottom"/>
            <w:tcBorders>
              <w:top w:val="single" w:sz="8" w:color="888B8D"/>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Performance Materials and Technologies (China) Co Ltd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China</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Safety Products USA, Inc.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Specialty Chemicals Seelze GmbH</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7"/>
              </w:rPr>
              <w:t>Germany</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Technology Solutions Lab Pvt. Ltd.</w:t>
            </w:r>
          </w:p>
        </w:tc>
        <w:tc>
          <w:tcPr>
            <w:tcW w:w="4100" w:type="dxa"/>
            <w:vAlign w:val="bottom"/>
            <w:tcBorders>
              <w:bottom w:val="single" w:sz="8" w:color="888B8D"/>
            </w:tcBorders>
          </w:tcPr>
          <w:p>
            <w:pPr>
              <w:jc w:val="center"/>
              <w:ind w:left="940"/>
              <w:spacing w:after="0"/>
              <w:rPr>
                <w:sz w:val="20"/>
                <w:szCs w:val="20"/>
                <w:color w:val="auto"/>
              </w:rPr>
            </w:pPr>
            <w:r>
              <w:rPr>
                <w:rFonts w:ascii="Arial" w:cs="Arial" w:eastAsia="Arial" w:hAnsi="Arial"/>
                <w:sz w:val="12"/>
                <w:szCs w:val="12"/>
                <w:color w:val="auto"/>
                <w:w w:val="99"/>
              </w:rPr>
              <w:t>India</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Trading (Shanghai) Co., Ltd.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China</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UK Limited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8"/>
              </w:rPr>
              <w:t>United Kingdom</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Headquarters,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Systems, Inc.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Systems,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Intermec Technologies (S) Pte Ltd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Singapore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International Turbine Engine Company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51 %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KAC Alarm Company Limited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8"/>
              </w:rPr>
              <w:t>United Kingdom</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Life Safety Distribution GmbH</w:t>
            </w:r>
          </w:p>
        </w:tc>
        <w:tc>
          <w:tcPr>
            <w:tcW w:w="4100" w:type="dxa"/>
            <w:vAlign w:val="bottom"/>
            <w:tcBorders>
              <w:bottom w:val="single" w:sz="8" w:color="888B8D"/>
            </w:tcBorders>
          </w:tcPr>
          <w:p>
            <w:pPr>
              <w:jc w:val="center"/>
              <w:ind w:left="940"/>
              <w:spacing w:after="0"/>
              <w:rPr>
                <w:sz w:val="20"/>
                <w:szCs w:val="20"/>
                <w:color w:val="auto"/>
              </w:rPr>
            </w:pPr>
            <w:r>
              <w:rPr>
                <w:rFonts w:ascii="Arial" w:cs="Arial" w:eastAsia="Arial" w:hAnsi="Arial"/>
                <w:sz w:val="12"/>
                <w:szCs w:val="12"/>
                <w:color w:val="auto"/>
                <w:w w:val="99"/>
              </w:rPr>
              <w:t>Switzerland</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Maxon Corporation</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Indiana</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Morning Pride Manufacturing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ED&amp;S Limited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8"/>
              </w:rPr>
              <w:t>United Kingdom</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GmbH</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7"/>
              </w:rPr>
              <w:t>Germany</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Systems Limited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8"/>
              </w:rPr>
              <w:t>United Kingdom</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Salisbury Electrical Safety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Sperian Protection SAS</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6"/>
              </w:rPr>
              <w:t>France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Transnorm System Inc.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Tridium, Inc.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United Sortation Solutions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7"/>
              </w:rPr>
              <w:t>Maryland</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CH Sàrl</w:t>
            </w:r>
          </w:p>
        </w:tc>
        <w:tc>
          <w:tcPr>
            <w:tcW w:w="4100" w:type="dxa"/>
            <w:vAlign w:val="bottom"/>
            <w:tcBorders>
              <w:bottom w:val="single" w:sz="8" w:color="888B8D"/>
            </w:tcBorders>
          </w:tcPr>
          <w:p>
            <w:pPr>
              <w:jc w:val="center"/>
              <w:ind w:left="940"/>
              <w:spacing w:after="0"/>
              <w:rPr>
                <w:sz w:val="20"/>
                <w:szCs w:val="20"/>
                <w:color w:val="auto"/>
              </w:rPr>
            </w:pPr>
            <w:r>
              <w:rPr>
                <w:rFonts w:ascii="Arial" w:cs="Arial" w:eastAsia="Arial" w:hAnsi="Arial"/>
                <w:sz w:val="12"/>
                <w:szCs w:val="12"/>
                <w:color w:val="auto"/>
                <w:w w:val="99"/>
              </w:rPr>
              <w:t>Switzerland</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Limited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8"/>
              </w:rPr>
              <w:t>United Kingdom</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Process Technology Co., Ltd.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China</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Products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Russell LLC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Delaware</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Services Limited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w w:val="98"/>
              </w:rPr>
              <w:t>United Kingdom</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Vocollect, Inc.</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Pennsylvania</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r>
      <w:tr>
        <w:trPr>
          <w:trHeight w:val="142"/>
        </w:trPr>
        <w:tc>
          <w:tcPr>
            <w:tcW w:w="570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Xian System Sensor Electronics Ltd.</w:t>
            </w:r>
          </w:p>
        </w:tc>
        <w:tc>
          <w:tcPr>
            <w:tcW w:w="4100" w:type="dxa"/>
            <w:vAlign w:val="bottom"/>
            <w:tcBorders>
              <w:bottom w:val="single" w:sz="8" w:color="888B8D"/>
            </w:tcBorders>
          </w:tcPr>
          <w:p>
            <w:pPr>
              <w:jc w:val="center"/>
              <w:ind w:left="920"/>
              <w:spacing w:after="0"/>
              <w:rPr>
                <w:sz w:val="20"/>
                <w:szCs w:val="20"/>
                <w:color w:val="auto"/>
              </w:rPr>
            </w:pPr>
            <w:r>
              <w:rPr>
                <w:rFonts w:ascii="Arial" w:cs="Arial" w:eastAsia="Arial" w:hAnsi="Arial"/>
                <w:sz w:val="12"/>
                <w:szCs w:val="12"/>
                <w:color w:val="auto"/>
              </w:rPr>
              <w:t>China</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60 %</w:t>
            </w:r>
          </w:p>
        </w:tc>
      </w:tr>
    </w:tbl>
    <w:p>
      <w:pPr>
        <w:sectPr>
          <w:pgSz w:w="11900" w:h="16838" w:orient="portrait"/>
          <w:cols w:equalWidth="0" w:num="1">
            <w:col w:w="11280"/>
          </w:cols>
          <w:pgMar w:left="300" w:top="651" w:right="3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3"/>
          <w:szCs w:val="13"/>
          <w:b w:val="1"/>
          <w:bCs w:val="1"/>
          <w:color w:val="auto"/>
        </w:rPr>
        <w:t>EXHIBIT 23.1</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consent to the incorporation by reference in Registration Statement Nos. 033-55425, 333-22355, 333-101455 and 333-260437 on Form S-3 and Registration Statement Nos. 033-58347, 333-49280, 333-136083, 333-136086, 333-146932, 333-148995, 333-175260, 333-195331, 333-210889, 333-210899 and 333-228733 on Form S-8 of our report dated February 11, 2022, relating to the consolidated financial statements of Honeywell International Inc. and subsidiaries and the effectiveness of the Honeywell International Inc. and subsidiaries’ internal control over financial reporting, appearing in this Annual Report on Form 10-K of Honeywell International Inc. 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Charlotte, North Carolina</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February 11, 2022</w:t>
      </w:r>
    </w:p>
    <w:p>
      <w:pPr>
        <w:sectPr>
          <w:pgSz w:w="11900" w:h="16838" w:orient="portrait"/>
          <w:cols w:equalWidth="0" w:num="1">
            <w:col w:w="11300"/>
          </w:cols>
          <w:pgMar w:left="300" w:top="638" w:right="299" w:bottom="1440" w:gutter="0" w:footer="0" w:header="0"/>
        </w:sectPr>
      </w:pPr>
    </w:p>
    <w:bookmarkStart w:id="184" w:name="page185"/>
    <w:bookmarkEnd w:id="184"/>
    <w:p>
      <w:pPr>
        <w:jc w:val="right"/>
        <w:spacing w:after="0"/>
        <w:rPr>
          <w:sz w:val="20"/>
          <w:szCs w:val="20"/>
          <w:color w:val="auto"/>
        </w:rPr>
      </w:pPr>
      <w:r>
        <w:rPr>
          <w:rFonts w:ascii="Arial" w:cs="Arial" w:eastAsia="Arial" w:hAnsi="Arial"/>
          <w:sz w:val="14"/>
          <w:szCs w:val="14"/>
          <w:color w:val="auto"/>
        </w:rPr>
        <w:t>EXHIBIT 24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POWER OF ATTORNEY</w:t>
      </w:r>
    </w:p>
    <w:p>
      <w:pPr>
        <w:spacing w:after="0" w:line="142" w:lineRule="exact"/>
        <w:rPr>
          <w:sz w:val="20"/>
          <w:szCs w:val="20"/>
          <w:color w:val="auto"/>
        </w:rPr>
      </w:pPr>
    </w:p>
    <w:p>
      <w:pPr>
        <w:ind w:right="20" w:firstLine="144"/>
        <w:spacing w:after="0" w:line="233" w:lineRule="auto"/>
        <w:rPr>
          <w:sz w:val="20"/>
          <w:szCs w:val="20"/>
          <w:color w:val="auto"/>
        </w:rPr>
      </w:pPr>
      <w:r>
        <w:rPr>
          <w:rFonts w:ascii="Arial" w:cs="Arial" w:eastAsia="Arial" w:hAnsi="Arial"/>
          <w:sz w:val="14"/>
          <w:szCs w:val="14"/>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and agent for me and in my name, place and stead in any and all capacities,</w:t>
      </w:r>
    </w:p>
    <w:p>
      <w:pPr>
        <w:spacing w:after="0" w:line="125" w:lineRule="exact"/>
        <w:rPr>
          <w:sz w:val="20"/>
          <w:szCs w:val="20"/>
          <w:color w:val="auto"/>
        </w:rPr>
      </w:pPr>
    </w:p>
    <w:p>
      <w:pPr>
        <w:ind w:left="840" w:hanging="416"/>
        <w:spacing w:after="0"/>
        <w:tabs>
          <w:tab w:leader="none" w:pos="8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to sign the Company’s Annual Report on Form 10-K under the Securities Exchange Act of 1934 for the year ended December 31, 2021,</w:t>
      </w:r>
    </w:p>
    <w:p>
      <w:pPr>
        <w:spacing w:after="0" w:line="145" w:lineRule="exact"/>
        <w:rPr>
          <w:rFonts w:ascii="Arial" w:cs="Arial" w:eastAsia="Arial" w:hAnsi="Arial"/>
          <w:sz w:val="14"/>
          <w:szCs w:val="14"/>
          <w:color w:val="auto"/>
        </w:rPr>
      </w:pPr>
    </w:p>
    <w:p>
      <w:pPr>
        <w:ind w:left="860" w:hanging="436"/>
        <w:spacing w:after="0"/>
        <w:tabs>
          <w:tab w:leader="none" w:pos="86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to sign any amendment to the Annual Report referred to in (i) above, or to any previously filed Annual Report on Form 10-K for any prior fiscal year, and</w:t>
      </w:r>
    </w:p>
    <w:p>
      <w:pPr>
        <w:spacing w:after="0" w:line="145" w:lineRule="exact"/>
        <w:rPr>
          <w:rFonts w:ascii="Arial" w:cs="Arial" w:eastAsia="Arial" w:hAnsi="Arial"/>
          <w:sz w:val="14"/>
          <w:szCs w:val="14"/>
          <w:color w:val="auto"/>
        </w:rPr>
      </w:pPr>
    </w:p>
    <w:p>
      <w:pPr>
        <w:ind w:left="860" w:hanging="436"/>
        <w:spacing w:after="0"/>
        <w:tabs>
          <w:tab w:leader="none" w:pos="86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to file the documents described in (i) and (ii) above and all exhibits thereto and any and all other documents in connection therewith,</w:t>
      </w:r>
    </w:p>
    <w:p>
      <w:pPr>
        <w:spacing w:after="0" w:line="145"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25" w:lineRule="exact"/>
        <w:rPr>
          <w:sz w:val="20"/>
          <w:szCs w:val="20"/>
          <w:color w:val="auto"/>
        </w:rPr>
      </w:pPr>
    </w:p>
    <w:p>
      <w:pPr>
        <w:ind w:right="560" w:firstLine="120"/>
        <w:spacing w:after="0" w:line="246" w:lineRule="auto"/>
        <w:rPr>
          <w:sz w:val="20"/>
          <w:szCs w:val="20"/>
          <w:color w:val="auto"/>
        </w:rPr>
      </w:pPr>
      <w:r>
        <w:rPr>
          <w:rFonts w:ascii="Arial" w:cs="Arial" w:eastAsia="Arial" w:hAnsi="Arial"/>
          <w:sz w:val="14"/>
          <w:szCs w:val="14"/>
          <w:color w:val="auto"/>
        </w:rPr>
        <w:t>This Power of Attorney may be signed in any number of counterparts, each of which shall be an original, with the same effect as if the signatures thereto and hereto were upon the same instrument.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December 10, 2021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William Ayer</w:t>
      </w:r>
    </w:p>
    <w:p>
      <w:pPr>
        <w:spacing w:after="0"/>
        <w:rPr>
          <w:sz w:val="20"/>
          <w:szCs w:val="20"/>
          <w:color w:val="auto"/>
        </w:rPr>
      </w:pPr>
      <w:r>
        <w:rPr>
          <w:rFonts w:ascii="Arial" w:cs="Arial" w:eastAsia="Arial" w:hAnsi="Arial"/>
          <w:sz w:val="14"/>
          <w:szCs w:val="14"/>
          <w:color w:val="auto"/>
        </w:rPr>
        <w:t>William Ayer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Duncan Angove</w:t>
      </w:r>
    </w:p>
    <w:p>
      <w:pPr>
        <w:spacing w:after="0"/>
        <w:rPr>
          <w:sz w:val="20"/>
          <w:szCs w:val="20"/>
          <w:color w:val="auto"/>
        </w:rPr>
      </w:pPr>
      <w:r>
        <w:rPr>
          <w:rFonts w:ascii="Arial" w:cs="Arial" w:eastAsia="Arial" w:hAnsi="Arial"/>
          <w:sz w:val="14"/>
          <w:szCs w:val="14"/>
          <w:color w:val="auto"/>
        </w:rPr>
        <w:t>Duncan Angove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Kevin Burke</w:t>
      </w:r>
    </w:p>
    <w:p>
      <w:pPr>
        <w:spacing w:after="0"/>
        <w:rPr>
          <w:sz w:val="20"/>
          <w:szCs w:val="20"/>
          <w:color w:val="auto"/>
        </w:rPr>
      </w:pPr>
      <w:r>
        <w:rPr>
          <w:rFonts w:ascii="Arial" w:cs="Arial" w:eastAsia="Arial" w:hAnsi="Arial"/>
          <w:sz w:val="14"/>
          <w:szCs w:val="14"/>
          <w:color w:val="auto"/>
        </w:rPr>
        <w:t>Kevin Burke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 Scott Davis</w:t>
      </w:r>
    </w:p>
    <w:p>
      <w:pPr>
        <w:spacing w:after="0"/>
        <w:rPr>
          <w:sz w:val="20"/>
          <w:szCs w:val="20"/>
          <w:color w:val="auto"/>
        </w:rPr>
      </w:pPr>
      <w:r>
        <w:rPr>
          <w:rFonts w:ascii="Arial" w:cs="Arial" w:eastAsia="Arial" w:hAnsi="Arial"/>
          <w:sz w:val="14"/>
          <w:szCs w:val="14"/>
          <w:color w:val="auto"/>
        </w:rPr>
        <w:t>D. Scott Davis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Deborah Flint</w:t>
      </w:r>
    </w:p>
    <w:p>
      <w:pPr>
        <w:spacing w:after="0"/>
        <w:rPr>
          <w:sz w:val="20"/>
          <w:szCs w:val="20"/>
          <w:color w:val="auto"/>
        </w:rPr>
      </w:pPr>
      <w:r>
        <w:rPr>
          <w:rFonts w:ascii="Arial" w:cs="Arial" w:eastAsia="Arial" w:hAnsi="Arial"/>
          <w:sz w:val="14"/>
          <w:szCs w:val="14"/>
          <w:color w:val="auto"/>
        </w:rPr>
        <w:t>Deborah Flint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Judd Gregg</w:t>
      </w:r>
    </w:p>
    <w:p>
      <w:pPr>
        <w:spacing w:after="0"/>
        <w:rPr>
          <w:sz w:val="20"/>
          <w:szCs w:val="20"/>
          <w:color w:val="auto"/>
        </w:rPr>
      </w:pPr>
      <w:r>
        <w:rPr>
          <w:rFonts w:ascii="Arial" w:cs="Arial" w:eastAsia="Arial" w:hAnsi="Arial"/>
          <w:sz w:val="14"/>
          <w:szCs w:val="14"/>
          <w:color w:val="auto"/>
        </w:rPr>
        <w:t>Judd Gregg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Grace Lieblein</w:t>
      </w:r>
    </w:p>
    <w:p>
      <w:pPr>
        <w:spacing w:after="0"/>
        <w:rPr>
          <w:sz w:val="20"/>
          <w:szCs w:val="20"/>
          <w:color w:val="auto"/>
        </w:rPr>
      </w:pPr>
      <w:r>
        <w:rPr>
          <w:rFonts w:ascii="Arial" w:cs="Arial" w:eastAsia="Arial" w:hAnsi="Arial"/>
          <w:sz w:val="14"/>
          <w:szCs w:val="14"/>
          <w:color w:val="auto"/>
        </w:rPr>
        <w:t>Grace Lieblein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George Paz</w:t>
      </w:r>
    </w:p>
    <w:p>
      <w:pPr>
        <w:spacing w:after="0"/>
        <w:rPr>
          <w:sz w:val="20"/>
          <w:szCs w:val="20"/>
          <w:color w:val="auto"/>
        </w:rPr>
      </w:pPr>
      <w:r>
        <w:rPr>
          <w:rFonts w:ascii="Arial" w:cs="Arial" w:eastAsia="Arial" w:hAnsi="Arial"/>
          <w:sz w:val="14"/>
          <w:szCs w:val="14"/>
          <w:color w:val="auto"/>
        </w:rPr>
        <w:t>George Paz</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Robin Washington</w:t>
      </w:r>
    </w:p>
    <w:p>
      <w:pPr>
        <w:spacing w:after="0"/>
        <w:rPr>
          <w:sz w:val="20"/>
          <w:szCs w:val="20"/>
          <w:color w:val="auto"/>
        </w:rPr>
      </w:pPr>
      <w:r>
        <w:rPr>
          <w:rFonts w:ascii="Arial" w:cs="Arial" w:eastAsia="Arial" w:hAnsi="Arial"/>
          <w:sz w:val="14"/>
          <w:szCs w:val="14"/>
          <w:color w:val="auto"/>
        </w:rPr>
        <w:t>Robin Washington</w:t>
      </w:r>
    </w:p>
    <w:p>
      <w:pPr>
        <w:sectPr>
          <w:pgSz w:w="11900" w:h="16838" w:orient="portrait"/>
          <w:cols w:equalWidth="0" w:num="1">
            <w:col w:w="11300"/>
          </w:cols>
          <w:pgMar w:left="300" w:top="692" w:right="29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u w:val="single" w:color="auto"/>
          <w:color w:val="auto"/>
        </w:rPr>
        <w:t>/s/ Rose Lee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Rose Lee Dated: January 19, 2022</w:t>
      </w:r>
    </w:p>
    <w:p>
      <w:pPr>
        <w:sectPr>
          <w:pgSz w:w="11900" w:h="16838" w:orient="portrait"/>
          <w:cols w:equalWidth="0" w:num="1">
            <w:col w:w="10159"/>
          </w:cols>
          <w:pgMar w:left="300" w:top="710" w:right="1440" w:bottom="1440" w:gutter="0" w:footer="0" w:header="0"/>
        </w:sectPr>
      </w:pPr>
    </w:p>
    <w:bookmarkStart w:id="186" w:name="page187"/>
    <w:bookmarkEnd w:id="186"/>
    <w:p>
      <w:pPr>
        <w:jc w:val="center"/>
        <w:ind w:right="-59"/>
        <w:spacing w:after="0"/>
        <w:rPr>
          <w:sz w:val="20"/>
          <w:szCs w:val="20"/>
          <w:color w:val="auto"/>
        </w:rPr>
      </w:pPr>
      <w:r>
        <w:rPr>
          <w:rFonts w:ascii="Arial" w:cs="Arial" w:eastAsia="Arial" w:hAnsi="Arial"/>
          <w:sz w:val="14"/>
          <w:szCs w:val="14"/>
          <w:b w:val="1"/>
          <w:bCs w:val="1"/>
          <w:u w:val="single" w:color="auto"/>
          <w:color w:val="auto"/>
        </w:rPr>
        <w:t>POWER OF ATTORNEY</w:t>
      </w:r>
    </w:p>
    <w:p>
      <w:pPr>
        <w:spacing w:after="0" w:line="311" w:lineRule="exact"/>
        <w:rPr>
          <w:sz w:val="20"/>
          <w:szCs w:val="20"/>
          <w:color w:val="auto"/>
        </w:rPr>
      </w:pPr>
    </w:p>
    <w:p>
      <w:pPr>
        <w:ind w:right="40" w:firstLine="120"/>
        <w:spacing w:after="0" w:line="221" w:lineRule="auto"/>
        <w:rPr>
          <w:sz w:val="20"/>
          <w:szCs w:val="20"/>
          <w:color w:val="auto"/>
        </w:rPr>
      </w:pPr>
      <w:r>
        <w:rPr>
          <w:rFonts w:ascii="Arial" w:cs="Arial" w:eastAsia="Arial" w:hAnsi="Arial"/>
          <w:sz w:val="14"/>
          <w:szCs w:val="14"/>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to sign on my behalf in my capacity as a director of the Company one or more registration statements on Form S-8 or any other appropriate form during fiscal year 2022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24" w:lineRule="exact"/>
        <w:rPr>
          <w:sz w:val="20"/>
          <w:szCs w:val="20"/>
          <w:color w:val="auto"/>
        </w:rPr>
      </w:pPr>
    </w:p>
    <w:p>
      <w:pPr>
        <w:ind w:firstLine="144"/>
        <w:spacing w:after="0" w:line="246" w:lineRule="auto"/>
        <w:rPr>
          <w:sz w:val="20"/>
          <w:szCs w:val="20"/>
          <w:color w:val="auto"/>
        </w:rPr>
      </w:pPr>
      <w:r>
        <w:rPr>
          <w:rFonts w:ascii="Arial" w:cs="Arial" w:eastAsia="Arial" w:hAnsi="Arial"/>
          <w:sz w:val="14"/>
          <w:szCs w:val="1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 hereby revoke any or all prior appointments of attorneys-in-fact to sign the above-described documents.</w:t>
      </w:r>
    </w:p>
    <w:p>
      <w:pPr>
        <w:spacing w:after="0" w:line="163" w:lineRule="exact"/>
        <w:rPr>
          <w:sz w:val="20"/>
          <w:szCs w:val="20"/>
          <w:color w:val="auto"/>
        </w:rPr>
      </w:pPr>
    </w:p>
    <w:p>
      <w:pPr>
        <w:ind w:right="600"/>
        <w:spacing w:after="0" w:line="286" w:lineRule="auto"/>
        <w:rPr>
          <w:sz w:val="20"/>
          <w:szCs w:val="20"/>
          <w:color w:val="auto"/>
        </w:rPr>
      </w:pPr>
      <w:r>
        <w:rPr>
          <w:rFonts w:ascii="Arial" w:cs="Arial" w:eastAsia="Arial" w:hAnsi="Arial"/>
          <w:sz w:val="14"/>
          <w:szCs w:val="14"/>
          <w:color w:val="auto"/>
        </w:rPr>
        <w:t>This Power of Attorney may be signed in any number of counterparts, each of which shall be an original, with the same effect as if the signatures thereto and hereto were upon the same instrument.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December 10, 2021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William Ayer</w:t>
      </w:r>
    </w:p>
    <w:p>
      <w:pPr>
        <w:spacing w:after="0"/>
        <w:rPr>
          <w:sz w:val="20"/>
          <w:szCs w:val="20"/>
          <w:color w:val="auto"/>
        </w:rPr>
      </w:pPr>
      <w:r>
        <w:rPr>
          <w:rFonts w:ascii="Arial" w:cs="Arial" w:eastAsia="Arial" w:hAnsi="Arial"/>
          <w:sz w:val="14"/>
          <w:szCs w:val="14"/>
          <w:color w:val="auto"/>
        </w:rPr>
        <w:t>William Ayer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Duncan Angove</w:t>
      </w:r>
    </w:p>
    <w:p>
      <w:pPr>
        <w:spacing w:after="0"/>
        <w:rPr>
          <w:sz w:val="20"/>
          <w:szCs w:val="20"/>
          <w:color w:val="auto"/>
        </w:rPr>
      </w:pPr>
      <w:r>
        <w:rPr>
          <w:rFonts w:ascii="Arial" w:cs="Arial" w:eastAsia="Arial" w:hAnsi="Arial"/>
          <w:sz w:val="14"/>
          <w:szCs w:val="14"/>
          <w:color w:val="auto"/>
        </w:rPr>
        <w:t>Duncan Angove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Kevin Burke</w:t>
      </w:r>
    </w:p>
    <w:p>
      <w:pPr>
        <w:spacing w:after="0"/>
        <w:rPr>
          <w:sz w:val="20"/>
          <w:szCs w:val="20"/>
          <w:color w:val="auto"/>
        </w:rPr>
      </w:pPr>
      <w:r>
        <w:rPr>
          <w:rFonts w:ascii="Arial" w:cs="Arial" w:eastAsia="Arial" w:hAnsi="Arial"/>
          <w:sz w:val="14"/>
          <w:szCs w:val="14"/>
          <w:color w:val="auto"/>
        </w:rPr>
        <w:t>Kevin Burke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 Scott Davis</w:t>
      </w:r>
    </w:p>
    <w:p>
      <w:pPr>
        <w:spacing w:after="0"/>
        <w:rPr>
          <w:sz w:val="20"/>
          <w:szCs w:val="20"/>
          <w:color w:val="auto"/>
        </w:rPr>
      </w:pPr>
      <w:r>
        <w:rPr>
          <w:rFonts w:ascii="Arial" w:cs="Arial" w:eastAsia="Arial" w:hAnsi="Arial"/>
          <w:sz w:val="14"/>
          <w:szCs w:val="14"/>
          <w:color w:val="auto"/>
        </w:rPr>
        <w:t>D. Scott Davis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Deborah Flint</w:t>
      </w:r>
    </w:p>
    <w:p>
      <w:pPr>
        <w:spacing w:after="0"/>
        <w:rPr>
          <w:sz w:val="20"/>
          <w:szCs w:val="20"/>
          <w:color w:val="auto"/>
        </w:rPr>
      </w:pPr>
      <w:r>
        <w:rPr>
          <w:rFonts w:ascii="Arial" w:cs="Arial" w:eastAsia="Arial" w:hAnsi="Arial"/>
          <w:sz w:val="14"/>
          <w:szCs w:val="14"/>
          <w:color w:val="auto"/>
        </w:rPr>
        <w:t>Deborah Flint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Judd Gregg</w:t>
      </w:r>
    </w:p>
    <w:p>
      <w:pPr>
        <w:spacing w:after="0"/>
        <w:rPr>
          <w:sz w:val="20"/>
          <w:szCs w:val="20"/>
          <w:color w:val="auto"/>
        </w:rPr>
      </w:pPr>
      <w:r>
        <w:rPr>
          <w:rFonts w:ascii="Arial" w:cs="Arial" w:eastAsia="Arial" w:hAnsi="Arial"/>
          <w:sz w:val="14"/>
          <w:szCs w:val="14"/>
          <w:color w:val="auto"/>
        </w:rPr>
        <w:t>Judd Gregg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Grace Lieblein</w:t>
      </w:r>
    </w:p>
    <w:p>
      <w:pPr>
        <w:spacing w:after="0"/>
        <w:rPr>
          <w:sz w:val="20"/>
          <w:szCs w:val="20"/>
          <w:color w:val="auto"/>
        </w:rPr>
      </w:pPr>
      <w:r>
        <w:rPr>
          <w:rFonts w:ascii="Arial" w:cs="Arial" w:eastAsia="Arial" w:hAnsi="Arial"/>
          <w:sz w:val="14"/>
          <w:szCs w:val="14"/>
          <w:color w:val="auto"/>
        </w:rPr>
        <w:t>Grace Lieblein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George Paz</w:t>
      </w:r>
    </w:p>
    <w:p>
      <w:pPr>
        <w:spacing w:after="0"/>
        <w:rPr>
          <w:sz w:val="20"/>
          <w:szCs w:val="20"/>
          <w:color w:val="auto"/>
        </w:rPr>
      </w:pPr>
      <w:r>
        <w:rPr>
          <w:rFonts w:ascii="Arial" w:cs="Arial" w:eastAsia="Arial" w:hAnsi="Arial"/>
          <w:sz w:val="14"/>
          <w:szCs w:val="14"/>
          <w:color w:val="auto"/>
        </w:rPr>
        <w:t>George Paz</w:t>
      </w:r>
    </w:p>
    <w:p>
      <w:pPr>
        <w:sectPr>
          <w:pgSz w:w="11900" w:h="16838" w:orient="portrait"/>
          <w:cols w:equalWidth="0" w:num="1">
            <w:col w:w="11220"/>
          </w:cols>
          <w:pgMar w:left="300" w:top="688" w:right="37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u w:val="single" w:color="auto"/>
          <w:color w:val="auto"/>
        </w:rPr>
        <w:t>/s/ Robin Washington</w:t>
      </w:r>
    </w:p>
    <w:p>
      <w:pPr>
        <w:spacing w:after="0"/>
        <w:rPr>
          <w:sz w:val="20"/>
          <w:szCs w:val="20"/>
          <w:color w:val="auto"/>
        </w:rPr>
      </w:pPr>
      <w:r>
        <w:rPr>
          <w:rFonts w:ascii="Arial" w:cs="Arial" w:eastAsia="Arial" w:hAnsi="Arial"/>
          <w:sz w:val="14"/>
          <w:szCs w:val="14"/>
          <w:color w:val="auto"/>
        </w:rPr>
        <w:t>Robin Washington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Rose Lee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Rose Lee Dated: January 19, 2022</w:t>
      </w:r>
    </w:p>
    <w:p>
      <w:pPr>
        <w:sectPr>
          <w:pgSz w:w="11900" w:h="16838" w:orient="portrait"/>
          <w:cols w:equalWidth="0" w:num="1">
            <w:col w:w="10159"/>
          </w:cols>
          <w:pgMar w:left="300" w:top="849"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14"/>
          <w:szCs w:val="14"/>
          <w:b w:val="1"/>
          <w:bCs w:val="1"/>
          <w:u w:val="single" w:color="auto"/>
          <w:color w:val="auto"/>
        </w:rPr>
        <w:t>POWER OF ATTORNEY</w:t>
      </w:r>
    </w:p>
    <w:p>
      <w:pPr>
        <w:spacing w:after="0" w:line="311" w:lineRule="exact"/>
        <w:rPr>
          <w:sz w:val="20"/>
          <w:szCs w:val="20"/>
          <w:color w:val="auto"/>
        </w:rPr>
      </w:pPr>
    </w:p>
    <w:p>
      <w:pPr>
        <w:jc w:val="both"/>
        <w:ind w:right="80" w:firstLine="432"/>
        <w:spacing w:after="0" w:line="248" w:lineRule="auto"/>
        <w:rPr>
          <w:sz w:val="20"/>
          <w:szCs w:val="20"/>
          <w:color w:val="auto"/>
        </w:rPr>
      </w:pPr>
      <w:r>
        <w:rPr>
          <w:rFonts w:ascii="Arial" w:cs="Arial" w:eastAsia="Arial" w:hAnsi="Arial"/>
          <w:sz w:val="13"/>
          <w:szCs w:val="13"/>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2021,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20" w:lineRule="exact"/>
        <w:rPr>
          <w:sz w:val="20"/>
          <w:szCs w:val="20"/>
          <w:color w:val="auto"/>
        </w:rPr>
      </w:pPr>
    </w:p>
    <w:p>
      <w:pPr>
        <w:ind w:right="320" w:firstLine="320"/>
        <w:spacing w:after="0" w:line="246" w:lineRule="auto"/>
        <w:tabs>
          <w:tab w:leader="none" w:pos="50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19" w:lineRule="exact"/>
        <w:rPr>
          <w:rFonts w:ascii="Arial" w:cs="Arial" w:eastAsia="Arial" w:hAnsi="Arial"/>
          <w:sz w:val="14"/>
          <w:szCs w:val="14"/>
          <w:color w:val="auto"/>
        </w:rPr>
      </w:pPr>
    </w:p>
    <w:p>
      <w:pPr>
        <w:ind w:left="540" w:hanging="220"/>
        <w:spacing w:after="0"/>
        <w:tabs>
          <w:tab w:leader="none" w:pos="54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shares of the Company’s preferred stock, without par value;</w:t>
      </w:r>
    </w:p>
    <w:p>
      <w:pPr>
        <w:spacing w:after="0" w:line="145" w:lineRule="exact"/>
        <w:rPr>
          <w:rFonts w:ascii="Arial" w:cs="Arial" w:eastAsia="Arial" w:hAnsi="Arial"/>
          <w:sz w:val="14"/>
          <w:szCs w:val="14"/>
          <w:color w:val="auto"/>
        </w:rPr>
      </w:pPr>
    </w:p>
    <w:p>
      <w:pPr>
        <w:ind w:left="580" w:hanging="260"/>
        <w:spacing w:after="0"/>
        <w:tabs>
          <w:tab w:leader="none" w:pos="5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debt securities of the Company, with such terms as may be from time to time specified in such registration statement or any amendment, post-effective amendment or supplement thereto;</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133" w:lineRule="exact"/>
        <w:rPr>
          <w:rFonts w:ascii="Arial" w:cs="Arial" w:eastAsia="Arial" w:hAnsi="Arial"/>
          <w:sz w:val="12"/>
          <w:szCs w:val="12"/>
          <w:color w:val="auto"/>
        </w:rPr>
      </w:pPr>
    </w:p>
    <w:p>
      <w:pPr>
        <w:ind w:right="380" w:firstLine="320"/>
        <w:spacing w:after="0" w:line="246" w:lineRule="auto"/>
        <w:tabs>
          <w:tab w:leader="none" w:pos="572" w:val="left"/>
        </w:tabs>
        <w:numPr>
          <w:ilvl w:val="0"/>
          <w:numId w:val="182"/>
        </w:numPr>
        <w:rPr>
          <w:rFonts w:ascii="Arial" w:cs="Arial" w:eastAsia="Arial" w:hAnsi="Arial"/>
          <w:sz w:val="14"/>
          <w:szCs w:val="14"/>
          <w:color w:val="auto"/>
        </w:rPr>
      </w:pPr>
      <w:r>
        <w:rPr>
          <w:rFonts w:ascii="Arial" w:cs="Arial" w:eastAsia="Arial" w:hAnsi="Arial"/>
          <w:sz w:val="14"/>
          <w:szCs w:val="14"/>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0" w:lineRule="exact"/>
        <w:rPr>
          <w:sz w:val="20"/>
          <w:szCs w:val="20"/>
          <w:color w:val="auto"/>
        </w:rPr>
      </w:pPr>
    </w:p>
    <w:p>
      <w:pPr>
        <w:ind w:right="300" w:firstLine="432"/>
        <w:spacing w:after="0" w:line="246" w:lineRule="auto"/>
        <w:rPr>
          <w:sz w:val="20"/>
          <w:szCs w:val="20"/>
          <w:color w:val="auto"/>
        </w:rPr>
      </w:pPr>
      <w:r>
        <w:rPr>
          <w:rFonts w:ascii="Arial" w:cs="Arial" w:eastAsia="Arial" w:hAnsi="Arial"/>
          <w:sz w:val="14"/>
          <w:szCs w:val="1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 hereby revoke any or all prior appointments of attorneys-in-fact to the extent that they confer authority to sign the above-described documents.</w:t>
      </w:r>
    </w:p>
    <w:p>
      <w:pPr>
        <w:sectPr>
          <w:pgSz w:w="11900" w:h="16838" w:orient="portrait"/>
          <w:cols w:equalWidth="0" w:num="1">
            <w:col w:w="11280"/>
          </w:cols>
          <w:pgMar w:left="300" w:top="688" w:right="319" w:bottom="1440" w:gutter="0" w:footer="0" w:header="0"/>
        </w:sectPr>
      </w:pPr>
    </w:p>
    <w:bookmarkStart w:id="189" w:name="page190"/>
    <w:bookmarkEnd w:id="189"/>
    <w:p>
      <w:pPr>
        <w:ind w:firstLine="432"/>
        <w:spacing w:after="0" w:line="246" w:lineRule="auto"/>
        <w:rPr>
          <w:sz w:val="20"/>
          <w:szCs w:val="20"/>
          <w:color w:val="auto"/>
        </w:rPr>
      </w:pPr>
      <w:r>
        <w:rPr>
          <w:rFonts w:ascii="Arial" w:cs="Arial" w:eastAsia="Arial" w:hAnsi="Arial"/>
          <w:sz w:val="14"/>
          <w:szCs w:val="14"/>
          <w:color w:val="auto"/>
        </w:rPr>
        <w:t>This Power of Attorney may be signed in any number of counterparts, each of which shall be an original, with the same effect as if the signatures thereto and hereto were upon the same instrument.</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December 10, 2021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William Ayer</w:t>
      </w:r>
    </w:p>
    <w:p>
      <w:pPr>
        <w:spacing w:after="0"/>
        <w:rPr>
          <w:sz w:val="20"/>
          <w:szCs w:val="20"/>
          <w:color w:val="auto"/>
        </w:rPr>
      </w:pPr>
      <w:r>
        <w:rPr>
          <w:rFonts w:ascii="Arial" w:cs="Arial" w:eastAsia="Arial" w:hAnsi="Arial"/>
          <w:sz w:val="14"/>
          <w:szCs w:val="14"/>
          <w:color w:val="auto"/>
        </w:rPr>
        <w:t>William Ayer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Duncan Angove</w:t>
      </w:r>
    </w:p>
    <w:p>
      <w:pPr>
        <w:spacing w:after="0"/>
        <w:rPr>
          <w:sz w:val="20"/>
          <w:szCs w:val="20"/>
          <w:color w:val="auto"/>
        </w:rPr>
      </w:pPr>
      <w:r>
        <w:rPr>
          <w:rFonts w:ascii="Arial" w:cs="Arial" w:eastAsia="Arial" w:hAnsi="Arial"/>
          <w:sz w:val="14"/>
          <w:szCs w:val="14"/>
          <w:color w:val="auto"/>
        </w:rPr>
        <w:t>Duncan Angove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Kevin Burke</w:t>
      </w:r>
    </w:p>
    <w:p>
      <w:pPr>
        <w:spacing w:after="0"/>
        <w:rPr>
          <w:sz w:val="20"/>
          <w:szCs w:val="20"/>
          <w:color w:val="auto"/>
        </w:rPr>
      </w:pPr>
      <w:r>
        <w:rPr>
          <w:rFonts w:ascii="Arial" w:cs="Arial" w:eastAsia="Arial" w:hAnsi="Arial"/>
          <w:sz w:val="14"/>
          <w:szCs w:val="14"/>
          <w:color w:val="auto"/>
        </w:rPr>
        <w:t>Kevin Burke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 Scott Davis</w:t>
      </w:r>
    </w:p>
    <w:p>
      <w:pPr>
        <w:spacing w:after="0"/>
        <w:rPr>
          <w:sz w:val="20"/>
          <w:szCs w:val="20"/>
          <w:color w:val="auto"/>
        </w:rPr>
      </w:pPr>
      <w:r>
        <w:rPr>
          <w:rFonts w:ascii="Arial" w:cs="Arial" w:eastAsia="Arial" w:hAnsi="Arial"/>
          <w:sz w:val="14"/>
          <w:szCs w:val="14"/>
          <w:color w:val="auto"/>
        </w:rPr>
        <w:t>D. Scott Davis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Deborah Flint</w:t>
      </w:r>
    </w:p>
    <w:p>
      <w:pPr>
        <w:spacing w:after="0"/>
        <w:rPr>
          <w:sz w:val="20"/>
          <w:szCs w:val="20"/>
          <w:color w:val="auto"/>
        </w:rPr>
      </w:pPr>
      <w:r>
        <w:rPr>
          <w:rFonts w:ascii="Arial" w:cs="Arial" w:eastAsia="Arial" w:hAnsi="Arial"/>
          <w:sz w:val="14"/>
          <w:szCs w:val="14"/>
          <w:color w:val="auto"/>
        </w:rPr>
        <w:t>Deborah Flint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Judd Gregg</w:t>
      </w:r>
    </w:p>
    <w:p>
      <w:pPr>
        <w:spacing w:after="0"/>
        <w:rPr>
          <w:sz w:val="20"/>
          <w:szCs w:val="20"/>
          <w:color w:val="auto"/>
        </w:rPr>
      </w:pPr>
      <w:r>
        <w:rPr>
          <w:rFonts w:ascii="Arial" w:cs="Arial" w:eastAsia="Arial" w:hAnsi="Arial"/>
          <w:sz w:val="14"/>
          <w:szCs w:val="14"/>
          <w:color w:val="auto"/>
        </w:rPr>
        <w:t>Judd Gregg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Grace Lieblein</w:t>
      </w:r>
    </w:p>
    <w:p>
      <w:pPr>
        <w:spacing w:after="0"/>
        <w:rPr>
          <w:sz w:val="20"/>
          <w:szCs w:val="20"/>
          <w:color w:val="auto"/>
        </w:rPr>
      </w:pPr>
      <w:r>
        <w:rPr>
          <w:rFonts w:ascii="Arial" w:cs="Arial" w:eastAsia="Arial" w:hAnsi="Arial"/>
          <w:sz w:val="14"/>
          <w:szCs w:val="14"/>
          <w:color w:val="auto"/>
        </w:rPr>
        <w:t>Grace Lieblein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George Paz</w:t>
      </w:r>
    </w:p>
    <w:p>
      <w:pPr>
        <w:spacing w:after="0"/>
        <w:rPr>
          <w:sz w:val="20"/>
          <w:szCs w:val="20"/>
          <w:color w:val="auto"/>
        </w:rPr>
      </w:pPr>
      <w:r>
        <w:rPr>
          <w:rFonts w:ascii="Arial" w:cs="Arial" w:eastAsia="Arial" w:hAnsi="Arial"/>
          <w:sz w:val="14"/>
          <w:szCs w:val="14"/>
          <w:color w:val="auto"/>
        </w:rPr>
        <w:t>George Paz</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Robin Washington</w:t>
      </w:r>
    </w:p>
    <w:p>
      <w:pPr>
        <w:spacing w:after="0"/>
        <w:rPr>
          <w:sz w:val="20"/>
          <w:szCs w:val="20"/>
          <w:color w:val="auto"/>
        </w:rPr>
      </w:pPr>
      <w:r>
        <w:rPr>
          <w:rFonts w:ascii="Arial" w:cs="Arial" w:eastAsia="Arial" w:hAnsi="Arial"/>
          <w:sz w:val="14"/>
          <w:szCs w:val="14"/>
          <w:color w:val="auto"/>
        </w:rPr>
        <w:t>Robin Washington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Rose Lee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Rose Lee Dated: January 19, 2022</w:t>
      </w:r>
    </w:p>
    <w:p>
      <w:pPr>
        <w:sectPr>
          <w:pgSz w:w="11900" w:h="16838" w:orient="portrait"/>
          <w:cols w:equalWidth="0" w:num="1">
            <w:col w:w="11040"/>
          </w:cols>
          <w:pgMar w:left="300" w:top="746" w:right="55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4"/>
          <w:szCs w:val="14"/>
          <w:b w:val="1"/>
          <w:bCs w:val="1"/>
          <w:u w:val="single" w:color="auto"/>
          <w:color w:val="auto"/>
        </w:rPr>
        <w:t>POWER OF ATTORNEY</w:t>
      </w:r>
    </w:p>
    <w:p>
      <w:pPr>
        <w:spacing w:after="0" w:line="311" w:lineRule="exact"/>
        <w:rPr>
          <w:sz w:val="20"/>
          <w:szCs w:val="20"/>
          <w:color w:val="auto"/>
        </w:rPr>
      </w:pPr>
    </w:p>
    <w:p>
      <w:pPr>
        <w:jc w:val="both"/>
        <w:ind w:firstLine="144"/>
        <w:spacing w:after="0" w:line="233" w:lineRule="auto"/>
        <w:rPr>
          <w:sz w:val="20"/>
          <w:szCs w:val="20"/>
          <w:color w:val="auto"/>
        </w:rPr>
      </w:pPr>
      <w:r>
        <w:rPr>
          <w:rFonts w:ascii="Arial" w:cs="Arial" w:eastAsia="Arial" w:hAnsi="Arial"/>
          <w:sz w:val="14"/>
          <w:szCs w:val="14"/>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and agent for me and in my name, place and stead in any and all capacities,</w:t>
      </w:r>
    </w:p>
    <w:p>
      <w:pPr>
        <w:spacing w:after="0" w:line="125" w:lineRule="exact"/>
        <w:rPr>
          <w:sz w:val="20"/>
          <w:szCs w:val="20"/>
          <w:color w:val="auto"/>
        </w:rPr>
      </w:pPr>
    </w:p>
    <w:p>
      <w:pPr>
        <w:ind w:left="840" w:hanging="416"/>
        <w:spacing w:after="0"/>
        <w:tabs>
          <w:tab w:leader="none" w:pos="84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to sign the Company’s Annual Report on Form 10-K under the Securities Exchange Act of 1934 for the year ended December 31, 2021,</w:t>
      </w:r>
    </w:p>
    <w:p>
      <w:pPr>
        <w:spacing w:after="0" w:line="145" w:lineRule="exact"/>
        <w:rPr>
          <w:rFonts w:ascii="Arial" w:cs="Arial" w:eastAsia="Arial" w:hAnsi="Arial"/>
          <w:sz w:val="14"/>
          <w:szCs w:val="14"/>
          <w:color w:val="auto"/>
        </w:rPr>
      </w:pPr>
    </w:p>
    <w:p>
      <w:pPr>
        <w:ind w:left="860" w:hanging="436"/>
        <w:spacing w:after="0"/>
        <w:tabs>
          <w:tab w:leader="none" w:pos="86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to sign any amendment to the Annual Report referred to in (i) above or to any previously filed Annual Report on Form 10-K for any prior fiscal year, and</w:t>
      </w:r>
    </w:p>
    <w:p>
      <w:pPr>
        <w:spacing w:after="0" w:line="145" w:lineRule="exact"/>
        <w:rPr>
          <w:rFonts w:ascii="Arial" w:cs="Arial" w:eastAsia="Arial" w:hAnsi="Arial"/>
          <w:sz w:val="14"/>
          <w:szCs w:val="14"/>
          <w:color w:val="auto"/>
        </w:rPr>
      </w:pPr>
    </w:p>
    <w:p>
      <w:pPr>
        <w:ind w:left="860" w:hanging="436"/>
        <w:spacing w:after="0"/>
        <w:tabs>
          <w:tab w:leader="none" w:pos="86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to file the documents described in (i) and (ii) above and all exhibits thereto and any and all other documents in connection therewith,</w:t>
      </w:r>
    </w:p>
    <w:p>
      <w:pPr>
        <w:spacing w:after="0" w:line="145" w:lineRule="exact"/>
        <w:rPr>
          <w:sz w:val="20"/>
          <w:szCs w:val="20"/>
          <w:color w:val="auto"/>
        </w:rPr>
      </w:pPr>
    </w:p>
    <w:p>
      <w:pPr>
        <w:ind w:right="60"/>
        <w:spacing w:after="0" w:line="233" w:lineRule="auto"/>
        <w:rPr>
          <w:sz w:val="20"/>
          <w:szCs w:val="20"/>
          <w:color w:val="auto"/>
        </w:rPr>
      </w:pPr>
      <w:r>
        <w:rPr>
          <w:rFonts w:ascii="Arial" w:cs="Arial" w:eastAsia="Arial" w:hAnsi="Arial"/>
          <w:sz w:val="14"/>
          <w:szCs w:val="14"/>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282" w:lineRule="exact"/>
        <w:rPr>
          <w:sz w:val="20"/>
          <w:szCs w:val="20"/>
          <w:color w:val="auto"/>
        </w:rPr>
      </w:pPr>
    </w:p>
    <w:p>
      <w:pPr>
        <w:ind w:left="1280"/>
        <w:spacing w:after="0"/>
        <w:rPr>
          <w:sz w:val="20"/>
          <w:szCs w:val="20"/>
          <w:color w:val="auto"/>
        </w:rPr>
      </w:pPr>
      <w:r>
        <w:rPr>
          <w:rFonts w:ascii="Arial" w:cs="Arial" w:eastAsia="Arial" w:hAnsi="Arial"/>
          <w:sz w:val="14"/>
          <w:szCs w:val="14"/>
          <w:u w:val="single" w:color="auto"/>
          <w:color w:val="auto"/>
        </w:rPr>
        <w:t>/s/ Darius Adamczyk</w:t>
      </w:r>
    </w:p>
    <w:p>
      <w:pPr>
        <w:ind w:left="1280"/>
        <w:spacing w:after="0"/>
        <w:rPr>
          <w:sz w:val="20"/>
          <w:szCs w:val="20"/>
          <w:color w:val="auto"/>
        </w:rPr>
      </w:pPr>
      <w:r>
        <w:rPr>
          <w:rFonts w:ascii="Arial" w:cs="Arial" w:eastAsia="Arial" w:hAnsi="Arial"/>
          <w:sz w:val="14"/>
          <w:szCs w:val="14"/>
          <w:color w:val="auto"/>
        </w:rPr>
        <w:t>Darius Adamczyk</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Dated: December 1, 2021</w:t>
      </w:r>
    </w:p>
    <w:p>
      <w:pPr>
        <w:sectPr>
          <w:pgSz w:w="11900" w:h="16838" w:orient="portrait"/>
          <w:cols w:equalWidth="0" w:num="1">
            <w:col w:w="11280"/>
          </w:cols>
          <w:pgMar w:left="300" w:top="688" w:right="31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4"/>
          <w:szCs w:val="14"/>
          <w:b w:val="1"/>
          <w:bCs w:val="1"/>
          <w:u w:val="single" w:color="auto"/>
          <w:color w:val="auto"/>
        </w:rPr>
        <w:t>POWER OF ATTORNEY</w:t>
      </w:r>
    </w:p>
    <w:p>
      <w:pPr>
        <w:spacing w:after="0" w:line="311" w:lineRule="exact"/>
        <w:rPr>
          <w:sz w:val="20"/>
          <w:szCs w:val="20"/>
          <w:color w:val="auto"/>
        </w:rPr>
      </w:pPr>
    </w:p>
    <w:p>
      <w:pPr>
        <w:ind w:firstLine="120"/>
        <w:spacing w:after="0" w:line="238" w:lineRule="auto"/>
        <w:rPr>
          <w:sz w:val="20"/>
          <w:szCs w:val="20"/>
          <w:color w:val="auto"/>
        </w:rPr>
      </w:pPr>
      <w:r>
        <w:rPr>
          <w:rFonts w:ascii="Arial" w:cs="Arial" w:eastAsia="Arial" w:hAnsi="Arial"/>
          <w:sz w:val="13"/>
          <w:szCs w:val="13"/>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2022,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24" w:lineRule="exact"/>
        <w:rPr>
          <w:sz w:val="20"/>
          <w:szCs w:val="20"/>
          <w:color w:val="auto"/>
        </w:rPr>
      </w:pPr>
    </w:p>
    <w:p>
      <w:pPr>
        <w:ind w:right="80" w:firstLine="144"/>
        <w:spacing w:after="0" w:line="246" w:lineRule="auto"/>
        <w:rPr>
          <w:sz w:val="20"/>
          <w:szCs w:val="20"/>
          <w:color w:val="auto"/>
        </w:rPr>
      </w:pPr>
      <w:r>
        <w:rPr>
          <w:rFonts w:ascii="Arial" w:cs="Arial" w:eastAsia="Arial" w:hAnsi="Arial"/>
          <w:sz w:val="14"/>
          <w:szCs w:val="1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 hereby revoke any or all prior appointments of attorneys-in-fact to sign the above-described documents.</w:t>
      </w:r>
    </w:p>
    <w:p>
      <w:pPr>
        <w:spacing w:after="0" w:line="302" w:lineRule="exact"/>
        <w:rPr>
          <w:sz w:val="20"/>
          <w:szCs w:val="20"/>
          <w:color w:val="auto"/>
        </w:rPr>
      </w:pPr>
    </w:p>
    <w:p>
      <w:pPr>
        <w:ind w:left="1280"/>
        <w:spacing w:after="0"/>
        <w:rPr>
          <w:sz w:val="20"/>
          <w:szCs w:val="20"/>
          <w:color w:val="auto"/>
        </w:rPr>
      </w:pPr>
      <w:r>
        <w:rPr>
          <w:rFonts w:ascii="Arial" w:cs="Arial" w:eastAsia="Arial" w:hAnsi="Arial"/>
          <w:sz w:val="14"/>
          <w:szCs w:val="14"/>
          <w:u w:val="single" w:color="auto"/>
          <w:color w:val="auto"/>
        </w:rPr>
        <w:t>/s/ Darius Adamczyk</w:t>
      </w:r>
    </w:p>
    <w:p>
      <w:pPr>
        <w:ind w:left="1280"/>
        <w:spacing w:after="0"/>
        <w:rPr>
          <w:sz w:val="20"/>
          <w:szCs w:val="20"/>
          <w:color w:val="auto"/>
        </w:rPr>
      </w:pPr>
      <w:r>
        <w:rPr>
          <w:rFonts w:ascii="Arial" w:cs="Arial" w:eastAsia="Arial" w:hAnsi="Arial"/>
          <w:sz w:val="14"/>
          <w:szCs w:val="14"/>
          <w:color w:val="auto"/>
        </w:rPr>
        <w:t>Darius Adamczyk</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Dated: December 1, 2021</w:t>
      </w:r>
    </w:p>
    <w:p>
      <w:pPr>
        <w:sectPr>
          <w:pgSz w:w="11900" w:h="16838" w:orient="portrait"/>
          <w:cols w:equalWidth="0" w:num="1">
            <w:col w:w="11300"/>
          </w:cols>
          <w:pgMar w:left="300" w:top="688" w:right="2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4"/>
          <w:szCs w:val="14"/>
          <w:b w:val="1"/>
          <w:bCs w:val="1"/>
          <w:u w:val="single" w:color="auto"/>
          <w:color w:val="auto"/>
        </w:rPr>
        <w:t>POWER OF ATTORNEY</w:t>
      </w:r>
    </w:p>
    <w:p>
      <w:pPr>
        <w:spacing w:after="0" w:line="311" w:lineRule="exact"/>
        <w:rPr>
          <w:sz w:val="20"/>
          <w:szCs w:val="20"/>
          <w:color w:val="auto"/>
        </w:rPr>
      </w:pPr>
    </w:p>
    <w:p>
      <w:pPr>
        <w:ind w:right="260" w:firstLine="432"/>
        <w:spacing w:after="0" w:line="226" w:lineRule="auto"/>
        <w:rPr>
          <w:sz w:val="20"/>
          <w:szCs w:val="20"/>
          <w:color w:val="auto"/>
        </w:rPr>
      </w:pPr>
      <w:r>
        <w:rPr>
          <w:rFonts w:ascii="Arial" w:cs="Arial" w:eastAsia="Arial" w:hAnsi="Arial"/>
          <w:sz w:val="14"/>
          <w:szCs w:val="14"/>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2022,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24" w:lineRule="exact"/>
        <w:rPr>
          <w:sz w:val="20"/>
          <w:szCs w:val="20"/>
          <w:color w:val="auto"/>
        </w:rPr>
      </w:pPr>
    </w:p>
    <w:p>
      <w:pPr>
        <w:ind w:right="320" w:firstLine="320"/>
        <w:spacing w:after="0" w:line="246" w:lineRule="auto"/>
        <w:tabs>
          <w:tab w:leader="none" w:pos="50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19" w:lineRule="exact"/>
        <w:rPr>
          <w:rFonts w:ascii="Arial" w:cs="Arial" w:eastAsia="Arial" w:hAnsi="Arial"/>
          <w:sz w:val="14"/>
          <w:szCs w:val="14"/>
          <w:color w:val="auto"/>
        </w:rPr>
      </w:pPr>
    </w:p>
    <w:p>
      <w:pPr>
        <w:ind w:left="540" w:hanging="220"/>
        <w:spacing w:after="0"/>
        <w:tabs>
          <w:tab w:leader="none" w:pos="54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shares of the Company’s preferred stock, without par value;</w:t>
      </w:r>
    </w:p>
    <w:p>
      <w:pPr>
        <w:spacing w:after="0" w:line="145" w:lineRule="exact"/>
        <w:rPr>
          <w:rFonts w:ascii="Arial" w:cs="Arial" w:eastAsia="Arial" w:hAnsi="Arial"/>
          <w:sz w:val="14"/>
          <w:szCs w:val="14"/>
          <w:color w:val="auto"/>
        </w:rPr>
      </w:pPr>
    </w:p>
    <w:p>
      <w:pPr>
        <w:ind w:left="580" w:hanging="260"/>
        <w:spacing w:after="0"/>
        <w:tabs>
          <w:tab w:leader="none" w:pos="5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debt securities of the Company, with such terms as may be from time to time specified in such registration statement or any amendment, post-effective amendment or supplement thereto;</w:t>
      </w:r>
    </w:p>
    <w:p>
      <w:pPr>
        <w:spacing w:after="0" w:line="18"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and</w:t>
      </w:r>
    </w:p>
    <w:p>
      <w:pPr>
        <w:spacing w:after="0" w:line="133" w:lineRule="exact"/>
        <w:rPr>
          <w:rFonts w:ascii="Arial" w:cs="Arial" w:eastAsia="Arial" w:hAnsi="Arial"/>
          <w:sz w:val="12"/>
          <w:szCs w:val="12"/>
          <w:color w:val="auto"/>
        </w:rPr>
      </w:pPr>
    </w:p>
    <w:p>
      <w:pPr>
        <w:ind w:right="380" w:firstLine="320"/>
        <w:spacing w:after="0" w:line="246" w:lineRule="auto"/>
        <w:tabs>
          <w:tab w:leader="none" w:pos="572" w:val="left"/>
        </w:tabs>
        <w:numPr>
          <w:ilvl w:val="0"/>
          <w:numId w:val="184"/>
        </w:numPr>
        <w:rPr>
          <w:rFonts w:ascii="Arial" w:cs="Arial" w:eastAsia="Arial" w:hAnsi="Arial"/>
          <w:sz w:val="14"/>
          <w:szCs w:val="14"/>
          <w:color w:val="auto"/>
        </w:rPr>
      </w:pPr>
      <w:r>
        <w:rPr>
          <w:rFonts w:ascii="Arial" w:cs="Arial" w:eastAsia="Arial" w:hAnsi="Arial"/>
          <w:sz w:val="14"/>
          <w:szCs w:val="14"/>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0" w:lineRule="exact"/>
        <w:rPr>
          <w:sz w:val="20"/>
          <w:szCs w:val="20"/>
          <w:color w:val="auto"/>
        </w:rPr>
      </w:pPr>
    </w:p>
    <w:p>
      <w:pPr>
        <w:ind w:right="300" w:firstLine="432"/>
        <w:spacing w:after="0" w:line="246" w:lineRule="auto"/>
        <w:rPr>
          <w:sz w:val="20"/>
          <w:szCs w:val="20"/>
          <w:color w:val="auto"/>
        </w:rPr>
      </w:pPr>
      <w:r>
        <w:rPr>
          <w:rFonts w:ascii="Arial" w:cs="Arial" w:eastAsia="Arial" w:hAnsi="Arial"/>
          <w:sz w:val="14"/>
          <w:szCs w:val="14"/>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 hereby revoke any or all prior appointments of attorneys-in-fact to the extent that they confer authority to sign the above-described documents.</w:t>
      </w:r>
    </w:p>
    <w:p>
      <w:pPr>
        <w:spacing w:after="0" w:line="200" w:lineRule="exact"/>
        <w:rPr>
          <w:sz w:val="20"/>
          <w:szCs w:val="20"/>
          <w:color w:val="auto"/>
        </w:rPr>
      </w:pPr>
    </w:p>
    <w:p>
      <w:pPr>
        <w:spacing w:after="0" w:line="246" w:lineRule="exact"/>
        <w:rPr>
          <w:sz w:val="20"/>
          <w:szCs w:val="20"/>
          <w:color w:val="auto"/>
        </w:rPr>
      </w:pPr>
    </w:p>
    <w:p>
      <w:pPr>
        <w:ind w:left="1280"/>
        <w:spacing w:after="0"/>
        <w:rPr>
          <w:sz w:val="20"/>
          <w:szCs w:val="20"/>
          <w:color w:val="auto"/>
        </w:rPr>
      </w:pPr>
      <w:r>
        <w:rPr>
          <w:rFonts w:ascii="Arial" w:cs="Arial" w:eastAsia="Arial" w:hAnsi="Arial"/>
          <w:sz w:val="14"/>
          <w:szCs w:val="14"/>
          <w:u w:val="single" w:color="auto"/>
          <w:color w:val="auto"/>
        </w:rPr>
        <w:t>/s/ Darius Adamczyk</w:t>
      </w:r>
    </w:p>
    <w:p>
      <w:pPr>
        <w:ind w:left="1280"/>
        <w:spacing w:after="0"/>
        <w:rPr>
          <w:sz w:val="20"/>
          <w:szCs w:val="20"/>
          <w:color w:val="auto"/>
        </w:rPr>
      </w:pPr>
      <w:r>
        <w:rPr>
          <w:rFonts w:ascii="Arial" w:cs="Arial" w:eastAsia="Arial" w:hAnsi="Arial"/>
          <w:sz w:val="14"/>
          <w:szCs w:val="14"/>
          <w:color w:val="auto"/>
        </w:rPr>
        <w:t>Darius Adamczyk</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Dated: December 1, 2021</w:t>
      </w:r>
    </w:p>
    <w:p>
      <w:pPr>
        <w:sectPr>
          <w:pgSz w:w="11900" w:h="16838" w:orient="portrait"/>
          <w:cols w:equalWidth="0" w:num="1">
            <w:col w:w="11280"/>
          </w:cols>
          <w:pgMar w:left="300" w:top="688"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2"/>
          <w:szCs w:val="12"/>
          <w:b w:val="1"/>
          <w:bCs w:val="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 Darius Adamczyk, certify that:</w:t>
      </w:r>
    </w:p>
    <w:p>
      <w:pPr>
        <w:spacing w:after="0" w:line="33" w:lineRule="exact"/>
        <w:rPr>
          <w:sz w:val="20"/>
          <w:szCs w:val="20"/>
          <w:color w:val="auto"/>
        </w:rPr>
      </w:pPr>
    </w:p>
    <w:p>
      <w:pPr>
        <w:ind w:left="680" w:hanging="134"/>
        <w:spacing w:after="0"/>
        <w:tabs>
          <w:tab w:leader="none" w:pos="6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Honeywell International Inc.;</w:t>
      </w:r>
    </w:p>
    <w:p>
      <w:pPr>
        <w:spacing w:after="0" w:line="195" w:lineRule="exact"/>
        <w:rPr>
          <w:rFonts w:ascii="Arial" w:cs="Arial" w:eastAsia="Arial" w:hAnsi="Arial"/>
          <w:sz w:val="12"/>
          <w:szCs w:val="12"/>
          <w:color w:val="auto"/>
        </w:rPr>
      </w:pPr>
    </w:p>
    <w:p>
      <w:pPr>
        <w:ind w:left="680" w:right="40" w:hanging="134"/>
        <w:spacing w:after="0" w:line="227" w:lineRule="auto"/>
        <w:tabs>
          <w:tab w:leader="none" w:pos="6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2"/>
          <w:szCs w:val="12"/>
          <w:color w:val="auto"/>
        </w:rPr>
      </w:pPr>
    </w:p>
    <w:p>
      <w:pPr>
        <w:ind w:left="680" w:right="320" w:hanging="134"/>
        <w:spacing w:after="0" w:line="227" w:lineRule="auto"/>
        <w:tabs>
          <w:tab w:leader="none" w:pos="6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2"/>
          <w:szCs w:val="12"/>
          <w:color w:val="auto"/>
        </w:rPr>
      </w:pPr>
    </w:p>
    <w:p>
      <w:pPr>
        <w:ind w:left="680" w:right="380" w:hanging="134"/>
        <w:spacing w:after="0" w:line="227" w:lineRule="auto"/>
        <w:tabs>
          <w:tab w:leader="none" w:pos="6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2"/>
          <w:szCs w:val="12"/>
          <w:color w:val="auto"/>
        </w:rPr>
      </w:pPr>
    </w:p>
    <w:p>
      <w:pPr>
        <w:ind w:left="880" w:right="320" w:hanging="134"/>
        <w:spacing w:after="0" w:line="227" w:lineRule="auto"/>
        <w:tabs>
          <w:tab w:leader="none" w:pos="8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2"/>
          <w:szCs w:val="12"/>
          <w:color w:val="auto"/>
        </w:rPr>
      </w:pPr>
    </w:p>
    <w:p>
      <w:pPr>
        <w:ind w:left="880" w:right="80" w:hanging="134"/>
        <w:spacing w:after="0" w:line="227" w:lineRule="auto"/>
        <w:tabs>
          <w:tab w:leader="none" w:pos="8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2"/>
          <w:szCs w:val="12"/>
          <w:color w:val="auto"/>
        </w:rPr>
      </w:pPr>
    </w:p>
    <w:p>
      <w:pPr>
        <w:ind w:left="880" w:right="80" w:hanging="127"/>
        <w:spacing w:after="0" w:line="227" w:lineRule="auto"/>
        <w:tabs>
          <w:tab w:leader="none" w:pos="8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2"/>
          <w:szCs w:val="12"/>
          <w:color w:val="auto"/>
        </w:rPr>
      </w:pPr>
    </w:p>
    <w:p>
      <w:pPr>
        <w:ind w:left="880" w:right="220" w:hanging="134"/>
        <w:spacing w:after="0" w:line="227" w:lineRule="auto"/>
        <w:tabs>
          <w:tab w:leader="none" w:pos="8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0" w:lineRule="exact"/>
        <w:rPr>
          <w:rFonts w:ascii="Arial" w:cs="Arial" w:eastAsia="Arial" w:hAnsi="Arial"/>
          <w:sz w:val="12"/>
          <w:szCs w:val="12"/>
          <w:color w:val="auto"/>
        </w:rPr>
      </w:pPr>
    </w:p>
    <w:p>
      <w:pPr>
        <w:ind w:left="680" w:right="200" w:hanging="134"/>
        <w:spacing w:after="0" w:line="227" w:lineRule="auto"/>
        <w:tabs>
          <w:tab w:leader="none" w:pos="6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2"/>
          <w:szCs w:val="12"/>
          <w:color w:val="auto"/>
        </w:rPr>
      </w:pPr>
    </w:p>
    <w:p>
      <w:pPr>
        <w:ind w:left="880" w:right="340" w:hanging="134"/>
        <w:spacing w:after="0" w:line="227" w:lineRule="auto"/>
        <w:tabs>
          <w:tab w:leader="none" w:pos="8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2"/>
          <w:szCs w:val="12"/>
          <w:color w:val="auto"/>
        </w:rPr>
      </w:pPr>
    </w:p>
    <w:p>
      <w:pPr>
        <w:ind w:left="880" w:hanging="134"/>
        <w:spacing w:after="0"/>
        <w:tabs>
          <w:tab w:leader="none" w:pos="8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5840" w:val="left"/>
          <w:tab w:leader="none" w:pos="7020" w:val="left"/>
        </w:tabs>
        <w:rPr>
          <w:sz w:val="20"/>
          <w:szCs w:val="20"/>
          <w:color w:val="auto"/>
        </w:rPr>
      </w:pPr>
      <w:r>
        <w:rPr>
          <w:rFonts w:ascii="Arial" w:cs="Arial" w:eastAsia="Arial" w:hAnsi="Arial"/>
          <w:sz w:val="12"/>
          <w:szCs w:val="12"/>
          <w:color w:val="auto"/>
        </w:rPr>
        <w:t>Date: February 11,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u w:val="single" w:color="auto"/>
          <w:color w:val="auto"/>
        </w:rPr>
        <w:t>/s/ Darius Adamczyk</w:t>
      </w:r>
    </w:p>
    <w:p>
      <w:pPr>
        <w:ind w:left="7040"/>
        <w:spacing w:after="0" w:line="229" w:lineRule="auto"/>
        <w:rPr>
          <w:sz w:val="20"/>
          <w:szCs w:val="20"/>
          <w:color w:val="auto"/>
        </w:rPr>
      </w:pPr>
      <w:r>
        <w:rPr>
          <w:rFonts w:ascii="Arial" w:cs="Arial" w:eastAsia="Arial" w:hAnsi="Arial"/>
          <w:sz w:val="12"/>
          <w:szCs w:val="12"/>
          <w:color w:val="auto"/>
        </w:rPr>
        <w:t>Darius Adamczyk</w:t>
      </w:r>
    </w:p>
    <w:p>
      <w:pPr>
        <w:ind w:left="7040"/>
        <w:spacing w:after="0"/>
        <w:rPr>
          <w:sz w:val="20"/>
          <w:szCs w:val="20"/>
          <w:color w:val="auto"/>
        </w:rPr>
      </w:pPr>
      <w:r>
        <w:rPr>
          <w:rFonts w:ascii="Arial" w:cs="Arial" w:eastAsia="Arial" w:hAnsi="Arial"/>
          <w:sz w:val="12"/>
          <w:szCs w:val="12"/>
          <w:color w:val="auto"/>
        </w:rPr>
        <w:t>Chairman and Chief Executive Officer</w:t>
      </w:r>
    </w:p>
    <w:p>
      <w:pPr>
        <w:sectPr>
          <w:pgSz w:w="11900" w:h="16838" w:orient="portrait"/>
          <w:cols w:equalWidth="0" w:num="1">
            <w:col w:w="11300"/>
          </w:cols>
          <w:pgMar w:left="300" w:top="638" w:right="299" w:bottom="1440" w:gutter="0" w:footer="0" w:header="0"/>
        </w:sectPr>
      </w:pPr>
    </w:p>
    <w:bookmarkStart w:id="194" w:name="page195"/>
    <w:bookmarkEnd w:id="194"/>
    <w:p>
      <w:pPr>
        <w:jc w:val="right"/>
        <w:spacing w:after="0"/>
        <w:rPr>
          <w:sz w:val="20"/>
          <w:szCs w:val="20"/>
          <w:color w:val="auto"/>
        </w:rPr>
      </w:pPr>
      <w:r>
        <w:rPr>
          <w:rFonts w:ascii="Arial" w:cs="Arial" w:eastAsia="Arial" w:hAnsi="Arial"/>
          <w:sz w:val="12"/>
          <w:szCs w:val="12"/>
          <w:b w:val="1"/>
          <w:bCs w:val="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I, Gregory P. Lewis, certify that:</w:t>
      </w:r>
    </w:p>
    <w:p>
      <w:pPr>
        <w:spacing w:after="0" w:line="33" w:lineRule="exact"/>
        <w:rPr>
          <w:sz w:val="20"/>
          <w:szCs w:val="20"/>
          <w:color w:val="auto"/>
        </w:rPr>
      </w:pPr>
    </w:p>
    <w:p>
      <w:pPr>
        <w:ind w:left="680" w:hanging="134"/>
        <w:spacing w:after="0"/>
        <w:tabs>
          <w:tab w:leader="none" w:pos="6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Honeywell International Inc.;</w:t>
      </w:r>
    </w:p>
    <w:p>
      <w:pPr>
        <w:spacing w:after="0" w:line="195" w:lineRule="exact"/>
        <w:rPr>
          <w:rFonts w:ascii="Arial" w:cs="Arial" w:eastAsia="Arial" w:hAnsi="Arial"/>
          <w:sz w:val="12"/>
          <w:szCs w:val="12"/>
          <w:color w:val="auto"/>
        </w:rPr>
      </w:pPr>
    </w:p>
    <w:p>
      <w:pPr>
        <w:ind w:left="680" w:right="40" w:hanging="134"/>
        <w:spacing w:after="0" w:line="227" w:lineRule="auto"/>
        <w:tabs>
          <w:tab w:leader="none" w:pos="6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2"/>
          <w:szCs w:val="12"/>
          <w:color w:val="auto"/>
        </w:rPr>
      </w:pPr>
    </w:p>
    <w:p>
      <w:pPr>
        <w:ind w:left="680" w:right="320" w:hanging="134"/>
        <w:spacing w:after="0" w:line="227" w:lineRule="auto"/>
        <w:tabs>
          <w:tab w:leader="none" w:pos="6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2"/>
          <w:szCs w:val="12"/>
          <w:color w:val="auto"/>
        </w:rPr>
      </w:pPr>
    </w:p>
    <w:p>
      <w:pPr>
        <w:ind w:left="680" w:right="380" w:hanging="134"/>
        <w:spacing w:after="0" w:line="227" w:lineRule="auto"/>
        <w:tabs>
          <w:tab w:leader="none" w:pos="6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2"/>
          <w:szCs w:val="12"/>
          <w:color w:val="auto"/>
        </w:rPr>
      </w:pPr>
    </w:p>
    <w:p>
      <w:pPr>
        <w:ind w:left="880" w:right="320" w:hanging="134"/>
        <w:spacing w:after="0" w:line="227" w:lineRule="auto"/>
        <w:tabs>
          <w:tab w:leader="none" w:pos="880" w:val="left"/>
        </w:tabs>
        <w:numPr>
          <w:ilvl w:val="1"/>
          <w:numId w:val="18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2"/>
          <w:szCs w:val="12"/>
          <w:color w:val="auto"/>
        </w:rPr>
      </w:pPr>
    </w:p>
    <w:p>
      <w:pPr>
        <w:ind w:left="880" w:right="80" w:hanging="134"/>
        <w:spacing w:after="0" w:line="227" w:lineRule="auto"/>
        <w:tabs>
          <w:tab w:leader="none" w:pos="880" w:val="left"/>
        </w:tabs>
        <w:numPr>
          <w:ilvl w:val="1"/>
          <w:numId w:val="18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2"/>
          <w:szCs w:val="12"/>
          <w:color w:val="auto"/>
        </w:rPr>
      </w:pPr>
    </w:p>
    <w:p>
      <w:pPr>
        <w:ind w:left="880" w:right="80" w:hanging="127"/>
        <w:spacing w:after="0" w:line="227" w:lineRule="auto"/>
        <w:tabs>
          <w:tab w:leader="none" w:pos="880" w:val="left"/>
        </w:tabs>
        <w:numPr>
          <w:ilvl w:val="1"/>
          <w:numId w:val="18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2"/>
          <w:szCs w:val="12"/>
          <w:color w:val="auto"/>
        </w:rPr>
      </w:pPr>
    </w:p>
    <w:p>
      <w:pPr>
        <w:ind w:left="880" w:right="220" w:hanging="134"/>
        <w:spacing w:after="0" w:line="227" w:lineRule="auto"/>
        <w:tabs>
          <w:tab w:leader="none" w:pos="880" w:val="left"/>
        </w:tabs>
        <w:numPr>
          <w:ilvl w:val="1"/>
          <w:numId w:val="18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0" w:lineRule="exact"/>
        <w:rPr>
          <w:rFonts w:ascii="Arial" w:cs="Arial" w:eastAsia="Arial" w:hAnsi="Arial"/>
          <w:sz w:val="12"/>
          <w:szCs w:val="12"/>
          <w:color w:val="auto"/>
        </w:rPr>
      </w:pPr>
    </w:p>
    <w:p>
      <w:pPr>
        <w:ind w:left="680" w:right="200" w:hanging="134"/>
        <w:spacing w:after="0" w:line="227" w:lineRule="auto"/>
        <w:tabs>
          <w:tab w:leader="none" w:pos="68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2"/>
          <w:szCs w:val="12"/>
          <w:color w:val="auto"/>
        </w:rPr>
      </w:pPr>
    </w:p>
    <w:p>
      <w:pPr>
        <w:ind w:left="880" w:right="340" w:hanging="134"/>
        <w:spacing w:after="0" w:line="227" w:lineRule="auto"/>
        <w:tabs>
          <w:tab w:leader="none" w:pos="880" w:val="left"/>
        </w:tabs>
        <w:numPr>
          <w:ilvl w:val="1"/>
          <w:numId w:val="18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Arial" w:cs="Arial" w:eastAsia="Arial" w:hAnsi="Arial"/>
          <w:sz w:val="12"/>
          <w:szCs w:val="12"/>
          <w:color w:val="auto"/>
        </w:rPr>
      </w:pPr>
    </w:p>
    <w:p>
      <w:pPr>
        <w:ind w:left="880" w:hanging="134"/>
        <w:spacing w:after="0"/>
        <w:tabs>
          <w:tab w:leader="none" w:pos="880" w:val="left"/>
        </w:tabs>
        <w:numPr>
          <w:ilvl w:val="1"/>
          <w:numId w:val="18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5840" w:val="left"/>
          <w:tab w:leader="none" w:pos="7020" w:val="left"/>
        </w:tabs>
        <w:rPr>
          <w:sz w:val="20"/>
          <w:szCs w:val="20"/>
          <w:color w:val="auto"/>
        </w:rPr>
      </w:pPr>
      <w:r>
        <w:rPr>
          <w:rFonts w:ascii="Arial" w:cs="Arial" w:eastAsia="Arial" w:hAnsi="Arial"/>
          <w:sz w:val="12"/>
          <w:szCs w:val="12"/>
          <w:color w:val="auto"/>
        </w:rPr>
        <w:t>Date: February 11,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u w:val="single" w:color="auto"/>
          <w:color w:val="auto"/>
        </w:rPr>
        <w:t>/s/ Gregory P. Lewis</w:t>
      </w:r>
    </w:p>
    <w:p>
      <w:pPr>
        <w:ind w:left="7040"/>
        <w:spacing w:after="0" w:line="229" w:lineRule="auto"/>
        <w:rPr>
          <w:sz w:val="20"/>
          <w:szCs w:val="20"/>
          <w:color w:val="auto"/>
        </w:rPr>
      </w:pPr>
      <w:r>
        <w:rPr>
          <w:rFonts w:ascii="Arial" w:cs="Arial" w:eastAsia="Arial" w:hAnsi="Arial"/>
          <w:sz w:val="12"/>
          <w:szCs w:val="12"/>
          <w:color w:val="auto"/>
        </w:rPr>
        <w:t>Gregory P. Lewis</w:t>
      </w:r>
    </w:p>
    <w:p>
      <w:pPr>
        <w:ind w:left="7040"/>
        <w:spacing w:after="0"/>
        <w:rPr>
          <w:sz w:val="20"/>
          <w:szCs w:val="20"/>
          <w:color w:val="auto"/>
        </w:rPr>
      </w:pPr>
      <w:r>
        <w:rPr>
          <w:rFonts w:ascii="Arial" w:cs="Arial" w:eastAsia="Arial" w:hAnsi="Arial"/>
          <w:sz w:val="12"/>
          <w:szCs w:val="12"/>
          <w:color w:val="auto"/>
        </w:rPr>
        <w:t>Senior Vice President and Chief Financial Officer</w:t>
      </w:r>
    </w:p>
    <w:p>
      <w:pPr>
        <w:sectPr>
          <w:pgSz w:w="11900" w:h="16838" w:orient="portrait"/>
          <w:cols w:equalWidth="0" w:num="1">
            <w:col w:w="11300"/>
          </w:cols>
          <w:pgMar w:left="300" w:top="638" w:right="299" w:bottom="1440" w:gutter="0" w:footer="0" w:header="0"/>
        </w:sectPr>
      </w:pPr>
    </w:p>
    <w:bookmarkStart w:id="195" w:name="page196"/>
    <w:bookmarkEnd w:id="195"/>
    <w:p>
      <w:pPr>
        <w:jc w:val="right"/>
        <w:spacing w:after="0"/>
        <w:rPr>
          <w:sz w:val="20"/>
          <w:szCs w:val="20"/>
          <w:color w:val="auto"/>
        </w:rPr>
      </w:pPr>
      <w:r>
        <w:rPr>
          <w:rFonts w:ascii="Arial" w:cs="Arial" w:eastAsia="Arial" w:hAnsi="Arial"/>
          <w:sz w:val="12"/>
          <w:szCs w:val="12"/>
          <w:b w:val="1"/>
          <w:bCs w:val="1"/>
          <w:color w:val="auto"/>
        </w:rPr>
        <w:t>EXHIBIT 32.1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78" w:lineRule="exact"/>
        <w:rPr>
          <w:sz w:val="20"/>
          <w:szCs w:val="20"/>
          <w:color w:val="auto"/>
        </w:rPr>
      </w:pPr>
    </w:p>
    <w:p>
      <w:pPr>
        <w:ind w:right="60"/>
        <w:spacing w:after="0" w:line="250" w:lineRule="auto"/>
        <w:rPr>
          <w:sz w:val="20"/>
          <w:szCs w:val="20"/>
          <w:color w:val="auto"/>
        </w:rPr>
      </w:pPr>
      <w:r>
        <w:rPr>
          <w:rFonts w:ascii="Arial" w:cs="Arial" w:eastAsia="Arial" w:hAnsi="Arial"/>
          <w:sz w:val="12"/>
          <w:szCs w:val="12"/>
          <w:color w:val="auto"/>
        </w:rPr>
        <w:t>In connection with the Annual Report of Honeywell International Inc. (the Company) on Form 10-K for the period ending December 31, 2021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 w:lineRule="exact"/>
        <w:rPr>
          <w:sz w:val="20"/>
          <w:szCs w:val="20"/>
          <w:color w:val="auto"/>
        </w:rPr>
      </w:pPr>
    </w:p>
    <w:p>
      <w:pPr>
        <w:ind w:left="340" w:hanging="213"/>
        <w:spacing w:after="0"/>
        <w:tabs>
          <w:tab w:leader="none" w:pos="34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340" w:hanging="213"/>
        <w:spacing w:after="0"/>
        <w:tabs>
          <w:tab w:leader="none" w:pos="34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rPr>
              <w:t>Date: February 11, 2022</w:t>
            </w:r>
          </w:p>
        </w:tc>
        <w:tc>
          <w:tcPr>
            <w:tcW w:w="3340" w:type="dxa"/>
            <w:vAlign w:val="bottom"/>
          </w:tcPr>
          <w:p>
            <w:pPr>
              <w:ind w:left="2200"/>
              <w:spacing w:after="0"/>
              <w:rPr>
                <w:sz w:val="20"/>
                <w:szCs w:val="20"/>
                <w:color w:val="auto"/>
              </w:rPr>
            </w:pPr>
            <w:r>
              <w:rPr>
                <w:rFonts w:ascii="Arial" w:cs="Arial" w:eastAsia="Arial" w:hAnsi="Arial"/>
                <w:sz w:val="12"/>
                <w:szCs w:val="12"/>
                <w:color w:val="auto"/>
              </w:rPr>
              <w:t>By:</w:t>
            </w:r>
          </w:p>
        </w:tc>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8"/>
              </w:rPr>
              <w:t>/s/ Darius Adamczyk</w:t>
            </w:r>
          </w:p>
        </w:tc>
        <w:tc>
          <w:tcPr>
            <w:tcW w:w="1120" w:type="dxa"/>
            <w:vAlign w:val="bottom"/>
          </w:tcPr>
          <w:p>
            <w:pPr>
              <w:spacing w:after="0"/>
              <w:rPr>
                <w:sz w:val="12"/>
                <w:szCs w:val="12"/>
                <w:color w:val="auto"/>
              </w:rPr>
            </w:pPr>
          </w:p>
        </w:tc>
      </w:tr>
      <w:tr>
        <w:trPr>
          <w:trHeight w:val="132"/>
        </w:trPr>
        <w:tc>
          <w:tcPr>
            <w:tcW w:w="34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220" w:type="dxa"/>
            <w:vAlign w:val="bottom"/>
            <w:gridSpan w:val="2"/>
          </w:tcPr>
          <w:p>
            <w:pPr>
              <w:spacing w:after="0" w:line="133" w:lineRule="exact"/>
              <w:rPr>
                <w:sz w:val="20"/>
                <w:szCs w:val="20"/>
                <w:color w:val="auto"/>
              </w:rPr>
            </w:pPr>
            <w:r>
              <w:rPr>
                <w:rFonts w:ascii="Arial" w:cs="Arial" w:eastAsia="Arial" w:hAnsi="Arial"/>
                <w:sz w:val="12"/>
                <w:szCs w:val="12"/>
                <w:color w:val="auto"/>
              </w:rPr>
              <w:t>Darius Adamczyk</w:t>
            </w:r>
          </w:p>
        </w:tc>
      </w:tr>
      <w:tr>
        <w:trPr>
          <w:trHeight w:val="145"/>
        </w:trPr>
        <w:tc>
          <w:tcPr>
            <w:tcW w:w="34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20" w:type="dxa"/>
            <w:vAlign w:val="bottom"/>
            <w:gridSpan w:val="2"/>
          </w:tcPr>
          <w:p>
            <w:pPr>
              <w:ind w:left="220"/>
              <w:spacing w:after="0"/>
              <w:rPr>
                <w:sz w:val="20"/>
                <w:szCs w:val="20"/>
                <w:color w:val="auto"/>
              </w:rPr>
            </w:pPr>
            <w:r>
              <w:rPr>
                <w:rFonts w:ascii="Arial" w:cs="Arial" w:eastAsia="Arial" w:hAnsi="Arial"/>
                <w:sz w:val="12"/>
                <w:szCs w:val="12"/>
                <w:color w:val="auto"/>
                <w:w w:val="98"/>
              </w:rPr>
              <w:t>Chairman and Chief Executive Officer</w:t>
            </w:r>
          </w:p>
        </w:tc>
      </w:tr>
    </w:tbl>
    <w:p>
      <w:pPr>
        <w:sectPr>
          <w:pgSz w:w="11900" w:h="16838" w:orient="portrait"/>
          <w:cols w:equalWidth="0" w:num="1">
            <w:col w:w="11300"/>
          </w:cols>
          <w:pgMar w:left="300" w:top="638" w:right="299" w:bottom="1440" w:gutter="0" w:footer="0" w:header="0"/>
        </w:sectPr>
      </w:pPr>
    </w:p>
    <w:bookmarkStart w:id="196" w:name="page197"/>
    <w:bookmarkEnd w:id="196"/>
    <w:p>
      <w:pPr>
        <w:jc w:val="right"/>
        <w:spacing w:after="0"/>
        <w:rPr>
          <w:sz w:val="20"/>
          <w:szCs w:val="20"/>
          <w:color w:val="auto"/>
        </w:rPr>
      </w:pPr>
      <w:r>
        <w:rPr>
          <w:rFonts w:ascii="Arial" w:cs="Arial" w:eastAsia="Arial" w:hAnsi="Arial"/>
          <w:sz w:val="12"/>
          <w:szCs w:val="12"/>
          <w:b w:val="1"/>
          <w:bCs w:val="1"/>
          <w:color w:val="auto"/>
        </w:rPr>
        <w:t>EXHIBIT 32.2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78" w:lineRule="exact"/>
        <w:rPr>
          <w:sz w:val="20"/>
          <w:szCs w:val="20"/>
          <w:color w:val="auto"/>
        </w:rPr>
      </w:pPr>
    </w:p>
    <w:p>
      <w:pPr>
        <w:ind w:right="180"/>
        <w:spacing w:after="0" w:line="250" w:lineRule="auto"/>
        <w:rPr>
          <w:sz w:val="20"/>
          <w:szCs w:val="20"/>
          <w:color w:val="auto"/>
        </w:rPr>
      </w:pPr>
      <w:r>
        <w:rPr>
          <w:rFonts w:ascii="Arial" w:cs="Arial" w:eastAsia="Arial" w:hAnsi="Arial"/>
          <w:sz w:val="12"/>
          <w:szCs w:val="12"/>
          <w:color w:val="auto"/>
        </w:rPr>
        <w:t>In connection with the Annual Report of Honeywell International Inc. (the Company) on Form 10-K for the period ending December 31, 2021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 w:lineRule="exact"/>
        <w:rPr>
          <w:sz w:val="20"/>
          <w:szCs w:val="20"/>
          <w:color w:val="auto"/>
        </w:rPr>
      </w:pPr>
    </w:p>
    <w:p>
      <w:pPr>
        <w:ind w:left="340" w:hanging="213"/>
        <w:spacing w:after="0"/>
        <w:tabs>
          <w:tab w:leader="none" w:pos="34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340" w:hanging="213"/>
        <w:spacing w:after="0"/>
        <w:tabs>
          <w:tab w:leader="none" w:pos="34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rPr>
              <w:t>Date: February 11, 2022</w:t>
            </w:r>
          </w:p>
        </w:tc>
        <w:tc>
          <w:tcPr>
            <w:tcW w:w="3340" w:type="dxa"/>
            <w:vAlign w:val="bottom"/>
          </w:tcPr>
          <w:p>
            <w:pPr>
              <w:ind w:left="2200"/>
              <w:spacing w:after="0"/>
              <w:rPr>
                <w:sz w:val="20"/>
                <w:szCs w:val="20"/>
                <w:color w:val="auto"/>
              </w:rPr>
            </w:pPr>
            <w:r>
              <w:rPr>
                <w:rFonts w:ascii="Arial" w:cs="Arial" w:eastAsia="Arial" w:hAnsi="Arial"/>
                <w:sz w:val="12"/>
                <w:szCs w:val="12"/>
                <w:color w:val="auto"/>
              </w:rPr>
              <w:t>By:</w:t>
            </w:r>
          </w:p>
        </w:tc>
        <w:tc>
          <w:tcPr>
            <w:tcW w:w="2820" w:type="dxa"/>
            <w:vAlign w:val="bottom"/>
            <w:gridSpan w:val="2"/>
          </w:tcPr>
          <w:p>
            <w:pPr>
              <w:spacing w:after="0"/>
              <w:rPr>
                <w:sz w:val="20"/>
                <w:szCs w:val="20"/>
                <w:color w:val="auto"/>
              </w:rPr>
            </w:pPr>
            <w:r>
              <w:rPr>
                <w:rFonts w:ascii="Arial" w:cs="Arial" w:eastAsia="Arial" w:hAnsi="Arial"/>
                <w:sz w:val="12"/>
                <w:szCs w:val="12"/>
                <w:color w:val="auto"/>
              </w:rPr>
              <w:t>/s/ Gregory P. Lewis</w:t>
            </w:r>
          </w:p>
        </w:tc>
      </w:tr>
      <w:tr>
        <w:trPr>
          <w:trHeight w:val="132"/>
        </w:trPr>
        <w:tc>
          <w:tcPr>
            <w:tcW w:w="34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Gregory P. Lewis</w:t>
            </w:r>
          </w:p>
        </w:tc>
        <w:tc>
          <w:tcPr>
            <w:tcW w:w="1760" w:type="dxa"/>
            <w:vAlign w:val="bottom"/>
          </w:tcPr>
          <w:p>
            <w:pPr>
              <w:spacing w:after="0"/>
              <w:rPr>
                <w:sz w:val="11"/>
                <w:szCs w:val="11"/>
                <w:color w:val="auto"/>
              </w:rPr>
            </w:pPr>
          </w:p>
        </w:tc>
      </w:tr>
      <w:tr>
        <w:trPr>
          <w:trHeight w:val="145"/>
        </w:trPr>
        <w:tc>
          <w:tcPr>
            <w:tcW w:w="34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820" w:type="dxa"/>
            <w:vAlign w:val="bottom"/>
            <w:gridSpan w:val="2"/>
          </w:tcPr>
          <w:p>
            <w:pPr>
              <w:ind w:left="220"/>
              <w:spacing w:after="0"/>
              <w:rPr>
                <w:sz w:val="20"/>
                <w:szCs w:val="20"/>
                <w:color w:val="auto"/>
              </w:rPr>
            </w:pPr>
            <w:r>
              <w:rPr>
                <w:rFonts w:ascii="Arial" w:cs="Arial" w:eastAsia="Arial" w:hAnsi="Arial"/>
                <w:sz w:val="12"/>
                <w:szCs w:val="12"/>
                <w:color w:val="auto"/>
                <w:w w:val="99"/>
              </w:rPr>
              <w:t>Senior Vice President and Chief Financial Officer</w:t>
            </w:r>
          </w:p>
        </w:tc>
      </w:tr>
    </w:tbl>
    <w:p>
      <w:pPr>
        <w:sectPr>
          <w:pgSz w:w="11900" w:h="16838" w:orient="portrait"/>
          <w:cols w:equalWidth="0" w:num="1">
            <w:col w:w="11300"/>
          </w:cols>
          <w:pgMar w:left="300" w:top="638" w:right="2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2"/>
          <w:szCs w:val="12"/>
          <w:b w:val="1"/>
          <w:bCs w:val="1"/>
          <w:color w:val="auto"/>
        </w:rPr>
        <w:t>EXHIBIT 95</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Mine Safety Disclosures</w:t>
      </w:r>
    </w:p>
    <w:p>
      <w:pPr>
        <w:spacing w:after="0" w:line="2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6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2"/>
          <w:szCs w:val="12"/>
          <w:color w:val="auto"/>
        </w:rPr>
        <w:t>During the year ended December 31, 2021,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6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In addition, during the year ended December 31, 2021,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300"/>
      </w:cols>
      <w:pgMar w:left="300" w:top="6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1"/>
      <w:numFmt w:val="bullet"/>
      <w:start w:val="1"/>
    </w:lvl>
  </w:abstractNum>
  <w:abstractNum w:abstractNumId="2">
    <w:nsid w:val="49DA307D"/>
    <w:multiLevelType w:val="hybridMultilevel"/>
    <w:lvl w:ilvl="0">
      <w:lvlJc w:val="left"/>
      <w:lvlText w:val="%1"/>
      <w:numFmt w:val="decimal"/>
      <w:start w:val="15"/>
    </w:lvl>
  </w:abstractNum>
  <w:abstractNum w:abstractNumId="3">
    <w:nsid w:val="7055A5F5"/>
    <w:multiLevelType w:val="hybridMultilevel"/>
    <w:lvl w:ilvl="0">
      <w:lvlJc w:val="left"/>
      <w:lvlText w:val="%1"/>
      <w:numFmt w:val="decimal"/>
      <w:start w:val="24"/>
    </w:lvl>
  </w:abstractNum>
  <w:abstractNum w:abstractNumId="4">
    <w:nsid w:val="5FB8370B"/>
    <w:multiLevelType w:val="hybridMultilevel"/>
    <w:lvl w:ilvl="0">
      <w:lvlJc w:val="left"/>
      <w:lvlText w:val="%1"/>
      <w:numFmt w:val="decimal"/>
      <w:start w:val="29"/>
    </w:lvl>
  </w:abstractNum>
  <w:abstractNum w:abstractNumId="5">
    <w:nsid w:val="50801EE1"/>
    <w:multiLevelType w:val="hybridMultilevel"/>
    <w:lvl w:ilvl="0">
      <w:lvlJc w:val="left"/>
      <w:lvlText w:val="%1"/>
      <w:numFmt w:val="decimal"/>
      <w:start w:val="38"/>
    </w:lvl>
  </w:abstractNum>
  <w:abstractNum w:abstractNumId="6">
    <w:nsid w:val="488AC1A"/>
    <w:multiLevelType w:val="hybridMultilevel"/>
    <w:lvl w:ilvl="0">
      <w:lvlJc w:val="left"/>
      <w:lvlText w:val="%1"/>
      <w:numFmt w:val="decimal"/>
      <w:start w:val="44"/>
    </w:lvl>
  </w:abstractNum>
  <w:abstractNum w:abstractNumId="7">
    <w:nsid w:val="5FB8011C"/>
    <w:multiLevelType w:val="hybridMultilevel"/>
    <w:lvl w:ilvl="0">
      <w:lvlJc w:val="left"/>
      <w:lvlText w:val="%1"/>
      <w:numFmt w:val="decimal"/>
      <w:start w:val="48"/>
    </w:lvl>
  </w:abstractNum>
  <w:abstractNum w:abstractNumId="8">
    <w:nsid w:val="6AA78F7F"/>
    <w:multiLevelType w:val="hybridMultilevel"/>
    <w:lvl w:ilvl="0">
      <w:lvlJc w:val="left"/>
      <w:lvlText w:val="%1"/>
      <w:numFmt w:val="decimal"/>
      <w:start w:val="50"/>
    </w:lvl>
  </w:abstractNum>
  <w:abstractNum w:abstractNumId="9">
    <w:nsid w:val="7672BD23"/>
    <w:multiLevelType w:val="hybridMultilevel"/>
    <w:lvl w:ilvl="0">
      <w:lvlJc w:val="left"/>
      <w:lvlText w:val="%1"/>
      <w:numFmt w:val="decimal"/>
      <w:start w:val="50"/>
    </w:lvl>
  </w:abstractNum>
  <w:abstractNum w:abstractNumId="10">
    <w:nsid w:val="6FC75AF8"/>
    <w:multiLevelType w:val="hybridMultilevel"/>
    <w:lvl w:ilvl="0">
      <w:lvlJc w:val="left"/>
      <w:lvlText w:val="%1"/>
      <w:numFmt w:val="decimal"/>
      <w:start w:val="50"/>
    </w:lvl>
  </w:abstractNum>
  <w:abstractNum w:abstractNumId="11">
    <w:nsid w:val="6A5F7029"/>
    <w:multiLevelType w:val="hybridMultilevel"/>
    <w:lvl w:ilvl="0">
      <w:lvlJc w:val="left"/>
      <w:lvlText w:val="%1"/>
      <w:numFmt w:val="decimal"/>
      <w:start w:val="53"/>
    </w:lvl>
  </w:abstractNum>
  <w:abstractNum w:abstractNumId="12">
    <w:nsid w:val="7D5E18F8"/>
    <w:multiLevelType w:val="hybridMultilevel"/>
    <w:lvl w:ilvl="0">
      <w:lvlJc w:val="left"/>
      <w:lvlText w:val="%1"/>
      <w:numFmt w:val="decimal"/>
      <w:start w:val="113"/>
    </w:lvl>
  </w:abstractNum>
  <w:abstractNum w:abstractNumId="13">
    <w:nsid w:val="5F3534A4"/>
    <w:multiLevelType w:val="hybridMultilevel"/>
    <w:lvl w:ilvl="0">
      <w:lvlJc w:val="left"/>
      <w:lvlText w:val="%1"/>
      <w:numFmt w:val="decimal"/>
      <w:start w:val="116"/>
    </w:lvl>
  </w:abstractNum>
  <w:abstractNum w:abstractNumId="14">
    <w:nsid w:val="73A1821B"/>
    <w:multiLevelType w:val="hybridMultilevel"/>
    <w:lvl w:ilvl="0">
      <w:lvlJc w:val="left"/>
      <w:lvlText w:val="%1"/>
      <w:numFmt w:val="decimal"/>
      <w:start w:val="116"/>
    </w:lvl>
  </w:abstractNum>
  <w:abstractNum w:abstractNumId="15">
    <w:nsid w:val="7DE67713"/>
    <w:multiLevelType w:val="hybridMultilevel"/>
    <w:lvl w:ilvl="0">
      <w:lvlJc w:val="left"/>
      <w:lvlText w:val="%1"/>
      <w:numFmt w:val="decimal"/>
      <w:start w:val="116"/>
    </w:lvl>
  </w:abstractNum>
  <w:abstractNum w:abstractNumId="16">
    <w:nsid w:val="555C55B5"/>
    <w:multiLevelType w:val="hybridMultilevel"/>
    <w:lvl w:ilvl="0">
      <w:lvlJc w:val="left"/>
      <w:lvlText w:val="%1"/>
      <w:numFmt w:val="decimal"/>
      <w:start w:val="116"/>
    </w:lvl>
  </w:abstractNum>
  <w:abstractNum w:abstractNumId="17">
    <w:nsid w:val="3FA62ACA"/>
    <w:multiLevelType w:val="hybridMultilevel"/>
    <w:lvl w:ilvl="0">
      <w:lvlJc w:val="left"/>
      <w:lvlText w:val="%1"/>
      <w:numFmt w:val="decimal"/>
      <w:start w:val="117"/>
    </w:lvl>
  </w:abstractNum>
  <w:abstractNum w:abstractNumId="18">
    <w:nsid w:val="14FCE74E"/>
    <w:multiLevelType w:val="hybridMultilevel"/>
    <w:lvl w:ilvl="0">
      <w:lvlJc w:val="left"/>
      <w:lvlText w:val="%1"/>
      <w:numFmt w:val="decimal"/>
      <w:start w:val="117"/>
    </w:lvl>
  </w:abstractNum>
  <w:abstractNum w:abstractNumId="19">
    <w:nsid w:val="6A3DD3E8"/>
    <w:multiLevelType w:val="hybridMultilevel"/>
    <w:lvl w:ilvl="0">
      <w:lvlJc w:val="left"/>
      <w:lvlText w:val="%1"/>
      <w:numFmt w:val="decimal"/>
      <w:start w:val="119"/>
    </w:lvl>
  </w:abstractNum>
  <w:abstractNum w:abstractNumId="20">
    <w:nsid w:val="71C91298"/>
    <w:multiLevelType w:val="hybridMultilevel"/>
    <w:lvl w:ilvl="0">
      <w:lvlJc w:val="left"/>
      <w:lvlText w:val="%1"/>
      <w:numFmt w:val="decimal"/>
      <w:start w:val="119"/>
    </w:lvl>
  </w:abstractNum>
  <w:abstractNum w:abstractNumId="21">
    <w:nsid w:val="9DAF632"/>
    <w:multiLevelType w:val="hybridMultilevel"/>
    <w:lvl w:ilvl="0">
      <w:lvlJc w:val="left"/>
      <w:lvlText w:val="%1"/>
      <w:numFmt w:val="decimal"/>
      <w:start w:val="119"/>
    </w:lvl>
  </w:abstractNum>
  <w:abstractNum w:abstractNumId="22">
    <w:nsid w:val="53299938"/>
    <w:multiLevelType w:val="hybridMultilevel"/>
    <w:lvl w:ilvl="0">
      <w:lvlJc w:val="left"/>
      <w:lvlText w:val="%1"/>
      <w:numFmt w:val="decimal"/>
      <w:start w:val="124"/>
    </w:lvl>
  </w:abstractNum>
  <w:abstractNum w:abstractNumId="23">
    <w:nsid w:val="1FBFE8E0"/>
    <w:multiLevelType w:val="hybridMultilevel"/>
    <w:lvl w:ilvl="0">
      <w:lvlJc w:val="left"/>
      <w:lvlText w:val="2"/>
      <w:numFmt w:val="bullet"/>
      <w:start w:val="1"/>
    </w:lvl>
  </w:abstractNum>
  <w:abstractNum w:abstractNumId="24">
    <w:nsid w:val="5092CA79"/>
    <w:multiLevelType w:val="hybridMultilevel"/>
    <w:lvl w:ilvl="0">
      <w:lvlJc w:val="left"/>
      <w:lvlText w:val="4"/>
      <w:numFmt w:val="bullet"/>
      <w:start w:val="1"/>
    </w:lvl>
  </w:abstractNum>
  <w:abstractNum w:abstractNumId="25">
    <w:nsid w:val="1D545C4D"/>
    <w:multiLevelType w:val="hybridMultilevel"/>
    <w:lvl w:ilvl="0">
      <w:lvlJc w:val="left"/>
      <w:lvlText w:val="6"/>
      <w:numFmt w:val="bullet"/>
      <w:start w:val="1"/>
    </w:lvl>
  </w:abstractNum>
  <w:abstractNum w:abstractNumId="26">
    <w:nsid w:val="59ADEA3D"/>
    <w:multiLevelType w:val="hybridMultilevel"/>
    <w:lvl w:ilvl="0">
      <w:lvlJc w:val="left"/>
      <w:lvlText w:val="8"/>
      <w:numFmt w:val="bullet"/>
      <w:start w:val="1"/>
    </w:lvl>
  </w:abstractNum>
  <w:abstractNum w:abstractNumId="27">
    <w:nsid w:val="288F1A34"/>
    <w:multiLevelType w:val="hybridMultilevel"/>
    <w:lvl w:ilvl="0">
      <w:lvlJc w:val="left"/>
      <w:lvlText w:val="1"/>
      <w:numFmt w:val="bullet"/>
      <w:start w:val="1"/>
    </w:lvl>
  </w:abstractNum>
  <w:abstractNum w:abstractNumId="28">
    <w:nsid w:val="2A155DBC"/>
    <w:multiLevelType w:val="hybridMultilevel"/>
    <w:lvl w:ilvl="0">
      <w:lvlJc w:val="left"/>
      <w:lvlText w:val="%1"/>
      <w:numFmt w:val="decimal"/>
      <w:start w:val="10"/>
    </w:lvl>
  </w:abstractNum>
  <w:abstractNum w:abstractNumId="29">
    <w:nsid w:val="1D9F6E5F"/>
    <w:multiLevelType w:val="hybridMultilevel"/>
    <w:lvl w:ilvl="0">
      <w:lvlJc w:val="left"/>
      <w:lvlText w:val="(%1)"/>
      <w:numFmt w:val="decimal"/>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1"/>
      <w:numFmt w:val="decimal"/>
      <w:start w:val="1"/>
    </w:lvl>
    <w:lvl w:ilvl="1">
      <w:lvlJc w:val="left"/>
      <w:lvlText w:val="(%2)"/>
      <w:numFmt w:val="decimal"/>
      <w:start w:val="1"/>
    </w:lvl>
  </w:abstractNum>
  <w:abstractNum w:abstractNumId="32">
    <w:nsid w:val="1CA0C5FA"/>
    <w:multiLevelType w:val="hybridMultilevel"/>
    <w:lvl w:ilvl="0">
      <w:lvlJc w:val="left"/>
      <w:lvlText w:val="(%1)"/>
      <w:numFmt w:val="decimal"/>
      <w:start w:val="2"/>
    </w:lvl>
    <w:lvl w:ilvl="1">
      <w:lvlJc w:val="left"/>
      <w:lvlText w:val="%2"/>
      <w:numFmt w:val="decimal"/>
      <w:start w:val="1"/>
    </w:lvl>
  </w:abstractNum>
  <w:abstractNum w:abstractNumId="33">
    <w:nsid w:val="53584BCB"/>
    <w:multiLevelType w:val="hybridMultilevel"/>
    <w:lvl w:ilvl="0">
      <w:lvlJc w:val="left"/>
      <w:lvlText w:val="%1"/>
      <w:numFmt w:val="decimal"/>
      <w:start w:val="12"/>
    </w:lvl>
  </w:abstractNum>
  <w:abstractNum w:abstractNumId="34">
    <w:nsid w:val="415E286C"/>
    <w:multiLevelType w:val="hybridMultilevel"/>
    <w:lvl w:ilvl="0">
      <w:lvlJc w:val="left"/>
      <w:lvlText w:val="(%1)"/>
      <w:numFmt w:val="decimal"/>
      <w:start w:val="1"/>
    </w:lvl>
  </w:abstractNum>
  <w:abstractNum w:abstractNumId="35">
    <w:nsid w:val="7C58FD05"/>
    <w:multiLevelType w:val="hybridMultilevel"/>
    <w:lvl w:ilvl="0">
      <w:lvlJc w:val="left"/>
      <w:lvlText w:val="%1"/>
      <w:numFmt w:val="decimal"/>
      <w:start w:val="14"/>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1"/>
      <w:numFmt w:val="decimal"/>
      <w:start w:val="16"/>
    </w:lvl>
  </w:abstractNum>
  <w:abstractNum w:abstractNumId="38">
    <w:nsid w:val="5C10FE21"/>
    <w:multiLevelType w:val="hybridMultilevel"/>
    <w:lvl w:ilvl="0">
      <w:lvlJc w:val="left"/>
      <w:lvlText w:val="%1"/>
      <w:numFmt w:val="decimal"/>
      <w:start w:val="18"/>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1"/>
      <w:numFmt w:val="decimal"/>
      <w:start w:val="20"/>
    </w:lvl>
  </w:abstractNum>
  <w:abstractNum w:abstractNumId="43">
    <w:nsid w:val="39B7AAA2"/>
    <w:multiLevelType w:val="hybridMultilevel"/>
    <w:lvl w:ilvl="0">
      <w:lvlJc w:val="left"/>
      <w:lvlText w:val="•"/>
      <w:numFmt w:val="bullet"/>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1"/>
      <w:numFmt w:val="decimal"/>
      <w:start w:val="22"/>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1)"/>
      <w:numFmt w:val="decimal"/>
      <w:start w:val="1"/>
    </w:lvl>
  </w:abstractNum>
  <w:abstractNum w:abstractNumId="49">
    <w:nsid w:val="4C9B0904"/>
    <w:multiLevelType w:val="hybridMultilevel"/>
    <w:lvl w:ilvl="0">
      <w:lvlJc w:val="left"/>
      <w:lvlText w:val="•"/>
      <w:numFmt w:val="bullet"/>
      <w:start w:val="1"/>
    </w:lvl>
  </w:abstractNum>
  <w:abstractNum w:abstractNumId="50">
    <w:nsid w:val="6AA7B75C"/>
    <w:multiLevelType w:val="hybridMultilevel"/>
    <w:lvl w:ilvl="0">
      <w:lvlJc w:val="left"/>
      <w:lvlText w:val="%1"/>
      <w:numFmt w:val="decimal"/>
      <w:start w:val="24"/>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
      <w:numFmt w:val="bullet"/>
      <w:start w:val="1"/>
    </w:lvl>
  </w:abstractNum>
  <w:abstractNum w:abstractNumId="53">
    <w:nsid w:val="3DD15094"/>
    <w:multiLevelType w:val="hybridMultilevel"/>
    <w:lvl w:ilvl="0">
      <w:lvlJc w:val="left"/>
      <w:lvlText w:val="%1"/>
      <w:numFmt w:val="decimal"/>
      <w:start w:val="26"/>
    </w:lvl>
  </w:abstractNum>
  <w:abstractNum w:abstractNumId="54">
    <w:nsid w:val="3DB012B3"/>
    <w:multiLevelType w:val="hybridMultilevel"/>
    <w:lvl w:ilvl="0">
      <w:lvlJc w:val="left"/>
      <w:lvlText w:val="•"/>
      <w:numFmt w:val="bullet"/>
      <w:start w:val="1"/>
    </w:lvl>
  </w:abstractNum>
  <w:abstractNum w:abstractNumId="55">
    <w:nsid w:val="2708C9AF"/>
    <w:multiLevelType w:val="hybridMultilevel"/>
    <w:lvl w:ilvl="0">
      <w:lvlJc w:val="left"/>
      <w:lvlText w:val="%1"/>
      <w:numFmt w:val="decimal"/>
      <w:start w:val="28"/>
    </w:lvl>
  </w:abstractNum>
  <w:abstractNum w:abstractNumId="56">
    <w:nsid w:val="5B25ACE2"/>
    <w:multiLevelType w:val="hybridMultilevel"/>
    <w:lvl w:ilvl="0">
      <w:lvlJc w:val="left"/>
      <w:lvlText w:val="•"/>
      <w:numFmt w:val="bullet"/>
      <w:start w:val="1"/>
    </w:lvl>
  </w:abstractNum>
  <w:abstractNum w:abstractNumId="57">
    <w:nsid w:val="175DFCF0"/>
    <w:multiLevelType w:val="hybridMultilevel"/>
    <w:lvl w:ilvl="0">
      <w:lvlJc w:val="left"/>
      <w:lvlText w:val="•"/>
      <w:numFmt w:val="bullet"/>
      <w:start w:val="1"/>
    </w:lvl>
  </w:abstractNum>
  <w:abstractNum w:abstractNumId="58">
    <w:nsid w:val="4F97E3E4"/>
    <w:multiLevelType w:val="hybridMultilevel"/>
    <w:lvl w:ilvl="0">
      <w:lvlJc w:val="left"/>
      <w:lvlText w:val="%1"/>
      <w:numFmt w:val="decimal"/>
      <w:start w:val="30"/>
    </w:lvl>
  </w:abstractNum>
  <w:abstractNum w:abstractNumId="59">
    <w:nsid w:val="53B0A9E"/>
    <w:multiLevelType w:val="hybridMultilevel"/>
    <w:lvl w:ilvl="0">
      <w:lvlJc w:val="left"/>
      <w:lvlText w:val="%1"/>
      <w:numFmt w:val="decimal"/>
      <w:start w:val="32"/>
    </w:lvl>
  </w:abstractNum>
  <w:abstractNum w:abstractNumId="60">
    <w:nsid w:val="34FD6B4F"/>
    <w:multiLevelType w:val="hybridMultilevel"/>
    <w:lvl w:ilvl="0">
      <w:lvlJc w:val="left"/>
      <w:lvlText w:val="%1"/>
      <w:numFmt w:val="decimal"/>
      <w:start w:val="34"/>
    </w:lvl>
  </w:abstractNum>
  <w:abstractNum w:abstractNumId="61">
    <w:nsid w:val="5915FF32"/>
    <w:multiLevelType w:val="hybridMultilevel"/>
    <w:lvl w:ilvl="0">
      <w:lvlJc w:val="left"/>
      <w:lvlText w:val="%1"/>
      <w:numFmt w:val="decimal"/>
      <w:start w:val="36"/>
    </w:lvl>
  </w:abstractNum>
  <w:abstractNum w:abstractNumId="62">
    <w:nsid w:val="56438D15"/>
    <w:multiLevelType w:val="hybridMultilevel"/>
    <w:lvl w:ilvl="0">
      <w:lvlJc w:val="left"/>
      <w:lvlText w:val="%1"/>
      <w:numFmt w:val="decimal"/>
      <w:start w:val="38"/>
    </w:lvl>
  </w:abstractNum>
  <w:abstractNum w:abstractNumId="63">
    <w:nsid w:val="519E3149"/>
    <w:multiLevelType w:val="hybridMultilevel"/>
    <w:lvl w:ilvl="0">
      <w:lvlJc w:val="left"/>
      <w:lvlText w:val="•"/>
      <w:numFmt w:val="bullet"/>
      <w:start w:val="1"/>
    </w:lvl>
  </w:abstractNum>
  <w:abstractNum w:abstractNumId="64">
    <w:nsid w:val="2C6E4AFD"/>
    <w:multiLevelType w:val="hybridMultilevel"/>
    <w:lvl w:ilvl="0">
      <w:lvlJc w:val="left"/>
      <w:lvlText w:val="%1"/>
      <w:numFmt w:val="decimal"/>
      <w:start w:val="40"/>
    </w:lvl>
  </w:abstractNum>
  <w:abstractNum w:abstractNumId="65">
    <w:nsid w:val="17A1B582"/>
    <w:multiLevelType w:val="hybridMultilevel"/>
    <w:lvl w:ilvl="0">
      <w:lvlJc w:val="left"/>
      <w:lvlText w:val="•"/>
      <w:numFmt w:val="bullet"/>
      <w:start w:val="1"/>
    </w:lvl>
  </w:abstractNum>
  <w:abstractNum w:abstractNumId="66">
    <w:nsid w:val="4DF72E4E"/>
    <w:multiLevelType w:val="hybridMultilevel"/>
    <w:lvl w:ilvl="0">
      <w:lvlJc w:val="left"/>
      <w:lvlText w:val="(%1)"/>
      <w:numFmt w:val="decimal"/>
      <w:start w:val="1"/>
    </w:lvl>
  </w:abstractNum>
  <w:abstractNum w:abstractNumId="67">
    <w:nsid w:val="5046B5A9"/>
    <w:multiLevelType w:val="hybridMultilevel"/>
    <w:lvl w:ilvl="0">
      <w:lvlJc w:val="left"/>
      <w:lvlText w:val="%1"/>
      <w:numFmt w:val="decimal"/>
      <w:start w:val="42"/>
    </w:lvl>
  </w:abstractNum>
  <w:abstractNum w:abstractNumId="68">
    <w:nsid w:val="5D888A08"/>
    <w:multiLevelType w:val="hybridMultilevel"/>
    <w:lvl w:ilvl="0">
      <w:lvlJc w:val="left"/>
      <w:lvlText w:val="(%1)"/>
      <w:numFmt w:val="decimal"/>
      <w:start w:val="1"/>
    </w:lvl>
  </w:abstractNum>
  <w:abstractNum w:abstractNumId="69">
    <w:nsid w:val="2A082C70"/>
    <w:multiLevelType w:val="hybridMultilevel"/>
    <w:lvl w:ilvl="0">
      <w:lvlJc w:val="left"/>
      <w:lvlText w:val="%1"/>
      <w:numFmt w:val="decimal"/>
      <w:start w:val="44"/>
    </w:lvl>
  </w:abstractNum>
  <w:abstractNum w:abstractNumId="70">
    <w:nsid w:val="5EC6AFD4"/>
    <w:multiLevelType w:val="hybridMultilevel"/>
    <w:lvl w:ilvl="0">
      <w:lvlJc w:val="left"/>
      <w:lvlText w:val="•"/>
      <w:numFmt w:val="bullet"/>
      <w:start w:val="1"/>
    </w:lvl>
  </w:abstractNum>
  <w:abstractNum w:abstractNumId="71">
    <w:nsid w:val="19E21BB2"/>
    <w:multiLevelType w:val="hybridMultilevel"/>
    <w:lvl w:ilvl="0">
      <w:lvlJc w:val="left"/>
      <w:lvlText w:val="%1"/>
      <w:numFmt w:val="decimal"/>
      <w:start w:val="46"/>
    </w:lvl>
  </w:abstractNum>
  <w:abstractNum w:abstractNumId="72">
    <w:nsid w:val="75E0858A"/>
    <w:multiLevelType w:val="hybridMultilevel"/>
    <w:lvl w:ilvl="0">
      <w:lvlJc w:val="left"/>
      <w:lvlText w:val="%1"/>
      <w:numFmt w:val="decimal"/>
      <w:start w:val="48"/>
    </w:lvl>
  </w:abstractNum>
  <w:abstractNum w:abstractNumId="73">
    <w:nsid w:val="57A61A29"/>
    <w:multiLevelType w:val="hybridMultilevel"/>
    <w:lvl w:ilvl="0">
      <w:lvlJc w:val="left"/>
      <w:lvlText w:val="(%1)"/>
      <w:numFmt w:val="lowerLetter"/>
      <w:start w:val="1"/>
    </w:lvl>
  </w:abstractNum>
  <w:abstractNum w:abstractNumId="74">
    <w:nsid w:val="5399C654"/>
    <w:multiLevelType w:val="hybridMultilevel"/>
    <w:lvl w:ilvl="0">
      <w:lvlJc w:val="left"/>
      <w:lvlText w:val="%1"/>
      <w:numFmt w:val="decimal"/>
      <w:start w:val="50"/>
    </w:lvl>
  </w:abstractNum>
  <w:abstractNum w:abstractNumId="75">
    <w:nsid w:val="20EE1348"/>
    <w:multiLevelType w:val="hybridMultilevel"/>
    <w:lvl w:ilvl="0">
      <w:lvlJc w:val="left"/>
      <w:lvlText w:val="%1"/>
      <w:numFmt w:val="decimal"/>
      <w:start w:val="54"/>
    </w:lvl>
  </w:abstractNum>
  <w:abstractNum w:abstractNumId="76">
    <w:nsid w:val="4427069A"/>
    <w:multiLevelType w:val="hybridMultilevel"/>
    <w:lvl w:ilvl="0">
      <w:lvlJc w:val="left"/>
      <w:lvlText w:val="%1"/>
      <w:numFmt w:val="decimal"/>
      <w:start w:val="56"/>
    </w:lvl>
  </w:abstractNum>
  <w:abstractNum w:abstractNumId="77">
    <w:nsid w:val="B37E80A"/>
    <w:multiLevelType w:val="hybridMultilevel"/>
    <w:lvl w:ilvl="0">
      <w:lvlJc w:val="left"/>
      <w:lvlText w:val="%1"/>
      <w:numFmt w:val="decimal"/>
      <w:start w:val="58"/>
    </w:lvl>
  </w:abstractNum>
  <w:abstractNum w:abstractNumId="78">
    <w:nsid w:val="2157F6BC"/>
    <w:multiLevelType w:val="hybridMultilevel"/>
    <w:lvl w:ilvl="0">
      <w:lvlJc w:val="left"/>
      <w:lvlText w:val="%1"/>
      <w:numFmt w:val="decimal"/>
      <w:start w:val="60"/>
    </w:lvl>
  </w:abstractNum>
  <w:abstractNum w:abstractNumId="79">
    <w:nsid w:val="704E1DD5"/>
    <w:multiLevelType w:val="hybridMultilevel"/>
    <w:lvl w:ilvl="0">
      <w:lvlJc w:val="left"/>
      <w:lvlText w:val="%1"/>
      <w:numFmt w:val="decimal"/>
      <w:start w:val="62"/>
    </w:lvl>
  </w:abstractNum>
  <w:abstractNum w:abstractNumId="80">
    <w:nsid w:val="57D2F10E"/>
    <w:multiLevelType w:val="hybridMultilevel"/>
    <w:lvl w:ilvl="0">
      <w:lvlJc w:val="left"/>
      <w:lvlText w:val="%1"/>
      <w:numFmt w:val="decimal"/>
      <w:start w:val="64"/>
    </w:lvl>
  </w:abstractNum>
  <w:abstractNum w:abstractNumId="81">
    <w:nsid w:val="BFFAE18"/>
    <w:multiLevelType w:val="hybridMultilevel"/>
    <w:lvl w:ilvl="0">
      <w:lvlJc w:val="left"/>
      <w:lvlText w:val="%1"/>
      <w:numFmt w:val="decimal"/>
      <w:start w:val="66"/>
    </w:lvl>
  </w:abstractNum>
  <w:abstractNum w:abstractNumId="82">
    <w:nsid w:val="E3E47A8"/>
    <w:multiLevelType w:val="hybridMultilevel"/>
    <w:lvl w:ilvl="0">
      <w:lvlJc w:val="left"/>
      <w:lvlText w:val="%1"/>
      <w:numFmt w:val="decimal"/>
      <w:start w:val="70"/>
    </w:lvl>
  </w:abstractNum>
  <w:abstractNum w:abstractNumId="83">
    <w:nsid w:val="2E48F044"/>
    <w:multiLevelType w:val="hybridMultilevel"/>
    <w:lvl w:ilvl="0">
      <w:lvlJc w:val="left"/>
      <w:lvlText w:val="(%1)"/>
      <w:numFmt w:val="decimal"/>
      <w:start w:val="1"/>
    </w:lvl>
  </w:abstractNum>
  <w:abstractNum w:abstractNumId="84">
    <w:nsid w:val="49D0FEAC"/>
    <w:multiLevelType w:val="hybridMultilevel"/>
    <w:lvl w:ilvl="0">
      <w:lvlJc w:val="left"/>
      <w:lvlText w:val="%1"/>
      <w:numFmt w:val="decimal"/>
      <w:start w:val="80"/>
    </w:lvl>
  </w:abstractNum>
  <w:abstractNum w:abstractNumId="85">
    <w:nsid w:val="4BEE5A5B"/>
    <w:multiLevelType w:val="hybridMultilevel"/>
    <w:lvl w:ilvl="0">
      <w:lvlJc w:val="left"/>
      <w:lvlText w:val="%1"/>
      <w:numFmt w:val="decimal"/>
      <w:start w:val="82"/>
    </w:lvl>
  </w:abstractNum>
  <w:abstractNum w:abstractNumId="86">
    <w:nsid w:val="5551B9F3"/>
    <w:multiLevelType w:val="hybridMultilevel"/>
    <w:lvl w:ilvl="0">
      <w:lvlJc w:val="left"/>
      <w:lvlText w:val="•"/>
      <w:numFmt w:val="bullet"/>
      <w:start w:val="1"/>
    </w:lvl>
  </w:abstractNum>
  <w:abstractNum w:abstractNumId="87">
    <w:nsid w:val="24F6AB8E"/>
    <w:multiLevelType w:val="hybridMultilevel"/>
    <w:lvl w:ilvl="0">
      <w:lvlJc w:val="left"/>
      <w:lvlText w:val="%1"/>
      <w:numFmt w:val="decimal"/>
      <w:start w:val="84"/>
    </w:lvl>
  </w:abstractNum>
  <w:abstractNum w:abstractNumId="88">
    <w:nsid w:val="634C574C"/>
    <w:multiLevelType w:val="hybridMultilevel"/>
    <w:lvl w:ilvl="0">
      <w:lvlJc w:val="left"/>
      <w:lvlText w:val="(%1)"/>
      <w:numFmt w:val="decimal"/>
      <w:start w:val="1"/>
    </w:lvl>
  </w:abstractNum>
  <w:abstractNum w:abstractNumId="89">
    <w:nsid w:val="24E99DD7"/>
    <w:multiLevelType w:val="hybridMultilevel"/>
    <w:lvl w:ilvl="0">
      <w:lvlJc w:val="left"/>
      <w:lvlText w:val="%1"/>
      <w:numFmt w:val="decimal"/>
      <w:start w:val="86"/>
    </w:lvl>
  </w:abstractNum>
  <w:abstractNum w:abstractNumId="90">
    <w:nsid w:val="2A31B62D"/>
    <w:multiLevelType w:val="hybridMultilevel"/>
    <w:lvl w:ilvl="0">
      <w:lvlJc w:val="left"/>
      <w:lvlText w:val="(%1)"/>
      <w:numFmt w:val="decimal"/>
      <w:start w:val="1"/>
    </w:lvl>
  </w:abstractNum>
  <w:abstractNum w:abstractNumId="91">
    <w:nsid w:val="1849C29B"/>
    <w:multiLevelType w:val="hybridMultilevel"/>
    <w:lvl w:ilvl="0">
      <w:lvlJc w:val="left"/>
      <w:lvlText w:val="(%1)"/>
      <w:numFmt w:val="decimal"/>
      <w:start w:val="1"/>
    </w:lvl>
  </w:abstractNum>
  <w:abstractNum w:abstractNumId="92">
    <w:nsid w:val="7DFF9D09"/>
    <w:multiLevelType w:val="hybridMultilevel"/>
    <w:lvl w:ilvl="0">
      <w:lvlJc w:val="left"/>
      <w:lvlText w:val="%1"/>
      <w:numFmt w:val="decimal"/>
      <w:start w:val="88"/>
    </w:lvl>
  </w:abstractNum>
  <w:abstractNum w:abstractNumId="93">
    <w:nsid w:val="754342"/>
    <w:multiLevelType w:val="hybridMultilevel"/>
    <w:lvl w:ilvl="0">
      <w:lvlJc w:val="left"/>
      <w:lvlText w:val="%1"/>
      <w:numFmt w:val="decimal"/>
      <w:start w:val="92"/>
    </w:lvl>
  </w:abstractNum>
  <w:abstractNum w:abstractNumId="94">
    <w:nsid w:val="69E7F3E5"/>
    <w:multiLevelType w:val="hybridMultilevel"/>
    <w:lvl w:ilvl="0">
      <w:lvlJc w:val="left"/>
      <w:lvlText w:val="%1"/>
      <w:numFmt w:val="decimal"/>
      <w:start w:val="96"/>
    </w:lvl>
  </w:abstractNum>
  <w:abstractNum w:abstractNumId="95">
    <w:nsid w:val="2A6DE806"/>
    <w:multiLevelType w:val="hybridMultilevel"/>
    <w:lvl w:ilvl="0">
      <w:lvlJc w:val="left"/>
      <w:lvlText w:val="(%1)"/>
      <w:numFmt w:val="lowerRoman"/>
      <w:start w:val="1"/>
    </w:lvl>
  </w:abstractNum>
  <w:abstractNum w:abstractNumId="96">
    <w:nsid w:val="1816F8C4"/>
    <w:multiLevelType w:val="hybridMultilevel"/>
    <w:lvl w:ilvl="0">
      <w:lvlJc w:val="left"/>
      <w:lvlText w:val="•"/>
      <w:numFmt w:val="bullet"/>
      <w:start w:val="1"/>
    </w:lvl>
  </w:abstractNum>
  <w:abstractNum w:abstractNumId="97">
    <w:nsid w:val="37DF2233"/>
    <w:multiLevelType w:val="hybridMultilevel"/>
    <w:lvl w:ilvl="0">
      <w:lvlJc w:val="left"/>
      <w:lvlText w:val="%1"/>
      <w:numFmt w:val="decimal"/>
      <w:start w:val="98"/>
    </w:lvl>
  </w:abstractNum>
  <w:abstractNum w:abstractNumId="98">
    <w:nsid w:val="7AB49DAF"/>
    <w:multiLevelType w:val="hybridMultilevel"/>
    <w:lvl w:ilvl="0">
      <w:lvlJc w:val="left"/>
      <w:lvlText w:val="%1"/>
      <w:numFmt w:val="decimal"/>
      <w:start w:val="100"/>
    </w:lvl>
  </w:abstractNum>
  <w:abstractNum w:abstractNumId="99">
    <w:nsid w:val="759F82CD"/>
    <w:multiLevelType w:val="hybridMultilevel"/>
    <w:lvl w:ilvl="0">
      <w:lvlJc w:val="left"/>
      <w:lvlText w:val="(%1)"/>
      <w:numFmt w:val="decimal"/>
      <w:start w:val="1"/>
    </w:lvl>
  </w:abstractNum>
  <w:abstractNum w:abstractNumId="100">
    <w:nsid w:val="61E74EA3"/>
    <w:multiLevelType w:val="hybridMultilevel"/>
    <w:lvl w:ilvl="0">
      <w:lvlJc w:val="left"/>
      <w:lvlText w:val="(%1)"/>
      <w:numFmt w:val="decimal"/>
      <w:start w:val="1"/>
    </w:lvl>
  </w:abstractNum>
  <w:abstractNum w:abstractNumId="101">
    <w:nsid w:val="597B4D84"/>
    <w:multiLevelType w:val="hybridMultilevel"/>
    <w:lvl w:ilvl="0">
      <w:lvlJc w:val="left"/>
      <w:lvlText w:val="%1"/>
      <w:numFmt w:val="decimal"/>
      <w:start w:val="102"/>
    </w:lvl>
  </w:abstractNum>
  <w:abstractNum w:abstractNumId="102">
    <w:nsid w:val="F819E7F"/>
    <w:multiLevelType w:val="hybridMultilevel"/>
    <w:lvl w:ilvl="0">
      <w:lvlJc w:val="left"/>
      <w:lvlText w:val="(%1)"/>
      <w:numFmt w:val="decimal"/>
      <w:start w:val="1"/>
    </w:lvl>
  </w:abstractNum>
  <w:abstractNum w:abstractNumId="103">
    <w:nsid w:val="57C7D42D"/>
    <w:multiLevelType w:val="hybridMultilevel"/>
    <w:lvl w:ilvl="0">
      <w:lvlJc w:val="left"/>
      <w:lvlText w:val="%1"/>
      <w:numFmt w:val="decimal"/>
      <w:start w:val="104"/>
    </w:lvl>
  </w:abstractNum>
  <w:abstractNum w:abstractNumId="104">
    <w:nsid w:val="312167AD"/>
    <w:multiLevelType w:val="hybridMultilevel"/>
    <w:lvl w:ilvl="0">
      <w:lvlJc w:val="left"/>
      <w:lvlText w:val="%1"/>
      <w:numFmt w:val="decimal"/>
      <w:start w:val="108"/>
    </w:lvl>
  </w:abstractNum>
  <w:abstractNum w:abstractNumId="105">
    <w:nsid w:val="631B64D4"/>
    <w:multiLevelType w:val="hybridMultilevel"/>
    <w:lvl w:ilvl="0">
      <w:lvlJc w:val="left"/>
      <w:lvlText w:val="(%1)"/>
      <w:numFmt w:val="decimal"/>
      <w:start w:val="1"/>
    </w:lvl>
  </w:abstractNum>
  <w:abstractNum w:abstractNumId="106">
    <w:nsid w:val="78B5E776"/>
    <w:multiLevelType w:val="hybridMultilevel"/>
    <w:lvl w:ilvl="0">
      <w:lvlJc w:val="left"/>
      <w:lvlText w:val="(%1)"/>
      <w:numFmt w:val="decimal"/>
      <w:start w:val="1"/>
    </w:lvl>
  </w:abstractNum>
  <w:abstractNum w:abstractNumId="107">
    <w:nsid w:val="75486E47"/>
    <w:multiLevelType w:val="hybridMultilevel"/>
    <w:lvl w:ilvl="0">
      <w:lvlJc w:val="left"/>
      <w:lvlText w:val="(%1)"/>
      <w:numFmt w:val="decimal"/>
      <w:start w:val="1"/>
    </w:lvl>
  </w:abstractNum>
  <w:abstractNum w:abstractNumId="108">
    <w:nsid w:val="6E534CDE"/>
    <w:multiLevelType w:val="hybridMultilevel"/>
    <w:lvl w:ilvl="0">
      <w:lvlJc w:val="left"/>
      <w:lvlText w:val="%1"/>
      <w:numFmt w:val="decimal"/>
      <w:start w:val="112"/>
    </w:lvl>
  </w:abstractNum>
  <w:abstractNum w:abstractNumId="109">
    <w:nsid w:val="1A0DDE32"/>
    <w:multiLevelType w:val="hybridMultilevel"/>
    <w:lvl w:ilvl="0">
      <w:lvlJc w:val="left"/>
      <w:lvlText w:val="•"/>
      <w:numFmt w:val="bullet"/>
      <w:start w:val="1"/>
    </w:lvl>
    <w:lvl w:ilvl="1">
      <w:lvlJc w:val="left"/>
      <w:lvlText w:val="◦"/>
      <w:numFmt w:val="bullet"/>
      <w:start w:val="1"/>
    </w:lvl>
  </w:abstractNum>
  <w:abstractNum w:abstractNumId="110">
    <w:nsid w:val="65968C1C"/>
    <w:multiLevelType w:val="hybridMultilevel"/>
    <w:lvl w:ilvl="0">
      <w:lvlJc w:val="left"/>
      <w:lvlText w:val="%1"/>
      <w:numFmt w:val="decimal"/>
      <w:start w:val="114"/>
    </w:lvl>
  </w:abstractNum>
  <w:abstractNum w:abstractNumId="111">
    <w:nsid w:val="46263DEC"/>
    <w:multiLevelType w:val="hybridMultilevel"/>
    <w:lvl w:ilvl="0">
      <w:lvlJc w:val="left"/>
      <w:lvlText w:val="•"/>
      <w:numFmt w:val="bullet"/>
      <w:start w:val="1"/>
    </w:lvl>
  </w:abstractNum>
  <w:abstractNum w:abstractNumId="112">
    <w:nsid w:val="260D8C4A"/>
    <w:multiLevelType w:val="hybridMultilevel"/>
    <w:lvl w:ilvl="0">
      <w:lvlJc w:val="left"/>
      <w:lvlText w:val="%1"/>
      <w:numFmt w:val="decimal"/>
      <w:start w:val="116"/>
    </w:lvl>
  </w:abstractNum>
  <w:abstractNum w:abstractNumId="113">
    <w:nsid w:val="73D4D3C4"/>
    <w:multiLevelType w:val="hybridMultilevel"/>
    <w:lvl w:ilvl="0">
      <w:lvlJc w:val="left"/>
      <w:lvlText w:val="(%1)"/>
      <w:numFmt w:val="decimal"/>
      <w:start w:val="1"/>
    </w:lvl>
    <w:lvl w:ilvl="1">
      <w:lvlJc w:val="left"/>
      <w:lvlText w:val="•"/>
      <w:numFmt w:val="bullet"/>
      <w:start w:val="1"/>
    </w:lvl>
  </w:abstractNum>
  <w:abstractNum w:abstractNumId="114">
    <w:nsid w:val="746F2E30"/>
    <w:multiLevelType w:val="hybridMultilevel"/>
    <w:lvl w:ilvl="0">
      <w:lvlJc w:val="left"/>
      <w:lvlText w:val="(%1)"/>
      <w:numFmt w:val="decimal"/>
      <w:start w:val="4"/>
    </w:lvl>
  </w:abstractNum>
  <w:abstractNum w:abstractNumId="115">
    <w:nsid w:val="6FDE8AF6"/>
    <w:multiLevelType w:val="hybridMultilevel"/>
    <w:lvl w:ilvl="0">
      <w:lvlJc w:val="left"/>
      <w:lvlText w:val="%1"/>
      <w:numFmt w:val="decimal"/>
      <w:start w:val="118"/>
    </w:lvl>
  </w:abstractNum>
  <w:abstractNum w:abstractNumId="116">
    <w:nsid w:val="3FC32E20"/>
    <w:multiLevelType w:val="hybridMultilevel"/>
    <w:lvl w:ilvl="0">
      <w:lvlJc w:val="left"/>
      <w:lvlText w:val="%1"/>
      <w:numFmt w:val="decimal"/>
      <w:start w:val="120"/>
    </w:lvl>
  </w:abstractNum>
  <w:abstractNum w:abstractNumId="117">
    <w:nsid w:val="49C0E823"/>
    <w:multiLevelType w:val="hybridMultilevel"/>
    <w:lvl w:ilvl="0">
      <w:lvlJc w:val="left"/>
      <w:lvlText w:val="%1"/>
      <w:numFmt w:val="decimal"/>
      <w:start w:val="122"/>
    </w:lvl>
  </w:abstractNum>
  <w:abstractNum w:abstractNumId="118">
    <w:nsid w:val="14D53685"/>
    <w:multiLevelType w:val="hybridMultilevel"/>
    <w:lvl w:ilvl="0">
      <w:lvlJc w:val="left"/>
      <w:lvlText w:val="%1"/>
      <w:numFmt w:val="decimal"/>
      <w:start w:val="125"/>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
      <w:numFmt w:val="bullet"/>
      <w:start w:val="1"/>
    </w:lvl>
  </w:abstractNum>
  <w:abstractNum w:abstractNumId="121">
    <w:nsid w:val="3F06ECB2"/>
    <w:multiLevelType w:val="hybridMultilevel"/>
    <w:lvl w:ilvl="0">
      <w:lvlJc w:val="left"/>
      <w:lvlText w:val="•"/>
      <w:numFmt w:val="bullet"/>
      <w:start w:val="1"/>
    </w:lvl>
    <w:lvl w:ilvl="1">
      <w:lvlJc w:val="left"/>
      <w:lvlText w:val="◦"/>
      <w:numFmt w:val="bullet"/>
      <w:start w:val="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
      <w:numFmt w:val="bullet"/>
      <w:start w:val="1"/>
    </w:lvl>
  </w:abstractNum>
  <w:abstractNum w:abstractNumId="125">
    <w:nsid w:val="25413BEC"/>
    <w:multiLevelType w:val="hybridMultilevel"/>
    <w:lvl w:ilvl="0">
      <w:lvlJc w:val="left"/>
      <w:lvlText w:val="•"/>
      <w:numFmt w:val="bullet"/>
      <w:start w:val="1"/>
    </w:lvl>
  </w:abstractNum>
  <w:abstractNum w:abstractNumId="126">
    <w:nsid w:val="17180B0B"/>
    <w:multiLevelType w:val="hybridMultilevel"/>
    <w:lvl w:ilvl="0">
      <w:lvlJc w:val="left"/>
      <w:lvlText w:val="(%1)"/>
      <w:numFmt w:val="decimal"/>
      <w:start w:val="1"/>
    </w:lvl>
  </w:abstractNum>
  <w:abstractNum w:abstractNumId="127">
    <w:nsid w:val="579328B9"/>
    <w:multiLevelType w:val="hybridMultilevel"/>
    <w:lvl w:ilvl="0">
      <w:lvlJc w:val="left"/>
      <w:lvlText w:val="•"/>
      <w:numFmt w:val="bullet"/>
      <w:start w:val="1"/>
    </w:lvl>
  </w:abstractNum>
  <w:abstractNum w:abstractNumId="128">
    <w:nsid w:val="5D205E20"/>
    <w:multiLevelType w:val="hybridMultilevel"/>
    <w:lvl w:ilvl="0">
      <w:lvlJc w:val="left"/>
      <w:lvlText w:val="•"/>
      <w:numFmt w:val="bullet"/>
      <w:start w:val="1"/>
    </w:lvl>
  </w:abstractNum>
  <w:abstractNum w:abstractNumId="129">
    <w:nsid w:val="11CCA8BA"/>
    <w:multiLevelType w:val="hybridMultilevel"/>
    <w:lvl w:ilvl="0">
      <w:lvlJc w:val="left"/>
      <w:lvlText w:val="•"/>
      <w:numFmt w:val="bullet"/>
      <w:start w:val="1"/>
    </w:lvl>
  </w:abstractNum>
  <w:abstractNum w:abstractNumId="130">
    <w:nsid w:val="4D32AB86"/>
    <w:multiLevelType w:val="hybridMultilevel"/>
    <w:lvl w:ilvl="0">
      <w:lvlJc w:val="left"/>
      <w:lvlText w:val="•"/>
      <w:numFmt w:val="bullet"/>
      <w:start w:val="1"/>
    </w:lvl>
  </w:abstractNum>
  <w:abstractNum w:abstractNumId="131">
    <w:nsid w:val="3F07ACC3"/>
    <w:multiLevelType w:val="hybridMultilevel"/>
    <w:lvl w:ilvl="0">
      <w:lvlJc w:val="left"/>
      <w:lvlText w:val="1"/>
      <w:numFmt w:val="bullet"/>
      <w:start w:val="1"/>
    </w:lvl>
    <w:lvl w:ilvl="1">
      <w:lvlJc w:val="left"/>
      <w:lvlText w:val="%2."/>
      <w:numFmt w:val="lowerLetter"/>
      <w:start w:val="1"/>
    </w:lvl>
  </w:abstractNum>
  <w:abstractNum w:abstractNumId="132">
    <w:nsid w:val="6B47F63E"/>
    <w:multiLevelType w:val="hybridMultilevel"/>
    <w:lvl w:ilvl="0">
      <w:lvlJc w:val="left"/>
      <w:lvlText w:val="2"/>
      <w:numFmt w:val="bullet"/>
      <w:start w:val="1"/>
    </w:lvl>
  </w:abstractNum>
  <w:abstractNum w:abstractNumId="133">
    <w:nsid w:val="5CB44A05"/>
    <w:multiLevelType w:val="hybridMultilevel"/>
    <w:lvl w:ilvl="0">
      <w:lvlJc w:val="left"/>
      <w:lvlText w:val="3"/>
      <w:numFmt w:val="bullet"/>
      <w:start w:val="1"/>
    </w:lvl>
  </w:abstractNum>
  <w:abstractNum w:abstractNumId="134">
    <w:nsid w:val="16CF80F1"/>
    <w:multiLevelType w:val="hybridMultilevel"/>
    <w:lvl w:ilvl="0">
      <w:lvlJc w:val="left"/>
      <w:lvlText w:val="4"/>
      <w:numFmt w:val="bullet"/>
      <w:start w:val="1"/>
    </w:lvl>
  </w:abstractNum>
  <w:abstractNum w:abstractNumId="135">
    <w:nsid w:val="1C695DEC"/>
    <w:multiLevelType w:val="hybridMultilevel"/>
    <w:lvl w:ilvl="0">
      <w:lvlJc w:val="left"/>
      <w:lvlText w:val="5"/>
      <w:numFmt w:val="bullet"/>
      <w:start w:val="1"/>
    </w:lvl>
  </w:abstractNum>
  <w:abstractNum w:abstractNumId="136">
    <w:nsid w:val="3FCFAED9"/>
    <w:multiLevelType w:val="hybridMultilevel"/>
    <w:lvl w:ilvl="0">
      <w:lvlJc w:val="left"/>
      <w:lvlText w:val="6"/>
      <w:numFmt w:val="bullet"/>
      <w:start w:val="1"/>
    </w:lvl>
  </w:abstractNum>
  <w:abstractNum w:abstractNumId="137">
    <w:nsid w:val="F856867"/>
    <w:multiLevelType w:val="hybridMultilevel"/>
    <w:lvl w:ilvl="0">
      <w:lvlJc w:val="left"/>
      <w:lvlText w:val="7"/>
      <w:numFmt w:val="bullet"/>
      <w:start w:val="1"/>
    </w:lvl>
  </w:abstractNum>
  <w:abstractNum w:abstractNumId="138">
    <w:nsid w:val="11B1CC33"/>
    <w:multiLevelType w:val="hybridMultilevel"/>
    <w:lvl w:ilvl="0">
      <w:lvlJc w:val="left"/>
      <w:lvlText w:val="8"/>
      <w:numFmt w:val="bullet"/>
      <w:start w:val="1"/>
    </w:lvl>
  </w:abstractNum>
  <w:abstractNum w:abstractNumId="139">
    <w:nsid w:val="2E22FBB7"/>
    <w:multiLevelType w:val="hybridMultilevel"/>
    <w:lvl w:ilvl="0">
      <w:lvlJc w:val="left"/>
      <w:lvlText w:val="9"/>
      <w:numFmt w:val="bullet"/>
      <w:start w:val="1"/>
    </w:lvl>
  </w:abstractNum>
  <w:abstractNum w:abstractNumId="140">
    <w:nsid w:val="29934699"/>
    <w:multiLevelType w:val="hybridMultilevel"/>
    <w:lvl w:ilvl="0">
      <w:lvlJc w:val="left"/>
      <w:lvlText w:val="•"/>
      <w:numFmt w:val="bullet"/>
      <w:start w:val="1"/>
    </w:lvl>
  </w:abstractNum>
  <w:abstractNum w:abstractNumId="141">
    <w:nsid w:val="77485850"/>
    <w:multiLevelType w:val="hybridMultilevel"/>
    <w:lvl w:ilvl="0">
      <w:lvlJc w:val="left"/>
      <w:lvlText w:val="%1."/>
      <w:numFmt w:val="decimal"/>
      <w:start w:val="1"/>
    </w:lvl>
  </w:abstractNum>
  <w:abstractNum w:abstractNumId="142">
    <w:nsid w:val="744939A3"/>
    <w:multiLevelType w:val="hybridMultilevel"/>
    <w:lvl w:ilvl="0">
      <w:lvlJc w:val="left"/>
      <w:lvlText w:val="%1."/>
      <w:numFmt w:val="decimal"/>
      <w:start w:val="2"/>
    </w:lvl>
  </w:abstractNum>
  <w:abstractNum w:abstractNumId="143">
    <w:nsid w:val="4FA0D2E3"/>
    <w:multiLevelType w:val="hybridMultilevel"/>
    <w:lvl w:ilvl="0">
      <w:lvlJc w:val="left"/>
      <w:lvlText w:val="%1."/>
      <w:numFmt w:val="decimal"/>
      <w:start w:val="3"/>
    </w:lvl>
  </w:abstractNum>
  <w:abstractNum w:abstractNumId="144">
    <w:nsid w:val="6B1D2C14"/>
    <w:multiLevelType w:val="hybridMultilevel"/>
    <w:lvl w:ilvl="0">
      <w:lvlJc w:val="left"/>
      <w:lvlText w:val="%1."/>
      <w:numFmt w:val="decimal"/>
      <w:start w:val="5"/>
    </w:lvl>
  </w:abstractNum>
  <w:abstractNum w:abstractNumId="145">
    <w:nsid w:val="68B867D3"/>
    <w:multiLevelType w:val="hybridMultilevel"/>
    <w:lvl w:ilvl="0">
      <w:lvlJc w:val="left"/>
      <w:lvlText w:val="%1."/>
      <w:numFmt w:val="decimal"/>
      <w:start w:val="9"/>
    </w:lvl>
  </w:abstractNum>
  <w:abstractNum w:abstractNumId="146">
    <w:nsid w:val="3F7F5DD9"/>
    <w:multiLevelType w:val="hybridMultilevel"/>
    <w:lvl w:ilvl="0">
      <w:lvlJc w:val="left"/>
      <w:lvlText w:val="%1."/>
      <w:numFmt w:val="decimal"/>
      <w:start w:val="10"/>
    </w:lvl>
  </w:abstractNum>
  <w:abstractNum w:abstractNumId="147">
    <w:nsid w:val="2AE05A34"/>
    <w:multiLevelType w:val="hybridMultilevel"/>
    <w:lvl w:ilvl="0">
      <w:lvlJc w:val="left"/>
      <w:lvlText w:val="1"/>
      <w:numFmt w:val="bullet"/>
      <w:start w:val="1"/>
    </w:lvl>
  </w:abstractNum>
  <w:abstractNum w:abstractNumId="148">
    <w:nsid w:val="32794FF7"/>
    <w:multiLevelType w:val="hybridMultilevel"/>
    <w:lvl w:ilvl="0">
      <w:lvlJc w:val="left"/>
      <w:lvlText w:val="2"/>
      <w:numFmt w:val="bullet"/>
      <w:start w:val="1"/>
    </w:lvl>
  </w:abstractNum>
  <w:abstractNum w:abstractNumId="149">
    <w:nsid w:val="5454945E"/>
    <w:multiLevelType w:val="hybridMultilevel"/>
    <w:lvl w:ilvl="0">
      <w:lvlJc w:val="left"/>
      <w:lvlText w:val="•"/>
      <w:numFmt w:val="bullet"/>
      <w:start w:val="1"/>
    </w:lvl>
  </w:abstractNum>
  <w:abstractNum w:abstractNumId="150">
    <w:nsid w:val="4DEFDFA0"/>
    <w:multiLevelType w:val="hybridMultilevel"/>
    <w:lvl w:ilvl="0">
      <w:lvlJc w:val="left"/>
      <w:lvlText w:val="%1."/>
      <w:numFmt w:val="decimal"/>
      <w:start w:val="1"/>
    </w:lvl>
  </w:abstractNum>
  <w:abstractNum w:abstractNumId="151">
    <w:nsid w:val="2123D5F2"/>
    <w:multiLevelType w:val="hybridMultilevel"/>
    <w:lvl w:ilvl="0">
      <w:lvlJc w:val="left"/>
      <w:lvlText w:val="%1."/>
      <w:numFmt w:val="decimal"/>
      <w:start w:val="2"/>
    </w:lvl>
  </w:abstractNum>
  <w:abstractNum w:abstractNumId="152">
    <w:nsid w:val="135B8110"/>
    <w:multiLevelType w:val="hybridMultilevel"/>
    <w:lvl w:ilvl="0">
      <w:lvlJc w:val="left"/>
      <w:lvlText w:val="%1."/>
      <w:numFmt w:val="decimal"/>
      <w:start w:val="4"/>
    </w:lvl>
  </w:abstractNum>
  <w:abstractNum w:abstractNumId="153">
    <w:nsid w:val="94927A8"/>
    <w:multiLevelType w:val="hybridMultilevel"/>
    <w:lvl w:ilvl="0">
      <w:lvlJc w:val="left"/>
      <w:lvlText w:val="%1."/>
      <w:numFmt w:val="decimal"/>
      <w:start w:val="5"/>
    </w:lvl>
  </w:abstractNum>
  <w:abstractNum w:abstractNumId="154">
    <w:nsid w:val="DCDF8F6"/>
    <w:multiLevelType w:val="hybridMultilevel"/>
    <w:lvl w:ilvl="0">
      <w:lvlJc w:val="left"/>
      <w:lvlText w:val="%1."/>
      <w:numFmt w:val="decimal"/>
      <w:start w:val="6"/>
    </w:lvl>
  </w:abstractNum>
  <w:abstractNum w:abstractNumId="155">
    <w:nsid w:val="52D7B105"/>
    <w:multiLevelType w:val="hybridMultilevel"/>
    <w:lvl w:ilvl="0">
      <w:lvlJc w:val="left"/>
      <w:lvlText w:val="%1."/>
      <w:numFmt w:val="decimal"/>
      <w:start w:val="11"/>
    </w:lvl>
  </w:abstractNum>
  <w:abstractNum w:abstractNumId="156">
    <w:nsid w:val="2E8A6394"/>
    <w:multiLevelType w:val="hybridMultilevel"/>
    <w:lvl w:ilvl="0">
      <w:lvlJc w:val="left"/>
      <w:lvlText w:val="%1."/>
      <w:numFmt w:val="decimal"/>
      <w:start w:val="1"/>
    </w:lvl>
  </w:abstractNum>
  <w:abstractNum w:abstractNumId="157">
    <w:nsid w:val="24E60401"/>
    <w:multiLevelType w:val="hybridMultilevel"/>
    <w:lvl w:ilvl="0">
      <w:lvlJc w:val="left"/>
      <w:lvlText w:val="%1."/>
      <w:numFmt w:val="decimal"/>
      <w:start w:val="5"/>
    </w:lvl>
  </w:abstractNum>
  <w:abstractNum w:abstractNumId="158">
    <w:nsid w:val="2A6AD9BE"/>
    <w:multiLevelType w:val="hybridMultilevel"/>
    <w:lvl w:ilvl="0">
      <w:lvlJc w:val="left"/>
      <w:lvlText w:val="%1."/>
      <w:numFmt w:val="decimal"/>
      <w:start w:val="7"/>
    </w:lvl>
  </w:abstractNum>
  <w:abstractNum w:abstractNumId="159">
    <w:nsid w:val="BAAC1B4"/>
    <w:multiLevelType w:val="hybridMultilevel"/>
    <w:lvl w:ilvl="0">
      <w:lvlJc w:val="left"/>
      <w:lvlText w:val="%1."/>
      <w:numFmt w:val="decimal"/>
      <w:start w:val="11"/>
    </w:lvl>
  </w:abstractNum>
  <w:abstractNum w:abstractNumId="160">
    <w:nsid w:val="36B2ACBC"/>
    <w:multiLevelType w:val="hybridMultilevel"/>
    <w:lvl w:ilvl="0">
      <w:lvlJc w:val="left"/>
      <w:lvlText w:val="(%1)"/>
      <w:numFmt w:val="lowerLetter"/>
      <w:start w:val="1"/>
    </w:lvl>
  </w:abstractNum>
  <w:abstractNum w:abstractNumId="161">
    <w:nsid w:val="779D8544"/>
    <w:multiLevelType w:val="hybridMultilevel"/>
    <w:lvl w:ilvl="0">
      <w:lvlJc w:val="left"/>
      <w:lvlText w:val="%1."/>
      <w:numFmt w:val="decimal"/>
      <w:start w:val="13"/>
    </w:lvl>
  </w:abstractNum>
  <w:abstractNum w:abstractNumId="162">
    <w:nsid w:val="4AB26E78"/>
    <w:multiLevelType w:val="hybridMultilevel"/>
    <w:lvl w:ilvl="0">
      <w:lvlJc w:val="left"/>
      <w:lvlText w:val="%1."/>
      <w:numFmt w:val="decimal"/>
      <w:start w:val="15"/>
    </w:lvl>
    <w:lvl w:ilvl="1">
      <w:lvlJc w:val="left"/>
      <w:lvlText w:val="(%2)"/>
      <w:numFmt w:val="lowerLetter"/>
      <w:start w:val="1"/>
    </w:lvl>
  </w:abstractNum>
  <w:abstractNum w:abstractNumId="163">
    <w:nsid w:val="21FAA2FA"/>
    <w:multiLevelType w:val="hybridMultilevel"/>
    <w:lvl w:ilvl="0">
      <w:lvlJc w:val="left"/>
      <w:lvlText w:val="%1"/>
      <w:numFmt w:val="decimal"/>
      <w:start w:val="1"/>
    </w:lvl>
    <w:lvl w:ilvl="1">
      <w:lvlJc w:val="left"/>
      <w:lvlText w:val="(%2)"/>
      <w:numFmt w:val="lowerLetter"/>
      <w:start w:val="2"/>
    </w:lvl>
  </w:abstractNum>
  <w:abstractNum w:abstractNumId="164">
    <w:nsid w:val="5451CF49"/>
    <w:multiLevelType w:val="hybridMultilevel"/>
    <w:lvl w:ilvl="0">
      <w:lvlJc w:val="left"/>
      <w:lvlText w:val="%1."/>
      <w:numFmt w:val="decimal"/>
      <w:start w:val="21"/>
    </w:lvl>
    <w:lvl w:ilvl="1">
      <w:lvlJc w:val="left"/>
      <w:lvlText w:val="%2"/>
      <w:numFmt w:val="lowerLetter"/>
      <w:start w:val="1"/>
    </w:lvl>
  </w:abstractNum>
  <w:abstractNum w:abstractNumId="165">
    <w:nsid w:val="6181EF69"/>
    <w:multiLevelType w:val="hybridMultilevel"/>
    <w:lvl w:ilvl="0">
      <w:lvlJc w:val="left"/>
      <w:lvlText w:val="•"/>
      <w:numFmt w:val="bullet"/>
      <w:start w:val="1"/>
    </w:lvl>
  </w:abstractNum>
  <w:abstractNum w:abstractNumId="166">
    <w:nsid w:val="3E6400E6"/>
    <w:multiLevelType w:val="hybridMultilevel"/>
    <w:lvl w:ilvl="0">
      <w:lvlJc w:val="left"/>
      <w:lvlText w:val="%1."/>
      <w:numFmt w:val="decimal"/>
      <w:start w:val="1"/>
    </w:lvl>
  </w:abstractNum>
  <w:abstractNum w:abstractNumId="167">
    <w:nsid w:val="14217E23"/>
    <w:multiLevelType w:val="hybridMultilevel"/>
    <w:lvl w:ilvl="0">
      <w:lvlJc w:val="left"/>
      <w:lvlText w:val="%1."/>
      <w:numFmt w:val="decimal"/>
      <w:start w:val="2"/>
    </w:lvl>
  </w:abstractNum>
  <w:abstractNum w:abstractNumId="168">
    <w:nsid w:val="710757D0"/>
    <w:multiLevelType w:val="hybridMultilevel"/>
    <w:lvl w:ilvl="0">
      <w:lvlJc w:val="left"/>
      <w:lvlText w:val="%1."/>
      <w:numFmt w:val="decimal"/>
      <w:start w:val="4"/>
    </w:lvl>
  </w:abstractNum>
  <w:abstractNum w:abstractNumId="169">
    <w:nsid w:val="5015CD1A"/>
    <w:multiLevelType w:val="hybridMultilevel"/>
    <w:lvl w:ilvl="0">
      <w:lvlJc w:val="left"/>
      <w:lvlText w:val="%1."/>
      <w:numFmt w:val="decimal"/>
      <w:start w:val="5"/>
    </w:lvl>
  </w:abstractNum>
  <w:abstractNum w:abstractNumId="170">
    <w:nsid w:val="424479DA"/>
    <w:multiLevelType w:val="hybridMultilevel"/>
    <w:lvl w:ilvl="0">
      <w:lvlJc w:val="left"/>
      <w:lvlText w:val="%1."/>
      <w:numFmt w:val="decimal"/>
      <w:start w:val="6"/>
    </w:lvl>
  </w:abstractNum>
  <w:abstractNum w:abstractNumId="171">
    <w:nsid w:val="1A9A9E69"/>
    <w:multiLevelType w:val="hybridMultilevel"/>
    <w:lvl w:ilvl="0">
      <w:lvlJc w:val="left"/>
      <w:lvlText w:val="%1."/>
      <w:numFmt w:val="decimal"/>
      <w:start w:val="11"/>
    </w:lvl>
  </w:abstractNum>
  <w:abstractNum w:abstractNumId="172">
    <w:nsid w:val="475E256A"/>
    <w:multiLevelType w:val="hybridMultilevel"/>
    <w:lvl w:ilvl="0">
      <w:lvlJc w:val="left"/>
      <w:lvlText w:val="%1."/>
      <w:numFmt w:val="decimal"/>
      <w:start w:val="1"/>
    </w:lvl>
  </w:abstractNum>
  <w:abstractNum w:abstractNumId="173">
    <w:nsid w:val="368DB37E"/>
    <w:multiLevelType w:val="hybridMultilevel"/>
    <w:lvl w:ilvl="0">
      <w:lvlJc w:val="left"/>
      <w:lvlText w:val="%1."/>
      <w:numFmt w:val="decimal"/>
      <w:start w:val="5"/>
    </w:lvl>
  </w:abstractNum>
  <w:abstractNum w:abstractNumId="174">
    <w:nsid w:val="6A3B714C"/>
    <w:multiLevelType w:val="hybridMultilevel"/>
    <w:lvl w:ilvl="0">
      <w:lvlJc w:val="left"/>
      <w:lvlText w:val="%1."/>
      <w:numFmt w:val="decimal"/>
      <w:start w:val="7"/>
    </w:lvl>
  </w:abstractNum>
  <w:abstractNum w:abstractNumId="175">
    <w:nsid w:val="327B517E"/>
    <w:multiLevelType w:val="hybridMultilevel"/>
    <w:lvl w:ilvl="0">
      <w:lvlJc w:val="left"/>
      <w:lvlText w:val="%1."/>
      <w:numFmt w:val="decimal"/>
      <w:start w:val="8"/>
    </w:lvl>
    <w:lvl w:ilvl="1">
      <w:lvlJc w:val="left"/>
      <w:lvlText w:val="(%2)"/>
      <w:numFmt w:val="lowerLetter"/>
      <w:start w:val="1"/>
    </w:lvl>
  </w:abstractNum>
  <w:abstractNum w:abstractNumId="176">
    <w:nsid w:val="1F461B51"/>
    <w:multiLevelType w:val="hybridMultilevel"/>
    <w:lvl w:ilvl="0">
      <w:lvlJc w:val="left"/>
      <w:lvlText w:val="(%1)"/>
      <w:numFmt w:val="lowerLetter"/>
      <w:start w:val="3"/>
    </w:lvl>
  </w:abstractNum>
  <w:abstractNum w:abstractNumId="177">
    <w:nsid w:val="29BACF25"/>
    <w:multiLevelType w:val="hybridMultilevel"/>
    <w:lvl w:ilvl="0">
      <w:lvlJc w:val="left"/>
      <w:lvlText w:val="%1."/>
      <w:numFmt w:val="decimal"/>
      <w:start w:val="13"/>
    </w:lvl>
  </w:abstractNum>
  <w:abstractNum w:abstractNumId="178">
    <w:nsid w:val="5D5BABB3"/>
    <w:multiLevelType w:val="hybridMultilevel"/>
    <w:lvl w:ilvl="0">
      <w:lvlJc w:val="left"/>
      <w:lvlText w:val="%1"/>
      <w:numFmt w:val="decimal"/>
      <w:start w:val="1"/>
    </w:lvl>
    <w:lvl w:ilvl="1">
      <w:lvlJc w:val="left"/>
      <w:lvlText w:val="(%2)"/>
      <w:numFmt w:val="lowerLetter"/>
      <w:start w:val="1"/>
    </w:lvl>
  </w:abstractNum>
  <w:abstractNum w:abstractNumId="179">
    <w:nsid w:val="51BF6B48"/>
    <w:multiLevelType w:val="hybridMultilevel"/>
    <w:lvl w:ilvl="0">
      <w:lvlJc w:val="left"/>
      <w:lvlText w:val="%1."/>
      <w:numFmt w:val="decimal"/>
      <w:start w:val="21"/>
    </w:lvl>
    <w:lvl w:ilvl="1">
      <w:lvlJc w:val="left"/>
      <w:lvlText w:val="%2"/>
      <w:numFmt w:val="lowerLetter"/>
      <w:start w:val="1"/>
    </w:lvl>
  </w:abstractNum>
  <w:abstractNum w:abstractNumId="180">
    <w:nsid w:val="7E0F6384"/>
    <w:multiLevelType w:val="hybridMultilevel"/>
    <w:lvl w:ilvl="0">
      <w:lvlJc w:val="left"/>
      <w:lvlText w:val="(%1)"/>
      <w:numFmt w:val="lowerRoman"/>
      <w:start w:val="1"/>
    </w:lvl>
  </w:abstractNum>
  <w:abstractNum w:abstractNumId="181">
    <w:nsid w:val="2B4B8B53"/>
    <w:multiLevelType w:val="hybridMultilevel"/>
    <w:lvl w:ilvl="0">
      <w:lvlJc w:val="left"/>
      <w:lvlText w:val="(%1)"/>
      <w:numFmt w:val="lowerRoman"/>
      <w:start w:val="1"/>
    </w:lvl>
  </w:abstractNum>
  <w:abstractNum w:abstractNumId="182">
    <w:nsid w:val="72E3413A"/>
    <w:multiLevelType w:val="hybridMultilevel"/>
    <w:lvl w:ilvl="0">
      <w:lvlJc w:val="left"/>
      <w:lvlText w:val="(%1)"/>
      <w:numFmt w:val="lowerRoman"/>
      <w:start w:val="1"/>
    </w:lvl>
  </w:abstractNum>
  <w:abstractNum w:abstractNumId="183">
    <w:nsid w:val="116AE494"/>
    <w:multiLevelType w:val="hybridMultilevel"/>
    <w:lvl w:ilvl="0">
      <w:lvlJc w:val="left"/>
      <w:lvlText w:val="(%1)"/>
      <w:numFmt w:val="lowerRoman"/>
      <w:start w:val="1"/>
    </w:lvl>
  </w:abstractNum>
  <w:abstractNum w:abstractNumId="184">
    <w:nsid w:val="3494B2FB"/>
    <w:multiLevelType w:val="hybridMultilevel"/>
    <w:lvl w:ilvl="0">
      <w:lvlJc w:val="left"/>
      <w:lvlText w:val="%1."/>
      <w:numFmt w:val="decimal"/>
      <w:start w:val="1"/>
    </w:lvl>
    <w:lvl w:ilvl="1">
      <w:lvlJc w:val="left"/>
      <w:lvlText w:val="%2)"/>
      <w:numFmt w:val="lowerLetter"/>
      <w:start w:val="1"/>
    </w:lvl>
  </w:abstractNum>
  <w:abstractNum w:abstractNumId="185">
    <w:nsid w:val="B13A31"/>
    <w:multiLevelType w:val="hybridMultilevel"/>
    <w:lvl w:ilvl="0">
      <w:lvlJc w:val="left"/>
      <w:lvlText w:val="%1."/>
      <w:numFmt w:val="decimal"/>
      <w:start w:val="1"/>
    </w:lvl>
    <w:lvl w:ilvl="1">
      <w:lvlJc w:val="left"/>
      <w:lvlText w:val="%2)"/>
      <w:numFmt w:val="lowerLetter"/>
      <w:start w:val="1"/>
    </w:lvl>
  </w:abstractNum>
  <w:abstractNum w:abstractNumId="186">
    <w:nsid w:val="64429599"/>
    <w:multiLevelType w:val="hybridMultilevel"/>
    <w:lvl w:ilvl="0">
      <w:lvlJc w:val="left"/>
      <w:lvlText w:val="(%1)"/>
      <w:numFmt w:val="decimal"/>
      <w:start w:val="1"/>
    </w:lvl>
  </w:abstractNum>
  <w:abstractNum w:abstractNumId="187">
    <w:nsid w:val="631F169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jpe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pn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8"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4" Type="http://schemas.openxmlformats.org/officeDocument/2006/relationships/image" Target="media/image323.png"/><Relationship Id="rId336" Type="http://schemas.openxmlformats.org/officeDocument/2006/relationships/image" Target="media/image324.png"/><Relationship Id="rId338" Type="http://schemas.openxmlformats.org/officeDocument/2006/relationships/image" Target="media/image325.png"/><Relationship Id="rId340" Type="http://schemas.openxmlformats.org/officeDocument/2006/relationships/image" Target="media/image326.png"/><Relationship Id="rId342" Type="http://schemas.openxmlformats.org/officeDocument/2006/relationships/image" Target="media/image327.png"/><Relationship Id="rId344" Type="http://schemas.openxmlformats.org/officeDocument/2006/relationships/image" Target="media/image328.png"/><Relationship Id="rId346"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1" Type="http://schemas.openxmlformats.org/officeDocument/2006/relationships/image" Target="media/image332.png"/><Relationship Id="rId353" Type="http://schemas.openxmlformats.org/officeDocument/2006/relationships/image" Target="media/image333.png"/><Relationship Id="rId355" Type="http://schemas.openxmlformats.org/officeDocument/2006/relationships/image" Target="media/image334.png"/><Relationship Id="rId357" Type="http://schemas.openxmlformats.org/officeDocument/2006/relationships/image" Target="media/image335.png"/><Relationship Id="rId359" Type="http://schemas.openxmlformats.org/officeDocument/2006/relationships/image" Target="media/image336.png"/><Relationship Id="rId361" Type="http://schemas.openxmlformats.org/officeDocument/2006/relationships/image" Target="media/image337.png"/><Relationship Id="rId363" Type="http://schemas.openxmlformats.org/officeDocument/2006/relationships/image" Target="media/image338.png"/><Relationship Id="rId365" Type="http://schemas.openxmlformats.org/officeDocument/2006/relationships/image" Target="media/image339.png"/><Relationship Id="rId367" Type="http://schemas.openxmlformats.org/officeDocument/2006/relationships/image" Target="media/image340.png"/><Relationship Id="rId369" Type="http://schemas.openxmlformats.org/officeDocument/2006/relationships/image" Target="media/image341.png"/><Relationship Id="rId371"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7" Type="http://schemas.openxmlformats.org/officeDocument/2006/relationships/image" Target="media/image376.png"/><Relationship Id="rId409" Type="http://schemas.openxmlformats.org/officeDocument/2006/relationships/image" Target="media/image377.png"/><Relationship Id="rId411" Type="http://schemas.openxmlformats.org/officeDocument/2006/relationships/image" Target="media/image378.png"/><Relationship Id="rId413" Type="http://schemas.openxmlformats.org/officeDocument/2006/relationships/image" Target="media/image379.png"/><Relationship Id="rId415" Type="http://schemas.openxmlformats.org/officeDocument/2006/relationships/image" Target="media/image380.png"/><Relationship Id="rId417"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1" Type="http://schemas.openxmlformats.org/officeDocument/2006/relationships/image" Target="media/image390.png"/><Relationship Id="rId433"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7" Type="http://schemas.openxmlformats.org/officeDocument/2006/relationships/image" Target="media/image400.png"/><Relationship Id="rId448" Type="http://schemas.openxmlformats.org/officeDocument/2006/relationships/image" Target="media/image401.png"/><Relationship Id="rId450" Type="http://schemas.openxmlformats.org/officeDocument/2006/relationships/image" Target="media/image402.png"/><Relationship Id="rId452" Type="http://schemas.openxmlformats.org/officeDocument/2006/relationships/image" Target="media/image403.png"/><Relationship Id="rId453" Type="http://schemas.openxmlformats.org/officeDocument/2006/relationships/image" Target="media/image404.png"/><Relationship Id="rId454" Type="http://schemas.openxmlformats.org/officeDocument/2006/relationships/image" Target="media/image405.png"/><Relationship Id="rId455" Type="http://schemas.openxmlformats.org/officeDocument/2006/relationships/image" Target="media/image406.png"/><Relationship Id="rId456" Type="http://schemas.openxmlformats.org/officeDocument/2006/relationships/image" Target="media/image407.png"/><Relationship Id="rId457" Type="http://schemas.openxmlformats.org/officeDocument/2006/relationships/image" Target="media/image408.png"/><Relationship Id="rId458" Type="http://schemas.openxmlformats.org/officeDocument/2006/relationships/image" Target="media/image409.png"/><Relationship Id="rId459" Type="http://schemas.openxmlformats.org/officeDocument/2006/relationships/image" Target="media/image410.png"/><Relationship Id="rId460" Type="http://schemas.openxmlformats.org/officeDocument/2006/relationships/image" Target="media/image411.png"/><Relationship Id="rId461" Type="http://schemas.openxmlformats.org/officeDocument/2006/relationships/image" Target="media/image412.png"/><Relationship Id="rId462" Type="http://schemas.openxmlformats.org/officeDocument/2006/relationships/image" Target="media/image413.png"/><Relationship Id="rId463" Type="http://schemas.openxmlformats.org/officeDocument/2006/relationships/image" Target="media/image414.png"/><Relationship Id="rId464" Type="http://schemas.openxmlformats.org/officeDocument/2006/relationships/image" Target="media/image415.png"/><Relationship Id="rId465" Type="http://schemas.openxmlformats.org/officeDocument/2006/relationships/image" Target="media/image416.png"/><Relationship Id="rId466" Type="http://schemas.openxmlformats.org/officeDocument/2006/relationships/image" Target="media/image417.png"/><Relationship Id="rId467" Type="http://schemas.openxmlformats.org/officeDocument/2006/relationships/image" Target="media/image418.png"/><Relationship Id="rId468" Type="http://schemas.openxmlformats.org/officeDocument/2006/relationships/image" Target="media/image419.png"/><Relationship Id="rId469" Type="http://schemas.openxmlformats.org/officeDocument/2006/relationships/image" Target="media/image420.png"/><Relationship Id="rId470" Type="http://schemas.openxmlformats.org/officeDocument/2006/relationships/image" Target="media/image421.png"/><Relationship Id="rId471" Type="http://schemas.openxmlformats.org/officeDocument/2006/relationships/image" Target="media/image422.png"/><Relationship Id="rId472" Type="http://schemas.openxmlformats.org/officeDocument/2006/relationships/image" Target="media/image423.png"/><Relationship Id="rId473" Type="http://schemas.openxmlformats.org/officeDocument/2006/relationships/image" Target="media/image424.png"/><Relationship Id="rId474" Type="http://schemas.openxmlformats.org/officeDocument/2006/relationships/image" Target="media/image425.png"/><Relationship Id="rId475" Type="http://schemas.openxmlformats.org/officeDocument/2006/relationships/image" Target="media/image426.png"/><Relationship Id="rId476" Type="http://schemas.openxmlformats.org/officeDocument/2006/relationships/image" Target="media/image427.png"/><Relationship Id="rId477" Type="http://schemas.openxmlformats.org/officeDocument/2006/relationships/image" Target="media/image428.png"/><Relationship Id="rId478" Type="http://schemas.openxmlformats.org/officeDocument/2006/relationships/image" Target="media/image429.png"/><Relationship Id="rId479" Type="http://schemas.openxmlformats.org/officeDocument/2006/relationships/image" Target="media/image430.png"/><Relationship Id="rId480" Type="http://schemas.openxmlformats.org/officeDocument/2006/relationships/image" Target="media/image431.png"/><Relationship Id="rId481" Type="http://schemas.openxmlformats.org/officeDocument/2006/relationships/image" Target="media/image432.png"/><Relationship Id="rId482" Type="http://schemas.openxmlformats.org/officeDocument/2006/relationships/image" Target="media/image433.png"/><Relationship Id="rId483" Type="http://schemas.openxmlformats.org/officeDocument/2006/relationships/image" Target="media/image434.png"/><Relationship Id="rId485" Type="http://schemas.openxmlformats.org/officeDocument/2006/relationships/image" Target="media/image435.png"/><Relationship Id="rId487" Type="http://schemas.openxmlformats.org/officeDocument/2006/relationships/image" Target="media/image436.png"/><Relationship Id="rId489" Type="http://schemas.openxmlformats.org/officeDocument/2006/relationships/image" Target="media/image437.png"/><Relationship Id="rId491" Type="http://schemas.openxmlformats.org/officeDocument/2006/relationships/image" Target="media/image438.png"/><Relationship Id="rId492" Type="http://schemas.openxmlformats.org/officeDocument/2006/relationships/image" Target="media/image439.png"/><Relationship Id="rId494" Type="http://schemas.openxmlformats.org/officeDocument/2006/relationships/image" Target="media/image440.png"/><Relationship Id="rId496" Type="http://schemas.openxmlformats.org/officeDocument/2006/relationships/image" Target="media/image441.png"/><Relationship Id="rId497" Type="http://schemas.openxmlformats.org/officeDocument/2006/relationships/image" Target="media/image442.png"/><Relationship Id="rId499" Type="http://schemas.openxmlformats.org/officeDocument/2006/relationships/image" Target="media/image443.png"/><Relationship Id="rId501" Type="http://schemas.openxmlformats.org/officeDocument/2006/relationships/image" Target="media/image444.png"/><Relationship Id="rId502" Type="http://schemas.openxmlformats.org/officeDocument/2006/relationships/image" Target="media/image445.png"/><Relationship Id="rId504" Type="http://schemas.openxmlformats.org/officeDocument/2006/relationships/image" Target="media/image446.png"/><Relationship Id="rId506" Type="http://schemas.openxmlformats.org/officeDocument/2006/relationships/image" Target="media/image447.png"/><Relationship Id="rId508" Type="http://schemas.openxmlformats.org/officeDocument/2006/relationships/image" Target="media/image448.png"/><Relationship Id="rId510" Type="http://schemas.openxmlformats.org/officeDocument/2006/relationships/image" Target="media/image449.png"/><Relationship Id="rId512" Type="http://schemas.openxmlformats.org/officeDocument/2006/relationships/image" Target="media/image450.png"/><Relationship Id="rId513" Type="http://schemas.openxmlformats.org/officeDocument/2006/relationships/image" Target="media/image451.png"/><Relationship Id="rId514" Type="http://schemas.openxmlformats.org/officeDocument/2006/relationships/image" Target="media/image452.png"/><Relationship Id="rId516" Type="http://schemas.openxmlformats.org/officeDocument/2006/relationships/image" Target="media/image453.png"/><Relationship Id="rId518" Type="http://schemas.openxmlformats.org/officeDocument/2006/relationships/image" Target="media/image454.png"/><Relationship Id="rId520" Type="http://schemas.openxmlformats.org/officeDocument/2006/relationships/image" Target="media/image455.png"/><Relationship Id="rId522" Type="http://schemas.openxmlformats.org/officeDocument/2006/relationships/image" Target="media/image456.png"/><Relationship Id="rId524" Type="http://schemas.openxmlformats.org/officeDocument/2006/relationships/image" Target="media/image457.png"/><Relationship Id="rId526" Type="http://schemas.openxmlformats.org/officeDocument/2006/relationships/image" Target="media/image458.png"/><Relationship Id="rId528" Type="http://schemas.openxmlformats.org/officeDocument/2006/relationships/image" Target="media/image459.png"/><Relationship Id="rId530" Type="http://schemas.openxmlformats.org/officeDocument/2006/relationships/image" Target="media/image460.png"/><Relationship Id="rId531" Type="http://schemas.openxmlformats.org/officeDocument/2006/relationships/image" Target="media/image461.png"/><Relationship Id="rId539" Type="http://schemas.openxmlformats.org/officeDocument/2006/relationships/image" Target="media/image462.png"/><Relationship Id="rId540" Type="http://schemas.openxmlformats.org/officeDocument/2006/relationships/image" Target="media/image463.png"/><Relationship Id="rId541" Type="http://schemas.openxmlformats.org/officeDocument/2006/relationships/image" Target="media/image464.png"/><Relationship Id="rId542" Type="http://schemas.openxmlformats.org/officeDocument/2006/relationships/image" Target="media/image465.png"/><Relationship Id="rId543" Type="http://schemas.openxmlformats.org/officeDocument/2006/relationships/image" Target="media/image466.png"/><Relationship Id="rId544" Type="http://schemas.openxmlformats.org/officeDocument/2006/relationships/image" Target="media/image467.png"/><Relationship Id="rId545" Type="http://schemas.openxmlformats.org/officeDocument/2006/relationships/image" Target="media/image468.png"/><Relationship Id="rId546" Type="http://schemas.openxmlformats.org/officeDocument/2006/relationships/image" Target="media/image469.png"/><Relationship Id="rId547" Type="http://schemas.openxmlformats.org/officeDocument/2006/relationships/image" Target="media/image470.png"/><Relationship Id="rId548" Type="http://schemas.openxmlformats.org/officeDocument/2006/relationships/image" Target="media/image471.png"/><Relationship Id="rId549" Type="http://schemas.openxmlformats.org/officeDocument/2006/relationships/image" Target="media/image472.png"/><Relationship Id="rId550" Type="http://schemas.openxmlformats.org/officeDocument/2006/relationships/image" Target="media/image473.png"/><Relationship Id="rId551" Type="http://schemas.openxmlformats.org/officeDocument/2006/relationships/image" Target="media/image474.png"/><Relationship Id="rId552" Type="http://schemas.openxmlformats.org/officeDocument/2006/relationships/image" Target="media/image475.png"/><Relationship Id="rId553" Type="http://schemas.openxmlformats.org/officeDocument/2006/relationships/image" Target="media/image476.png"/><Relationship Id="rId554" Type="http://schemas.openxmlformats.org/officeDocument/2006/relationships/image" Target="media/image477.png"/><Relationship Id="rId555" Type="http://schemas.openxmlformats.org/officeDocument/2006/relationships/image" Target="media/image478.png"/><Relationship Id="rId556" Type="http://schemas.openxmlformats.org/officeDocument/2006/relationships/image" Target="media/image479.png"/><Relationship Id="rId557" Type="http://schemas.openxmlformats.org/officeDocument/2006/relationships/image" Target="media/image480.png"/><Relationship Id="rId558" Type="http://schemas.openxmlformats.org/officeDocument/2006/relationships/image" Target="media/image481.png"/><Relationship Id="rId559" Type="http://schemas.openxmlformats.org/officeDocument/2006/relationships/image" Target="media/image482.png"/><Relationship Id="rId560" Type="http://schemas.openxmlformats.org/officeDocument/2006/relationships/image" Target="media/image483.png"/><Relationship Id="rId561" Type="http://schemas.openxmlformats.org/officeDocument/2006/relationships/image" Target="media/image484.png"/><Relationship Id="rId562" Type="http://schemas.openxmlformats.org/officeDocument/2006/relationships/image" Target="media/image485.png"/><Relationship Id="rId563" Type="http://schemas.openxmlformats.org/officeDocument/2006/relationships/image" Target="media/image486.png"/><Relationship Id="rId564" Type="http://schemas.openxmlformats.org/officeDocument/2006/relationships/image" Target="media/image487.png"/><Relationship Id="rId565" Type="http://schemas.openxmlformats.org/officeDocument/2006/relationships/image" Target="media/image488.png"/><Relationship Id="rId566" Type="http://schemas.openxmlformats.org/officeDocument/2006/relationships/image" Target="media/image489.png"/><Relationship Id="rId567" Type="http://schemas.openxmlformats.org/officeDocument/2006/relationships/image" Target="media/image490.png"/><Relationship Id="rId568" Type="http://schemas.openxmlformats.org/officeDocument/2006/relationships/image" Target="media/image491.png"/><Relationship Id="rId569" Type="http://schemas.openxmlformats.org/officeDocument/2006/relationships/image" Target="media/image492.png"/><Relationship Id="rId570" Type="http://schemas.openxmlformats.org/officeDocument/2006/relationships/image" Target="media/image493.png"/><Relationship Id="rId571" Type="http://schemas.openxmlformats.org/officeDocument/2006/relationships/image" Target="media/image494.png"/><Relationship Id="rId572" Type="http://schemas.openxmlformats.org/officeDocument/2006/relationships/image" Target="media/image495.png"/><Relationship Id="rId573" Type="http://schemas.openxmlformats.org/officeDocument/2006/relationships/image" Target="media/image496.png"/><Relationship Id="rId574" Type="http://schemas.openxmlformats.org/officeDocument/2006/relationships/image" Target="media/image497.png"/><Relationship Id="rId575" Type="http://schemas.openxmlformats.org/officeDocument/2006/relationships/image" Target="media/image498.png"/><Relationship Id="rId576" Type="http://schemas.openxmlformats.org/officeDocument/2006/relationships/image" Target="media/image499.png"/><Relationship Id="rId577" Type="http://schemas.openxmlformats.org/officeDocument/2006/relationships/image" Target="media/image500.png"/><Relationship Id="rId578" Type="http://schemas.openxmlformats.org/officeDocument/2006/relationships/image" Target="media/image501.png"/><Relationship Id="rId579" Type="http://schemas.openxmlformats.org/officeDocument/2006/relationships/image" Target="media/image502.png"/><Relationship Id="rId580" Type="http://schemas.openxmlformats.org/officeDocument/2006/relationships/image" Target="media/image503.jpeg"/><Relationship Id="rId581" Type="http://schemas.openxmlformats.org/officeDocument/2006/relationships/image" Target="media/image504.png"/><Relationship Id="rId582" Type="http://schemas.openxmlformats.org/officeDocument/2006/relationships/image" Target="media/image505.jpeg"/><Relationship Id="rId100" Type="http://schemas.openxmlformats.org/officeDocument/2006/relationships/hyperlink" Target="http://www.sec.gov/ix?doc=/Archives/edgar/data/0000773840/000077384021000015/hon-20201231.htm" TargetMode="External"/><Relationship Id="rId327" Type="http://schemas.openxmlformats.org/officeDocument/2006/relationships/hyperlink" Target="http://www.sec.gov/Archives/edgar/data/773840/000093041318002303/c91619_ex3i.htm" TargetMode="External"/><Relationship Id="rId329" Type="http://schemas.openxmlformats.org/officeDocument/2006/relationships/hyperlink" Target="http://www.sec.gov/Archives/edgar/data/773840/000093041318002303/c91619_ex3ii.htm" TargetMode="External"/><Relationship Id="rId333" Type="http://schemas.openxmlformats.org/officeDocument/2006/relationships/hyperlink" Target="http://www.sec.gov/Archives/edgar/data/773840/000095011703003488/ex10-2.txt" TargetMode="External"/><Relationship Id="rId335" Type="http://schemas.openxmlformats.org/officeDocument/2006/relationships/hyperlink" Target="http://www.sec.gov/Archives/edgar/data/773840/000095011704004532/ex10-1.htm" TargetMode="External"/><Relationship Id="rId337" Type="http://schemas.openxmlformats.org/officeDocument/2006/relationships/hyperlink" Target="http://www.sec.gov/Archives/edgar/data/773840/000095011706000980/ex10-2.htm" TargetMode="External"/><Relationship Id="rId339" Type="http://schemas.openxmlformats.org/officeDocument/2006/relationships/hyperlink" Target="https://www.sec.gov/Archives/edgar/data/773840/000077384021000057/exhibit10106302021.htm" TargetMode="External"/><Relationship Id="rId341" Type="http://schemas.openxmlformats.org/officeDocument/2006/relationships/hyperlink" Target="http://www.sec.gov/Archives/edgar/data/773840/000093041319000366/c92779_ex10-4.htm" TargetMode="External"/><Relationship Id="rId343" Type="http://schemas.openxmlformats.org/officeDocument/2006/relationships/hyperlink" Target="http://www.sec.gov/Archives/edgar/data/0000773840/000077384021000015/exhibit106912312020.htm" TargetMode="External"/><Relationship Id="rId345" Type="http://schemas.openxmlformats.org/officeDocument/2006/relationships/hyperlink" Target="http://www.sec.gov/Archives/edgar/data/0000773840/000077384021000057/exhibit10106302021.htm" TargetMode="External"/><Relationship Id="rId347" Type="http://schemas.openxmlformats.org/officeDocument/2006/relationships/hyperlink" Target="https://www.sec.gov/Archives/edgar/data/773840/000077384021000015/exhibit10512312020.htm" TargetMode="External"/><Relationship Id="rId350" Type="http://schemas.openxmlformats.org/officeDocument/2006/relationships/hyperlink" Target="http://www.sec.gov/Archives/edgar/data/773840/000093041314000634/c75936_ex10-6.htm" TargetMode="External"/><Relationship Id="rId352" Type="http://schemas.openxmlformats.org/officeDocument/2006/relationships/hyperlink" Target="https://www.sec.gov/Archives/edgar/data/0000773840/000077384021000015/exhibit10712312020.htm" TargetMode="External"/><Relationship Id="rId354" Type="http://schemas.openxmlformats.org/officeDocument/2006/relationships/hyperlink" Target="https://www.sec.gov/Archives/edgar/data/0000773840/000077384021000057/exhibit10106302021.htm" TargetMode="External"/><Relationship Id="rId356" Type="http://schemas.openxmlformats.org/officeDocument/2006/relationships/hyperlink" Target="http://www.sec.gov/Archives/edgar/data/773840/000093041309000801/c56028_ex10-10.htm" TargetMode="External"/><Relationship Id="rId358" Type="http://schemas.openxmlformats.org/officeDocument/2006/relationships/hyperlink" Target="http://www.sec.gov/Archives/edgar/data/773840/000093041310000784/c60039_ex10-10.htm" TargetMode="External"/><Relationship Id="rId360" Type="http://schemas.openxmlformats.org/officeDocument/2006/relationships/hyperlink" Target="http://www.sec.gov/Archives/edgar/data/773840/000093041316005457/c83288_ex10-7.htm" TargetMode="External"/><Relationship Id="rId362" Type="http://schemas.openxmlformats.org/officeDocument/2006/relationships/hyperlink" Target="http://www.sec.gov/Archives/edgar/data/773840/000093041309000801/c56028_ex10-12.htm" TargetMode="External"/><Relationship Id="rId364" Type="http://schemas.openxmlformats.org/officeDocument/2006/relationships/hyperlink" Target="http://www.sec.gov/Archives/edgar/data/773840/000093041310000784/c60039_ex10-12.htm" TargetMode="External"/><Relationship Id="rId366" Type="http://schemas.openxmlformats.org/officeDocument/2006/relationships/hyperlink" Target="http://www.sec.gov/Archives/edgar/data/773840/000093041314000634/c75936_ex10-9.htm" TargetMode="External"/><Relationship Id="rId368" Type="http://schemas.openxmlformats.org/officeDocument/2006/relationships/hyperlink" Target="http://www.sec.gov/Archives/edgar/data/773840/000093041316005457/c83288_ex10-8.htm" TargetMode="External"/><Relationship Id="rId370" Type="http://schemas.openxmlformats.org/officeDocument/2006/relationships/hyperlink" Target="https://www.sec.gov/Archives/edgar/data/773840/000093041309000801/c56028_ex10-13.htm" TargetMode="External"/><Relationship Id="rId372" Type="http://schemas.openxmlformats.org/officeDocument/2006/relationships/hyperlink" Target="http://www.sec.gov/Archives/edgar/data/773840/000093041310000784/c60039_ex10-13.htm" TargetMode="External"/><Relationship Id="rId406" Type="http://schemas.openxmlformats.org/officeDocument/2006/relationships/hyperlink" Target="http://www.sec.gov/Archives/edgar/data/773840/000093041316005457/c83288_ex10-9.htm" TargetMode="External"/><Relationship Id="rId408" Type="http://schemas.openxmlformats.org/officeDocument/2006/relationships/hyperlink" Target="http://www.sec.gov/Archives/edgar/data/773840/000093041314000634/c75936_ex10-12.htm" TargetMode="External"/><Relationship Id="rId410" Type="http://schemas.openxmlformats.org/officeDocument/2006/relationships/hyperlink" Target="http://www.sec.gov/Archives/edgar/data/773840/000093041307001369/c44492_ex10-24.htm" TargetMode="External"/><Relationship Id="rId412" Type="http://schemas.openxmlformats.org/officeDocument/2006/relationships/hyperlink" Target="http://www.sec.gov/Archives/edgar/data/773840/000093041318000292/c89913_ex10-76.htm" TargetMode="External"/><Relationship Id="rId414" Type="http://schemas.openxmlformats.org/officeDocument/2006/relationships/hyperlink" Target="http://www.sec.gov/Archives/edgar/data/773840/000093041309000801/c56028_ex10-31.htm" TargetMode="External"/><Relationship Id="rId416" Type="http://schemas.openxmlformats.org/officeDocument/2006/relationships/hyperlink" Target="http://www.sec.gov/Archives/edgar/data/773840/000093041312000976/c68029_ex10-27.htm" TargetMode="External"/><Relationship Id="rId418" Type="http://schemas.openxmlformats.org/officeDocument/2006/relationships/hyperlink" Target="http://www.sec.gov/Archives/edgar/data/773840/000093041315000621/c79276_ex10-24.htm" TargetMode="External"/><Relationship Id="rId421" Type="http://schemas.openxmlformats.org/officeDocument/2006/relationships/hyperlink" Target="http://www.sec.gov/Archives/edgar/data/773840/000093041312002323/c69322_ex10-3.htm" TargetMode="External"/><Relationship Id="rId424" Type="http://schemas.openxmlformats.org/officeDocument/2006/relationships/hyperlink" Target="http://www.sec.gov/Archives/edgar/data/773840/000093041312002323/c69322_ex10-4.htm" TargetMode="External"/><Relationship Id="rId427" Type="http://schemas.openxmlformats.org/officeDocument/2006/relationships/hyperlink" Target="http://www.sec.gov/Archives/edgar/data/773840/000093041307002180/c46936.htm" TargetMode="External"/><Relationship Id="rId430" Type="http://schemas.openxmlformats.org/officeDocument/2006/relationships/hyperlink" Target="http://www.sec.gov/Archives/edgar/data/773840/000093041311001776/c64436_def14a.htm" TargetMode="External"/><Relationship Id="rId432" Type="http://schemas.openxmlformats.org/officeDocument/2006/relationships/hyperlink" Target="http://www.sec.gov/Archives/edgar/data/773840/000093041313000907/c72130_ex10-36.htm" TargetMode="External"/><Relationship Id="rId434" Type="http://schemas.openxmlformats.org/officeDocument/2006/relationships/hyperlink" Target="http://www.sec.gov/Archives/edgar/data/773840/000093041314001831/c77214_ex10-1.htm" TargetMode="External"/><Relationship Id="rId437" Type="http://schemas.openxmlformats.org/officeDocument/2006/relationships/hyperlink" Target="http://www.sec.gov/Archives/edgar/data/773840/000093041314001831/c77214_ex10-2.htm" TargetMode="External"/><Relationship Id="rId440" Type="http://schemas.openxmlformats.org/officeDocument/2006/relationships/hyperlink" Target="http://www.sec.gov/Archives/edgar/data/773840/000093041314001831/c77214_ex10-3.htm" TargetMode="External"/><Relationship Id="rId443" Type="http://schemas.openxmlformats.org/officeDocument/2006/relationships/hyperlink" Target="http://www.sec.gov/Archives/edgar/data/773840/000093041314001831/c77214_ex10-4.htm" TargetMode="External"/><Relationship Id="rId446" Type="http://schemas.openxmlformats.org/officeDocument/2006/relationships/hyperlink" Target="http://www.sec.gov/Archives/edgar/data/773840/000093041315000621/c79276_ex10-39.htm" TargetMode="External"/><Relationship Id="rId449" Type="http://schemas.openxmlformats.org/officeDocument/2006/relationships/hyperlink" Target="http://www.sec.gov/Archives/edgar/data/773840/000093041316005948/c82838_def14a.htm" TargetMode="External"/><Relationship Id="rId451" Type="http://schemas.openxmlformats.org/officeDocument/2006/relationships/hyperlink" Target="http://www.sec.gov/Archives/edgar/data/773840/000077384020000048/exhibit10209302020.htm" TargetMode="External"/><Relationship Id="rId484" Type="http://schemas.openxmlformats.org/officeDocument/2006/relationships/hyperlink" Target="https://www.sec.gov/Archives/edgar/data/773840/000077384021000057/exhibit10306302021.htm" TargetMode="External"/><Relationship Id="rId486" Type="http://schemas.openxmlformats.org/officeDocument/2006/relationships/hyperlink" Target="https://www.sec.gov/Archives/edgar/data/773840/000077384021000057/exhibit10406302021.htm" TargetMode="External"/><Relationship Id="rId488" Type="http://schemas.openxmlformats.org/officeDocument/2006/relationships/hyperlink" Target="https://www.sec.gov/Archives/edgar/data/773840/000077384021000057/exhibit10206302021.htm" TargetMode="External"/><Relationship Id="rId490" Type="http://schemas.openxmlformats.org/officeDocument/2006/relationships/hyperlink" Target="https://www.sec.gov/Archives/edgar/data/773840/000077384021000057/exhibit10506302021.htm" TargetMode="External"/><Relationship Id="rId493" Type="http://schemas.openxmlformats.org/officeDocument/2006/relationships/hyperlink" Target="http://www.sec.gov/Archives/edgar/data/773840/000093041319002643/c94369_ex99-2.htm" TargetMode="External"/><Relationship Id="rId495" Type="http://schemas.openxmlformats.org/officeDocument/2006/relationships/hyperlink" Target="http://www.sec.gov/Archives/edgar/data/773840/000077384020000038/exhibit10106302020.htm" TargetMode="External"/><Relationship Id="rId498" Type="http://schemas.openxmlformats.org/officeDocument/2006/relationships/hyperlink" Target="https://www.sec.gov/Archives/edgar/data/773840/000077384021000057/exhibit10606302021.htm" TargetMode="External"/><Relationship Id="rId500" Type="http://schemas.openxmlformats.org/officeDocument/2006/relationships/hyperlink" Target="https://www.sec.gov/Archives/edgar/data/773840/000077384021000057/exhibit10706302021.htm" TargetMode="External"/><Relationship Id="rId503" Type="http://schemas.openxmlformats.org/officeDocument/2006/relationships/hyperlink" Target="http://www.sec.gov/Archives/edgar/data/773840/000093041316006542/c84644_ex10-1.htm" TargetMode="External"/><Relationship Id="rId505" Type="http://schemas.openxmlformats.org/officeDocument/2006/relationships/hyperlink" Target="http://www.sec.gov/Archives/edgar/data/773840/000093041316006322/c84617_ex99-1.htm" TargetMode="External"/><Relationship Id="rId507" Type="http://schemas.openxmlformats.org/officeDocument/2006/relationships/hyperlink" Target="http://www.sec.gov/Archives/edgar/data/773840/000093041317000893/c87598_ex99-1.htm" TargetMode="External"/><Relationship Id="rId509" Type="http://schemas.openxmlformats.org/officeDocument/2006/relationships/hyperlink" Target="http://www.sec.gov/Archives/edgar/data/773840/000093041318002493/c91763_ex99-1.htm" TargetMode="External"/><Relationship Id="rId511" Type="http://schemas.openxmlformats.org/officeDocument/2006/relationships/hyperlink" Target="http://www.sec.gov/Archives/edgar/data/0000773840/000077384021000015/exhibit107012312020.htm" TargetMode="External"/><Relationship Id="rId515" Type="http://schemas.openxmlformats.org/officeDocument/2006/relationships/hyperlink" Target="http://www.sec.gov/Archives/edgar/data/773840/000093041318001371/c90468_ex10-1.htm" TargetMode="External"/><Relationship Id="rId517" Type="http://schemas.openxmlformats.org/officeDocument/2006/relationships/hyperlink" Target="http://www.sec.gov/Archives/edgar/data/0000773840/000077384021000057/exhibit10806302021.htm" TargetMode="External"/><Relationship Id="rId519" Type="http://schemas.openxmlformats.org/officeDocument/2006/relationships/hyperlink" Target="http://www.sec.gov/Archives/edgar/data/0000773840/000077384021000032/exhibit10103312021.htm" TargetMode="External"/><Relationship Id="rId521" Type="http://schemas.openxmlformats.org/officeDocument/2006/relationships/hyperlink" Target="https://www.sec.gov/Archives/edgar/data/0000773840/000077384021000023/exhibit10104022021.htm" TargetMode="External"/><Relationship Id="rId523" Type="http://schemas.openxmlformats.org/officeDocument/2006/relationships/hyperlink" Target="https://www.sec.gov/Archives/edgar/data/0000773840/000077384021000023/exhibit10204022021.htm" TargetMode="External"/><Relationship Id="rId525" Type="http://schemas.openxmlformats.org/officeDocument/2006/relationships/hyperlink" Target="https://www.sec.gov/Archives/edgar/data/0000773840/000077384021000070/exhibit101-364daycreditame.htm" TargetMode="External"/><Relationship Id="rId527" Type="http://schemas.openxmlformats.org/officeDocument/2006/relationships/hyperlink" Target="https://www.sec.gov/Archives/edgar/data/0000773840/000077384021000070/exhibit102-fiveyearcredita.htm" TargetMode="External"/><Relationship Id="rId529" Type="http://schemas.openxmlformats.org/officeDocument/2006/relationships/hyperlink" Target="http://www.sec.gov/Archives/edgar/data/773840/000119312518274274/d623916dex21.htm" TargetMode="External"/><Relationship Id="rId532" Type="http://schemas.openxmlformats.org/officeDocument/2006/relationships/hyperlink" Target="http://www.sec.gov/Archives/edgar/data/773840/000119312518298884/d625197dex21.htm" TargetMode="External"/><Relationship Id="rId533" Type="http://schemas.openxmlformats.org/officeDocument/2006/relationships/hyperlink" Target="http://www.sec.gov/Archives/edgar/data/773840/000077384020000016/exhibit101.htm" TargetMode="External"/><Relationship Id="rId534" Type="http://schemas.openxmlformats.org/officeDocument/2006/relationships/hyperlink" Target="http://www.sec.gov/Archives/edgar/data/773840/000077384020000048/exhibit10109302020.htm" TargetMode="External"/><Relationship Id="rId535" Type="http://schemas.openxmlformats.org/officeDocument/2006/relationships/hyperlink" Target="http://www.sec.gov/Archives/edgar/data/773840/000077384020000038/exhibit10606302020.htm" TargetMode="External"/><Relationship Id="rId536" Type="http://schemas.openxmlformats.org/officeDocument/2006/relationships/hyperlink" Target="http://www.sec.gov/Archives/edgar/data/773840/000077384020000038/exhibit10706302020.htm" TargetMode="External"/><Relationship Id="rId537" Type="http://schemas.openxmlformats.org/officeDocument/2006/relationships/hyperlink" Target="https://www.sec.gov/Archives/edgar/data/0000773840/000077384021000032/exhibit10203312021.htm" TargetMode="External"/><Relationship Id="rId538" Type="http://schemas.openxmlformats.org/officeDocument/2006/relationships/hyperlink" Target="https://www.sec.gov/Archives/edgar/data/0000773840/000077384021000032/exhibit1030331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2022-02-12T02:03:01Z</dcterms:created>
  <dcterms:modified xsi:type="dcterms:W3CDTF">2022-02-12T02:03:01Z</dcterms:modified>
</cp:coreProperties>
</file>